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71827"/>
          <w:sz w:val="72"/>
          <w:szCs w:val="72"/>
        </w:rPr>
        <w:t xml:space="preserve">AUCT.IO</w:t>
      </w:r>
    </w:p>
    <w:p>
      <w:pPr>
        <w:spacing w:after="200"/>
        <w:jc w:val="center"/>
      </w:pPr>
      <w:r>
        <w:rPr>
          <w:rFonts w:ascii="Arial" w:cs="Arial" w:eastAsia="Arial" w:hAnsi="Arial"/>
          <w:color w:val="A8872F"/>
          <w:sz w:val="32"/>
          <w:szCs w:val="32"/>
        </w:rPr>
        <w:t xml:space="preserve">Sistema de Subastas Premium</w:t>
      </w:r>
    </w:p>
    <w:p>
      <w:pPr>
        <w:pBdr>
          <w:top w:val="single" w:color="A8872F" w:sz="6" w:space="1"/>
        </w:pBdr>
        <w:spacing w:after="160" w:before="16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Proyecto Final — Desarrollo de Aplicaciones Móviles</w:t>
      </w: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pageBreakBefore/>
      </w:pPr>
      <w:r/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71827"/>
          <w:sz w:val="32"/>
          <w:szCs w:val="32"/>
        </w:rPr>
        <w:t xml:space="preserve">1. Descripción del proyecto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Auct.io es una aplicación móvil Android que digitaliza el proceso operativo de una casa de remates. El sistema cubre el ciclo completo de una subasta: desde el registro y verificación de postores hasta la puja en tiempo real, la adjudicación, el cobro y la gestión interna por parte del administrador.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475569"/>
          <w:sz w:val="22"/>
          <w:szCs w:val="22"/>
        </w:rPr>
        <w:t xml:space="preserve">El objetivo del proyecto es reemplazar procesos manuales (hojas de registro, control de pagos en papel, notificaciones telefónicas) con una plataforma centralizada, trazable y segura.</w:t>
      </w:r>
    </w:p>
    <w:p>
      <w:pPr>
        <w:spacing w:after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71827"/>
          <w:sz w:val="32"/>
          <w:szCs w:val="32"/>
        </w:rPr>
        <w:t xml:space="preserve">2. Stack tecnológico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7E3E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71827"/>
                <w:sz w:val="20"/>
                <w:szCs w:val="20"/>
              </w:rPr>
              <w:t xml:space="preserve">Aplicación móvil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Android (Java) — API mínima 24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7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Node.js + Express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71827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Microsoft SQL Server (mssql)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71827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JWT — JSON Web Tokens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71827"/>
                <w:sz w:val="20"/>
                <w:szCs w:val="20"/>
              </w:rPr>
              <w:t xml:space="preserve">Tiempo real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Server-Sent Events (SSE)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71827"/>
                <w:sz w:val="20"/>
                <w:szCs w:val="20"/>
              </w:rPr>
              <w:t xml:space="preserve">Comunicación HTTP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HttpURLConnection (nativo Android)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71827"/>
                <w:sz w:val="20"/>
                <w:szCs w:val="20"/>
              </w:rPr>
              <w:t xml:space="preserve">Entorno de desarrollo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Android Studio / Visual Studio Code</w:t>
            </w:r>
          </w:p>
        </w:tc>
      </w:tr>
    </w:tbl>
    <w:p>
      <w:pPr>
        <w:spacing w:after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71827"/>
          <w:sz w:val="32"/>
          <w:szCs w:val="32"/>
        </w:rPr>
        <w:t xml:space="preserve">3. Arquitectura general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La aplicación sigue una arquitectura cliente-servidor clásica con tres capas: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Capa de presentación: Activities de Android (Java). Cada pantalla es una Activity independiente que gestiona su propia UI y lanza requests HTTP en un hilo separado (ExecutorService).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Capa de lógica de negocio: API REST en Node.js/Express con rutas organizadas por recurso (/api/clients, /api/auctions, /api/bids,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Capa de persistencia: SQL Server. Las consultas se ejecutan via el driver mssql con parámetros preparados para evitar inyecciones SQL.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La autenticación se realiza mediante JWT. El token se genera en el login, se guarda en SharedPreferences del dispositivo y se envía como header Authorization: Bearer {token} en cada request posterior.</w:t>
      </w:r>
    </w:p>
    <w:p>
      <w:pPr>
        <w:spacing w:after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71827"/>
          <w:sz w:val="32"/>
          <w:szCs w:val="32"/>
        </w:rPr>
        <w:t xml:space="preserve">4. Funcionalidades</w:t>
      </w:r>
    </w:p>
    <w:p>
      <w:pPr>
        <w:spacing w:after="1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7E3EF"/>
                <w:sz w:val="20"/>
                <w:szCs w:val="20"/>
              </w:rPr>
              <w:t xml:space="preserve">Funcionalidad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71827"/>
                <w:sz w:val="20"/>
                <w:szCs w:val="20"/>
              </w:rPr>
              <w:t xml:space="preserve">Home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Bienvenida, tiles de servicios y subastas destacadas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71827"/>
                <w:sz w:val="20"/>
                <w:szCs w:val="20"/>
              </w:rPr>
              <w:t xml:space="preserve">Subastas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Catálogo completo de subastas disponibles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71827"/>
                <w:sz w:val="20"/>
                <w:szCs w:val="20"/>
              </w:rPr>
              <w:t xml:space="preserve">Detalle de subasta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Información de la subasta, catálogo de lotes con SSE en tiempo real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71827"/>
                <w:sz w:val="20"/>
                <w:szCs w:val="20"/>
              </w:rPr>
              <w:t xml:space="preserve">Pujar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Envío de oferta sobre un lote activo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71827"/>
                <w:sz w:val="20"/>
                <w:szCs w:val="20"/>
              </w:rPr>
              <w:t xml:space="preserve">Medios de pago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Alta, edición y eliminación de tarjetas y cheques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71827"/>
                <w:sz w:val="20"/>
                <w:szCs w:val="20"/>
              </w:rPr>
              <w:t xml:space="preserve">Consignar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Solicitud de ingreso de un artículo a futuras subastas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71827"/>
                <w:sz w:val="20"/>
                <w:szCs w:val="20"/>
              </w:rPr>
              <w:t xml:space="preserve">Historial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Registro de subastas y pujas del usuario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71827"/>
                <w:sz w:val="20"/>
                <w:szCs w:val="20"/>
              </w:rPr>
              <w:t xml:space="preserve">Compras y pagos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Lotes adjudicados y gestión de pagos pendientes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71827"/>
                <w:sz w:val="20"/>
                <w:szCs w:val="20"/>
              </w:rPr>
              <w:t xml:space="preserve">Multas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Visualización y pago de multas activas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71827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Mensajes privados del sistema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71827"/>
                <w:sz w:val="20"/>
                <w:szCs w:val="20"/>
              </w:rPr>
              <w:t xml:space="preserve">Perfil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Datos del usuario y cierre de sesión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71827"/>
                <w:sz w:val="20"/>
                <w:szCs w:val="20"/>
              </w:rPr>
              <w:t xml:space="preserve">Panel Admin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Verificación de usuarios, medios de pago, consignaciones, multas y cierre de lotes</w:t>
            </w:r>
          </w:p>
        </w:tc>
      </w:tr>
    </w:tbl>
    <w:p>
      <w:pPr>
        <w:spacing w:after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71827"/>
          <w:sz w:val="32"/>
          <w:szCs w:val="32"/>
        </w:rPr>
        <w:t xml:space="preserve">5. Seguridad implementada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JWT Bearer Token: cada request a la API requiere un token válido. El backend valida la firma y la expiración antes de procesar la solicitud.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Verificación de ownership: endpoints sensibles (ej. editar medio de pago) verifican que el recurso pertenezca al clienteId del token antes de modificarlo.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usesCleartextTraffic: habilitado exclusivamente para el entorno de desarrollo local (conexión a IP de red local). En producción se usaría HTTPS.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Campos ocultos en lugar de datos en URL: IDs sensibles se transmiten en el cuerpo del request, no en query strings visibles en logs.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PATCH via X-HTTP-Method-Override: Android no permite enviar PATCH nativo desde HttpURLConnection; se usa el header X-HTTP-Method-Override interceptado por el middleware del backend.</w:t>
      </w:r>
    </w:p>
    <w:p>
      <w:pPr>
        <w:spacing w:after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71827"/>
          <w:sz w:val="32"/>
          <w:szCs w:val="32"/>
        </w:rPr>
        <w:t xml:space="preserve">6. Diseño visual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La interfaz usa un sistema de diseño consistente basado en los siguientes elementos:</w:t>
      </w:r>
    </w:p>
    <w:p>
      <w:pPr>
        <w:spacing w:after="1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7E3E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71827"/>
                <w:sz w:val="20"/>
                <w:szCs w:val="20"/>
              </w:rPr>
              <w:t xml:space="preserve">Fondo principal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#F3F0E8 — crema cálido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71827"/>
                <w:sz w:val="20"/>
                <w:szCs w:val="20"/>
              </w:rPr>
              <w:t xml:space="preserve">Color primario oscuro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#071827 — azul marino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71827"/>
                <w:sz w:val="20"/>
                <w:szCs w:val="20"/>
              </w:rPr>
              <w:t xml:space="preserve">Color acento dorado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#A8872F — dorado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71827"/>
                <w:sz w:val="20"/>
                <w:szCs w:val="20"/>
              </w:rPr>
              <w:t xml:space="preserve">Tarjetas premium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bg_card_premium / bg_card_dark_premium (drawables con bordes y sombras)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71827"/>
                <w:sz w:val="20"/>
                <w:szCs w:val="20"/>
              </w:rPr>
              <w:t xml:space="preserve">Botones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bg_button_gold, bg_button_dark, bg_button_outline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71827"/>
                <w:sz w:val="20"/>
                <w:szCs w:val="20"/>
              </w:rPr>
              <w:t xml:space="preserve">Chips de estado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bg_success_chip (verde), bg_danger_chip (rojo), bg_gold_chip (dorado)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71827"/>
                <w:sz w:val="20"/>
                <w:szCs w:val="20"/>
              </w:rPr>
              <w:t xml:space="preserve">Navegación inferior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component_bottom_nav.xml — Home, Subastas, Actividad, Perfil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475569"/>
        <w:sz w:val="16"/>
        <w:szCs w:val="16"/>
      </w:rPr>
      <w:t xml:space="preserve">Página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de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8872F" w:sz="4" w:space="1"/>
      </w:pBdr>
    </w:pPr>
    <w:r>
      <w:rPr>
        <w:rFonts w:ascii="Arial" w:cs="Arial" w:eastAsia="Arial" w:hAnsi="Arial"/>
        <w:b/>
        <w:bCs/>
        <w:color w:val="071827"/>
        <w:sz w:val="18"/>
        <w:szCs w:val="18"/>
      </w:rPr>
      <w:t xml:space="preserve">AUCT.IO  </w:t>
    </w:r>
    <w:r>
      <w:rPr>
        <w:rFonts w:ascii="Arial" w:cs="Arial" w:eastAsia="Arial" w:hAnsi="Arial"/>
        <w:color w:val="475569"/>
        <w:sz w:val="18"/>
        <w:szCs w:val="18"/>
      </w:rPr>
      <w:t xml:space="preserve">Sistema de Subastas Premium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7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A8872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2026-06-07T22:40:01.025Z</dcterms:created>
  <dcterms:modified xsi:type="dcterms:W3CDTF">2026-06-07T22:40:01.025Z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