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A8872F"/>
          <w:sz w:val="20"/>
        </w:rPr>
        <w:t>INFORME DE ENTREGA</w:t>
      </w:r>
    </w:p>
    <w:p>
      <w:pPr>
        <w:spacing w:after="80"/>
      </w:pPr>
      <w:r>
        <w:rPr>
          <w:rFonts w:ascii="Calibri" w:hAnsi="Calibri"/>
          <w:b/>
          <w:i w:val="0"/>
          <w:color w:val="071827"/>
          <w:sz w:val="50"/>
        </w:rPr>
        <w:t>Informe técnico Auct.io</w:t>
      </w:r>
    </w:p>
    <w:p>
      <w:pPr>
        <w:spacing w:after="280"/>
      </w:pPr>
      <w:r>
        <w:rPr>
          <w:rFonts w:ascii="Calibri" w:hAnsi="Calibri"/>
          <w:b w:val="0"/>
          <w:i w:val="0"/>
          <w:color w:val="475569"/>
          <w:sz w:val="27"/>
        </w:rPr>
        <w:t>Arquitectura, componentes, datos, APIs y criterios de defensa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3900"/>
        <w:gridCol w:w="3660"/>
      </w:tblGrid>
      <w:tr>
        <w:trPr>
          <w:tblHeader/>
          <w:cantSplit/>
        </w:trPr>
        <w:tc>
          <w:tcPr>
            <w:tcW w:type="dxa" w:w="3120"/>
            <w:shd w:fill="E8EEF5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Fecha</w:t>
            </w:r>
          </w:p>
        </w:tc>
        <w:tc>
          <w:tcPr>
            <w:tcW w:type="dxa" w:w="3120"/>
            <w:shd w:fill="E8EEF5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Entorno</w:t>
            </w:r>
          </w:p>
        </w:tc>
        <w:tc>
          <w:tcPr>
            <w:tcW w:type="dxa" w:w="3120"/>
            <w:shd w:fill="E8EEF5"/>
            <w:vAlign w:val="center"/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28/06/2026</w:t>
            </w:r>
          </w:p>
        </w:tc>
        <w:tc>
          <w:tcPr>
            <w:tcW w:type="dxa" w:w="3120"/>
            <w:vAlign w:val="center"/>
            <w:tcW w:w="3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Android · Render · Azure SQL</w:t>
            </w:r>
          </w:p>
        </w:tc>
        <w:tc>
          <w:tcPr>
            <w:tcW w:type="dxa" w:w="3120"/>
            <w:vAlign w:val="center"/>
            <w:tcW w:w="3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8"/>
              </w:rPr>
              <w:t>Verificado para demo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i w:val="0"/>
                <w:color w:val="A8872F"/>
                <w:sz w:val="20"/>
              </w:rPr>
              <w:t>RESUMEN EJECUTIVO</w:t>
              <w:br/>
            </w:r>
            <w:r>
              <w:rPr>
                <w:rFonts w:ascii="Calibri" w:hAnsi="Calibri"/>
                <w:b w:val="0"/>
                <w:i w:val="0"/>
                <w:color w:val="071827"/>
                <w:sz w:val="19"/>
              </w:rPr>
              <w:t>Aplicación Android nativa conectada a una API Node.js/Express en Render y Azure SQL. Las pujas se confirman en transacción y se propagan por WebSocket. El cierre de cada lote es atómico y el último lote finaliza la subasta y libera a sus participantes.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A8872F"/>
          <w:sz w:val="32"/>
        </w:rPr>
        <w:t>1. Arquitectura de la solución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2500"/>
        <w:gridCol w:w="5360"/>
      </w:tblGrid>
      <w:tr>
        <w:trPr>
          <w:tblHeader/>
          <w:cantSplit/>
        </w:trPr>
        <w:tc>
          <w:tcPr>
            <w:tcW w:type="dxa" w:w="3120"/>
            <w:shd w:fill="E8EEF5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Capa</w:t>
            </w:r>
          </w:p>
        </w:tc>
        <w:tc>
          <w:tcPr>
            <w:tcW w:type="dxa" w:w="3120"/>
            <w:shd w:fill="E8EEF5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Tecnología</w:t>
            </w:r>
          </w:p>
        </w:tc>
        <w:tc>
          <w:tcPr>
            <w:tcW w:type="dxa" w:w="3120"/>
            <w:shd w:fill="E8EEF5"/>
            <w:vAlign w:val="center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Responsabilidad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Frontend</w:t>
            </w:r>
          </w:p>
        </w:tc>
        <w:tc>
          <w:tcPr>
            <w:tcW w:type="dxa" w:w="312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Android · Java 11 · XML · SDK 36</w:t>
            </w:r>
          </w:p>
        </w:tc>
        <w:tc>
          <w:tcPr>
            <w:tcW w:type="dxa" w:w="3120"/>
            <w:vAlign w:val="center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Interfaz móvil, validación previa, navegación, estados y consumo HTTP/WebSocket.</w:t>
            </w:r>
          </w:p>
        </w:tc>
      </w:tr>
      <w:tr>
        <w:trPr>
          <w:cantSplit/>
        </w:trPr>
        <w:tc>
          <w:tcPr>
            <w:tcW w:type="dxa" w:w="3120"/>
            <w:shd w:fill="F8FAFC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Backend</w:t>
            </w:r>
          </w:p>
        </w:tc>
        <w:tc>
          <w:tcPr>
            <w:tcW w:type="dxa" w:w="3120"/>
            <w:shd w:fill="F8FAFC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Node.js · Express 5 · mssql · ws</w:t>
            </w:r>
          </w:p>
        </w:tc>
        <w:tc>
          <w:tcPr>
            <w:tcW w:type="dxa" w:w="3120"/>
            <w:shd w:fill="F8FAFC"/>
            <w:vAlign w:val="center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Reglas de negocio, autorizaciones, transacciones, temporizadores y eventos en tiempo real.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Base de datos</w:t>
            </w:r>
          </w:p>
        </w:tc>
        <w:tc>
          <w:tcPr>
            <w:tcW w:type="dxa" w:w="3120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Azure SQL Server</w:t>
            </w:r>
          </w:p>
        </w:tc>
        <w:tc>
          <w:tcPr>
            <w:tcW w:type="dxa" w:w="3120"/>
            <w:vAlign w:val="center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Persistencia relacional de usuarios, subastas, lotes, pujas, ventas, pagos, multas y avisos.</w:t>
            </w:r>
          </w:p>
        </w:tc>
      </w:tr>
      <w:tr>
        <w:trPr>
          <w:cantSplit/>
        </w:trPr>
        <w:tc>
          <w:tcPr>
            <w:tcW w:type="dxa" w:w="3120"/>
            <w:shd w:fill="F8FAFC"/>
            <w:vAlign w:val="center"/>
            <w:tcW w:w="1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Despliegue</w:t>
            </w:r>
          </w:p>
        </w:tc>
        <w:tc>
          <w:tcPr>
            <w:tcW w:type="dxa" w:w="3120"/>
            <w:shd w:fill="F8FAFC"/>
            <w:vAlign w:val="center"/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Render Web Service</w:t>
            </w:r>
          </w:p>
        </w:tc>
        <w:tc>
          <w:tcPr>
            <w:tcW w:type="dxa" w:w="3120"/>
            <w:shd w:fill="F8FAFC"/>
            <w:vAlign w:val="center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API pública HTTPS/WSS: https://auct-io-api.onrender.com.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Flujo de comunicación: Android → REST/JSON para operaciones; Android ↔ WebSocket para actualizaciones del catálogo; Backend → Azure SQL para lecturas y escrituras transaccionales.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2. Frontend Android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Application ID com.example.clase4; minSdk 29, targetSdk/compileSdk 36 y versión 1.0.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Pantallas principales: acceso y registro, inicio, subastas, catálogo en vivo, puja, pagos, compras, multas, consignación, avisos, estadísticas, perfil y administración.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Diseño XML con paleta azul petróleo, dorado y crema; diálogos FeedbackDialog consistentes; launcher adaptativo con martillo de subastas.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ApiConfig inyecta la URL de Render desde BuildConfig; HttpURLConnection y WebSocket cubren el transporte productivo.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El panel administrativo presenta KPIs, badges y colas accionables; el ABM no exige copiar identificadores técnicos.</w:t>
      </w:r>
    </w:p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071827"/>
          <w:sz w:val="26"/>
        </w:rPr>
        <w:t>Tratamiento horario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Los formularios y textos operativos usan America/Argentina/Buenos_Aires. Las fechas de subasta se interpretan como hora civil argentina GMT-3; los contadores se calculan en servidor y no dependen del reloj del teléfono.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3. Backend y reglas de negocio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4680"/>
            <w:shd w:fill="E8EEF5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Regla</w:t>
            </w:r>
          </w:p>
        </w:tc>
        <w:tc>
          <w:tcPr>
            <w:tcW w:type="dxa" w:w="4680"/>
            <w:shd w:fill="E8EEF5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Implementación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Categorías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común &lt; especial &lt; plata &lt; oro &lt; platino; el cliente debe igualar o superar la categoría.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Puja</w:t>
            </w:r>
          </w:p>
        </w:tc>
        <w:tc>
          <w:tcPr>
            <w:tcW w:type="dxa" w:w="4680"/>
            <w:shd w:fill="F8FAFC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Debe superar la mejor oferta; mínimo +1% y máximo +20% del precio base, excepto oro/platino.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Exclusividad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Una sesión de subasta por usuario; puede salir si aún no ofertó.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Garantía</w:t>
            </w:r>
          </w:p>
        </w:tc>
        <w:tc>
          <w:tcPr>
            <w:tcW w:type="dxa" w:w="4680"/>
            <w:shd w:fill="F8FAFC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Medio verificado y compatible con moneda; control de cheque certificado y obligaciones vencidas.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Cierre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Transacción SERIALIZABLE: ganador/empresa, venta, nuevo dueño y lote se confirman juntos.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Sin pujas</w:t>
            </w:r>
          </w:p>
        </w:tc>
        <w:tc>
          <w:tcPr>
            <w:tcW w:type="dxa" w:w="4680"/>
            <w:shd w:fill="F8FAFC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La empresa (cliente 9000007) compra al precio base, conforme a la consigna.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Tiempo real</w:t>
            </w:r>
          </w:p>
        </w:tc>
        <w:tc>
          <w:tcPr>
            <w:tcW w:type="dxa" w:w="4680"/>
            <w:vAlign w:val="center"/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WebSocket /ws difunde catálogo, mejor oferta, historial y reloj por lote.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/>
          <w:b/>
          <w:i w:val="0"/>
          <w:color w:val="071827"/>
          <w:sz w:val="26"/>
        </w:rPr>
        <w:t>Temporizador y reconciliación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Un proceso cada cinco segundos inicia subastas vencidas, cierra lotes cuyo reloj llegó a cero y corrige subastas con todos sus lotes finalizados. El proceso funciona aunque no haya una pantalla abierta. Cada puja válida reinicia únicamente el reloj de su lote.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4. Modelo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600"/>
        <w:gridCol w:w="6760"/>
      </w:tblGrid>
      <w:tr>
        <w:trPr>
          <w:tblHeader/>
          <w:cantSplit/>
        </w:trPr>
        <w:tc>
          <w:tcPr>
            <w:tcW w:type="dxa" w:w="4680"/>
            <w:shd w:fill="E8EEF5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Entidad</w:t>
            </w:r>
          </w:p>
        </w:tc>
        <w:tc>
          <w:tcPr>
            <w:tcW w:type="dxa" w:w="4680"/>
            <w:shd w:fill="E8EEF5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Relación principal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Users / Clients / Owners / Employees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Identidad base y especializaciones por rol.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Auctions / Catalogs / CatalogItems</w:t>
            </w:r>
          </w:p>
        </w:tc>
        <w:tc>
          <w:tcPr>
            <w:tcW w:type="dxa" w:w="4680"/>
            <w:shd w:fill="F8FAFC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Evento, catálogo y lotes con precio base/comisión.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Attendees / Bids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Participación y secuencia completa de ofertas.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AuctionRecords</w:t>
            </w:r>
          </w:p>
        </w:tc>
        <w:tc>
          <w:tcPr>
            <w:tcW w:type="dxa" w:w="4680"/>
            <w:shd w:fill="F8FAFC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Venta adjudicada, comprador, dueño anterior, importe, pago, envío y retiro.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PaymentMethods / Fines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Garantías, monedas, verificaciones e incumplimientos.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Products / Photos / Insurances</w:t>
            </w:r>
          </w:p>
        </w:tc>
        <w:tc>
          <w:tcPr>
            <w:tcW w:type="dxa" w:w="4680"/>
            <w:shd w:fill="F8FAFC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Consignación, seis o más imágenes, depósito y cobertura.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Notifications</w:t>
            </w:r>
          </w:p>
        </w:tc>
        <w:tc>
          <w:tcPr>
            <w:tcW w:type="dxa" w:w="4680"/>
            <w:vAlign w:val="center"/>
            <w:tcW w:w="6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Avisos persistentes de acciones relevantes.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3F0E8"/>
          </w:tcPr>
          <w:p>
            <w:r>
              <w:rPr>
                <w:rFonts w:ascii="Calibri" w:hAnsi="Calibri"/>
                <w:b/>
                <w:i w:val="0"/>
                <w:color w:val="166534"/>
                <w:sz w:val="20"/>
              </w:rPr>
              <w:t>ZONA HORARIA</w:t>
              <w:br/>
            </w:r>
            <w:r>
              <w:rPr>
                <w:rFonts w:ascii="Calibri" w:hAnsi="Calibri"/>
                <w:b w:val="0"/>
                <w:i w:val="0"/>
                <w:color w:val="071827"/>
                <w:sz w:val="19"/>
              </w:rPr>
              <w:t>Los defaults de eventos relevantes en Azure SQL usan DATEADD(HOUR,-3,SYSUTCDATETIME()). La auditoría confirmó cero defaults operativos fuera de GMT-3.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5. API REST y WebSocket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71827"/>
          <w:sz w:val="21"/>
        </w:rPr>
        <w:t>El backend expone 53 rutas REST declaradas en Express, además de /ws. Los códigos más usados son 200/201/202 para éxito, 400 para validación, 401/403 para identidad o regla de acceso, 404 para inexistencia y 409 para conflictos de estado.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400"/>
        <w:gridCol w:w="4960"/>
      </w:tblGrid>
      <w:tr>
        <w:trPr>
          <w:tblHeader/>
          <w:cantSplit/>
        </w:trPr>
        <w:tc>
          <w:tcPr>
            <w:tcW w:type="dxa" w:w="4680"/>
            <w:shd w:fill="E8EEF5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Endpoint clave</w:t>
            </w:r>
          </w:p>
        </w:tc>
        <w:tc>
          <w:tcPr>
            <w:tcW w:type="dxa" w:w="4680"/>
            <w:shd w:fill="E8EEF5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POST /api/auth/login</w:t>
            </w:r>
          </w:p>
        </w:tc>
        <w:tc>
          <w:tcPr>
            <w:tcW w:type="dxa" w:w="4680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Autentica cliente o empleado y devuelve sesión.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GET /api/clients/:clientId/auctions</w:t>
            </w:r>
          </w:p>
        </w:tc>
        <w:tc>
          <w:tcPr>
            <w:tcW w:type="dxa" w:w="4680"/>
            <w:shd w:fill="F8FAFC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Lista subastas y explica si puede pujar.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GET /api/auctions/:auctionId/catalog</w:t>
            </w:r>
          </w:p>
        </w:tc>
        <w:tc>
          <w:tcPr>
            <w:tcW w:type="dxa" w:w="4680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Catálogo completo, mejor oferta, mi oferta y reloj por lote.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POST /api/bids</w:t>
            </w:r>
          </w:p>
        </w:tc>
        <w:tc>
          <w:tcPr>
            <w:tcW w:type="dxa" w:w="4680"/>
            <w:shd w:fill="F8FAFC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Valida y confirma una puja de forma serializada.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POST /api/clients/:clientId/active-auction/release</w:t>
            </w:r>
          </w:p>
        </w:tc>
        <w:tc>
          <w:tcPr>
            <w:tcW w:type="dxa" w:w="4680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Libera una conexión cuando la regla lo permite.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POST /api/admin/auctions</w:t>
            </w:r>
          </w:p>
        </w:tc>
        <w:tc>
          <w:tcPr>
            <w:tcW w:type="dxa" w:w="4680"/>
            <w:shd w:fill="F8FAFC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Crea subasta y catálogo en una transacción.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POST /api/admin/auctions/:auctionId/items/:itemId/close</w:t>
            </w:r>
          </w:p>
        </w:tc>
        <w:tc>
          <w:tcPr>
            <w:tcW w:type="dxa" w:w="4680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Cierre manual atómico del lote.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GET /api/admin/dashboard</w:t>
            </w:r>
          </w:p>
        </w:tc>
        <w:tc>
          <w:tcPr>
            <w:tcW w:type="dxa" w:w="4680"/>
            <w:shd w:fill="F8FAFC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KPIs del panel interno.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4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WS /ws?auctionId=&amp;clientId=</w:t>
            </w:r>
          </w:p>
        </w:tc>
        <w:tc>
          <w:tcPr>
            <w:tcW w:type="dxa" w:w="4680"/>
            <w:vAlign w:val="center"/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Actualizaciones simultáneas del catálogo.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6. Inventario: Autenticación y usuarios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/api/auth/registro/paso1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/api/auth/registro/paso2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/api/auth/login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/api/users/:userId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/api/users/:userId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7. Inventario: Subastas y pujas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/api/auctions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/api/clients/:clientId/auctions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/api/auctions/:auctionId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/api/auctions/:auctionId/live-state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/api/auctions/:auctionId/events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/api/auctions/:auctionId/catalog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/api/catalog-items/:itemId/best-bid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/api/catalog-items/:itemId/bids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/api/bids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/api/auctions/:auctionId/items/:itemId/bids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/subastas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8. Inventario: Administración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/api/admin/users/:userId/verification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/api/admin/users/pending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/api/admin/users/:userId/document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/api/admin/auctions/:auctionId/duracion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/api/admin/payment-methods/pending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/api/admin/payment-methods/:paymentMethodId/verification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/api/admin/products/pending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/api/admin/products/:productId/review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/api/admin/auctions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/api/admin/action-options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/api/admin/dashboard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/api/admin/auctions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/api/admin/auctions/:auctionId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DELETE /api/admin/auctions/:auctionId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/api/admin/auctions/:auctionId/items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/api/admin/auctions/:auctionId/items/:itemId/close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/api/admin/fines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9. Inventario: Pagos, compras y multas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/api/clients/:clientId/purchases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/api/clients/:clientId/payment-methods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/api/clients/:clientId/payment-methods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/api/clients/:clientId/payment-methods/:paymentMethodId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/api/purchases/:purchaseId/pay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/api/clients/:clientId/fines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/api/fines/:fineId/pay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/api/fines/:fineId/pay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10. Inventario: Consignación y avisos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/api/products/:productId/photos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/api/products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/api/clients/:clientId/products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/api/products/:productId/proposal-response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/api/clients/:clientId/notifications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PATCH /api/notifications/:notificationId/read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11. Inventario: Sistema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/api/health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/api/test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/api/clients/:clientId/active-auction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POST /api/clients/:clientId/active-auction/release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/api/clients/:clientId/history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GET /api/clients/:clientId/statistics</w:t>
      </w:r>
    </w:p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12. Seguridad, consistencia y límites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Las operaciones administrativas exigen token de empleado mediante requireEmployee.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Las pujas se serializan en SQL y el cliente deshabilita el envío hasta recibir confirmación.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El cierre usa bloqueo UPDLOCK/HOLDLOCK y aislamiento SERIALIZABLE para evitar doble adjudicación.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Las credenciales SQL se reciben por variables de entorno y no se documentan ni incluyen en el APK.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La autenticación actual usa un token demostrativo codificado, no un JWT firmado. En producción debe reemplazarse por OAuth/JWT con expiración y rotación.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71827"/>
          <w:sz w:val="21"/>
        </w:rPr>
        <w:t>Pagos, aseguradora, correo, streaming y transferencias se representan mediante estados y avisos; conectar proveedores reales queda fuera del alcance académico.</w:t>
      </w:r>
    </w:p>
    <w:p>
      <w:pPr>
        <w:pStyle w:val="Heading1"/>
        <w:keepNext/>
        <w:pageBreakBefore w:val="0"/>
      </w:pPr>
      <w:r>
        <w:rPr>
          <w:rFonts w:ascii="Calibri" w:hAnsi="Calibri"/>
          <w:b/>
          <w:i w:val="0"/>
          <w:color w:val="A8872F"/>
          <w:sz w:val="32"/>
        </w:rPr>
        <w:t>13. Evidencia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4680"/>
            <w:shd w:fill="E8EEF5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Prueba</w:t>
            </w:r>
          </w:p>
        </w:tc>
        <w:tc>
          <w:tcPr>
            <w:tcW w:type="dxa" w:w="4680"/>
            <w:shd w:fill="E8EEF5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Smoke REST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Rutas públicas, cliente y administrador: aprobado.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ABM de subastas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Alta, modificación, listado y baja segura: aprobado.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Cierre integral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1 lote con puja + 1 sin puja; 2 ventas; subasta cerrada; sesión liberada.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Concurrencia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2 clientes reciben el mismo catálogo por WebSocket.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Base productiva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0 cierres inconsistentes, 0 lotes vendidos sin venta, defaults GMT-3.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Android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assembleDebug, unit tests y lintDebug: aprobados.</w:t>
            </w:r>
          </w:p>
        </w:tc>
      </w:tr>
    </w:tbl>
    <w:p>
      <w:pPr>
        <w:pStyle w:val="Heading1"/>
        <w:keepNext/>
        <w:pageBreakBefore/>
      </w:pPr>
      <w:r>
        <w:rPr>
          <w:rFonts w:ascii="Calibri" w:hAnsi="Calibri"/>
          <w:b/>
          <w:i w:val="0"/>
          <w:color w:val="A8872F"/>
          <w:sz w:val="32"/>
        </w:rPr>
        <w:t>14. Preguntas probables de defensa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6360"/>
      </w:tblGrid>
      <w:tr>
        <w:trPr>
          <w:tblHeader/>
          <w:cantSplit/>
        </w:trPr>
        <w:tc>
          <w:tcPr>
            <w:tcW w:type="dxa" w:w="4680"/>
            <w:shd w:fill="E8EEF5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Pregunta</w:t>
            </w:r>
          </w:p>
        </w:tc>
        <w:tc>
          <w:tcPr>
            <w:tcW w:type="dxa" w:w="4680"/>
            <w:shd w:fill="E8EEF5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71827"/>
                <w:sz w:val="18"/>
              </w:rPr>
              <w:t>Respuesta sugerida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¿Dónde está la lógica de negocio?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En Express; Android valida para UX, pero el backend vuelve a validar y Azure SQL asegura la transacción.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¿Cómo evitan dos ganadores?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La puja y el cierre usan operaciones serializadas y locks en SQL; solo el mejor registro se marca ganador.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¿Qué pasa sin ofertas?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Al vencer el lote se crea una venta pagada a nombre del cliente empresa por el precio base.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¿Cómo se libera un usuario?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Al finalizar el último lote se cierra Auctions y se eliminan todas las sesiones en memoria de esa subasta.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¿Por qué WebSocket?</w:t>
            </w:r>
          </w:p>
        </w:tc>
        <w:tc>
          <w:tcPr>
            <w:tcW w:type="dxa" w:w="4680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Evita polling continuo y difunde cambios de oferta, reloj e historial a todos los participantes.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W w:w="3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¿Qué escalaría para producción?</w:t>
            </w:r>
          </w:p>
        </w:tc>
        <w:tc>
          <w:tcPr>
            <w:tcW w:type="dxa" w:w="4680"/>
            <w:shd w:fill="F8FAFC"/>
            <w:vAlign w:val="center"/>
            <w:tcW w:w="6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071827"/>
                <w:sz w:val="17"/>
              </w:rPr>
              <w:t>JWT/OAuth, Redis para sesiones y pub/sub multi-instancia, almacenamiento Blob para fotos y observabilidad centralizada.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475569"/>
        <w:sz w:val="17"/>
      </w:rPr>
      <w:t xml:space="preserve">Grupo 15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475569"/>
        <w:sz w:val="17"/>
      </w:rPr>
      <w:t>AUCT.IO  |  ENTREGA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A887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7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7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