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A8872F"/>
          <w:sz w:val="20"/>
        </w:rPr>
        <w:t>INFORME DE ENTREGA</w:t>
      </w:r>
    </w:p>
    <w:p>
      <w:pPr>
        <w:spacing w:after="80"/>
      </w:pPr>
      <w:r>
        <w:rPr>
          <w:rFonts w:ascii="Calibri" w:hAnsi="Calibri"/>
          <w:b/>
          <w:i w:val="0"/>
          <w:color w:val="071827"/>
          <w:sz w:val="50"/>
        </w:rPr>
        <w:t>Resumen de cambios y defensa</w:t>
      </w:r>
    </w:p>
    <w:p>
      <w:pPr>
        <w:spacing w:after="280"/>
      </w:pPr>
      <w:r>
        <w:rPr>
          <w:rFonts w:ascii="Calibri" w:hAnsi="Calibri"/>
          <w:b w:val="0"/>
          <w:i w:val="0"/>
          <w:color w:val="475569"/>
          <w:sz w:val="27"/>
        </w:rPr>
        <w:t>Cómo funcionan las subastas después de la corrección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900"/>
        <w:gridCol w:w="3660"/>
      </w:tblGrid>
      <w:tr>
        <w:trPr>
          <w:tblHeader/>
          <w:cantSplit/>
        </w:trPr>
        <w:tc>
          <w:tcPr>
            <w:tcW w:type="dxa" w:w="3120"/>
            <w:shd w:fill="E8EEF5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Fecha</w:t>
            </w:r>
          </w:p>
        </w:tc>
        <w:tc>
          <w:tcPr>
            <w:tcW w:type="dxa" w:w="3120"/>
            <w:shd w:fill="E8EEF5"/>
            <w:vAlign w:val="center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Entorno</w:t>
            </w:r>
          </w:p>
        </w:tc>
        <w:tc>
          <w:tcPr>
            <w:tcW w:type="dxa" w:w="3120"/>
            <w:shd w:fill="E8EEF5"/>
            <w:vAlign w:val="center"/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8"/>
              </w:rPr>
              <w:t>28/06/2026</w:t>
            </w:r>
          </w:p>
        </w:tc>
        <w:tc>
          <w:tcPr>
            <w:tcW w:type="dxa" w:w="3120"/>
            <w:vAlign w:val="center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8"/>
              </w:rPr>
              <w:t>Android · Render · Azure SQL</w:t>
            </w:r>
          </w:p>
        </w:tc>
        <w:tc>
          <w:tcPr>
            <w:tcW w:type="dxa" w:w="3120"/>
            <w:vAlign w:val="center"/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8"/>
              </w:rPr>
              <w:t>Listo para el 29/06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3F0E8"/>
          </w:tcPr>
          <w:p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>RESULTADO</w:t>
              <w:br/>
            </w:r>
            <w:r>
              <w:rPr>
                <w:rFonts w:ascii="Calibri" w:hAnsi="Calibri"/>
                <w:b w:val="0"/>
                <w:i w:val="0"/>
                <w:color w:val="071827"/>
                <w:sz w:val="19"/>
              </w:rPr>
              <w:t>El usuario ya no queda cautivo cuando terminó el catálogo. La subasta se cierra al finalizar su último lote, libera sesiones y conserva ventas, avisos y trazabilidad.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A8872F"/>
          <w:sz w:val="32"/>
        </w:rPr>
        <w:t>1. Cambio funcional aplicado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Cada lote tiene reloj independiente y una puja reinicia solo ese reloj.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Al vencer, el lote se adjudica al mejor postor dentro de una transacción.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Si no hubo pujas, Auct.io Empresa compra al precio base, como exige la consigna.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Cuando no quedan lotes abiertos, Auctions pasa a cerrada y se liberan todos los usuarios vinculados, hayan ganado o 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Un reconciliador ejecuta el flujo aunque ningún usuario tenga la app abierta.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Todas las fechas operativas y la agenda se interpretan en Argentina GMT-3.</w:t>
      </w: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A8872F"/>
          <w:sz w:val="32"/>
        </w:rPr>
        <w:t>2. Subastas preparadas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650"/>
        <w:gridCol w:w="1900"/>
        <w:gridCol w:w="1500"/>
        <w:gridCol w:w="2200"/>
        <w:gridCol w:w="3110"/>
      </w:tblGrid>
      <w:tr>
        <w:trPr>
          <w:tblHeader/>
          <w:cantSplit/>
        </w:trPr>
        <w:tc>
          <w:tcPr>
            <w:tcW w:type="dxa" w:w="1872"/>
            <w:shd w:fill="E8EEF5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ID</w:t>
            </w:r>
          </w:p>
        </w:tc>
        <w:tc>
          <w:tcPr>
            <w:tcW w:type="dxa" w:w="1872"/>
            <w:shd w:fill="E8EEF5"/>
            <w:vAlign w:val="center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Inicio Argentina</w:t>
            </w:r>
          </w:p>
        </w:tc>
        <w:tc>
          <w:tcPr>
            <w:tcW w:type="dxa" w:w="1872"/>
            <w:shd w:fill="E8EEF5"/>
            <w:vAlign w:val="center"/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Duración/lote</w:t>
            </w:r>
          </w:p>
        </w:tc>
        <w:tc>
          <w:tcPr>
            <w:tcW w:type="dxa" w:w="1872"/>
            <w:shd w:fill="E8EEF5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Categoría · moneda</w:t>
            </w:r>
          </w:p>
        </w:tc>
        <w:tc>
          <w:tcPr>
            <w:tcW w:type="dxa" w:w="1872"/>
            <w:shd w:fill="E8EEF5"/>
            <w:vAlign w:val="center"/>
            <w:tcW w:w="31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17</w:t>
            </w:r>
          </w:p>
        </w:tc>
        <w:tc>
          <w:tcPr>
            <w:tcW w:type="dxa" w:w="1872"/>
            <w:vAlign w:val="center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29/06 · 18:00</w:t>
            </w:r>
          </w:p>
        </w:tc>
        <w:tc>
          <w:tcPr>
            <w:tcW w:type="dxa" w:w="1872"/>
            <w:vAlign w:val="center"/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120 min</w:t>
            </w:r>
          </w:p>
        </w:tc>
        <w:tc>
          <w:tcPr>
            <w:tcW w:type="dxa" w:w="1872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común · pesos</w:t>
            </w:r>
          </w:p>
        </w:tc>
        <w:tc>
          <w:tcPr>
            <w:tcW w:type="dxa" w:w="1872"/>
            <w:vAlign w:val="center"/>
            <w:tcW w:w="31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Arte y colección · 2 lotes</w:t>
            </w:r>
          </w:p>
        </w:tc>
      </w:tr>
      <w:tr>
        <w:trPr>
          <w:cantSplit/>
        </w:trPr>
        <w:tc>
          <w:tcPr>
            <w:tcW w:type="dxa" w:w="1872"/>
            <w:shd w:fill="F8FAFC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18</w:t>
            </w:r>
          </w:p>
        </w:tc>
        <w:tc>
          <w:tcPr>
            <w:tcW w:type="dxa" w:w="1872"/>
            <w:shd w:fill="F8FAFC"/>
            <w:vAlign w:val="center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29/06 · 19:30</w:t>
            </w:r>
          </w:p>
        </w:tc>
        <w:tc>
          <w:tcPr>
            <w:tcW w:type="dxa" w:w="1872"/>
            <w:shd w:fill="F8FAFC"/>
            <w:vAlign w:val="center"/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120 min</w:t>
            </w:r>
          </w:p>
        </w:tc>
        <w:tc>
          <w:tcPr>
            <w:tcW w:type="dxa" w:w="1872"/>
            <w:shd w:fill="F8FAFC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plata · pesos</w:t>
            </w:r>
          </w:p>
        </w:tc>
        <w:tc>
          <w:tcPr>
            <w:tcW w:type="dxa" w:w="1872"/>
            <w:shd w:fill="F8FAFC"/>
            <w:vAlign w:val="center"/>
            <w:tcW w:w="31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Diseño y joyas · 2 lotes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19</w:t>
            </w:r>
          </w:p>
        </w:tc>
        <w:tc>
          <w:tcPr>
            <w:tcW w:type="dxa" w:w="1872"/>
            <w:vAlign w:val="center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29/06 · 21:00</w:t>
            </w:r>
          </w:p>
        </w:tc>
        <w:tc>
          <w:tcPr>
            <w:tcW w:type="dxa" w:w="1872"/>
            <w:vAlign w:val="center"/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90 min</w:t>
            </w:r>
          </w:p>
        </w:tc>
        <w:tc>
          <w:tcPr>
            <w:tcW w:type="dxa" w:w="1872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oro · dólares</w:t>
            </w:r>
          </w:p>
        </w:tc>
        <w:tc>
          <w:tcPr>
            <w:tcW w:type="dxa" w:w="1872"/>
            <w:vAlign w:val="center"/>
            <w:tcW w:w="31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Colección premium · 2 lotes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Cada producto incluye seis fotografías. Los eventos se solapan para que haya una alternativa activa durante la franja de defensa entre las 18:00 y las 22:00.</w:t>
      </w: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3. Flujo breve para mostrar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1. Ingresar como administrador y mostrar KPIs, pendientes y Gestionar subastas.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2. Abrir una subasta de defensa y comprobar fecha/hora GMT-3 y sus dos lotes.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3. Ingresar con dos clientes en dispositivos o sesiones diferentes.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4. Pujar en un lote y observar actualización WebSocket, historial y reinicio del reloj.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5. Dejar el segundo lote sin ofertas o cerrarlo desde administración.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6. Finalizar el lote ofertado y comprobar ganador, compra pendiente y aviso.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7. Confirmar que el lote sin pujas fue comprado por la empresa al precio base.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8. Volver al listado e ingresar a otra subasta: la sesión anterior ya fue liberada.</w:t>
      </w: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A8872F"/>
          <w:sz w:val="32"/>
        </w:rPr>
        <w:t>4. Controles realizados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Cierre integral con y sin pujas: aprobado.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Liberación de ganador: aprobada.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ABM administrativo: aprobado.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WebSocket con dos clientes: aprobado.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Consistencia Azure SQL y GMT-3: aprobada.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Compilación, unit tests y lint: aprobados.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Panel administrativo y formulario revisados en emulador; corregido el formato horario de SQL Server.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3F0E8"/>
          </w:tcPr>
          <w:p>
            <w:r>
              <w:rPr>
                <w:rFonts w:ascii="Calibri" w:hAnsi="Calibri"/>
                <w:b/>
                <w:i w:val="0"/>
                <w:color w:val="A8872F"/>
                <w:sz w:val="20"/>
              </w:rPr>
              <w:t>RECOMENDACIÓN DE DEMO</w:t>
              <w:br/>
            </w:r>
            <w:r>
              <w:rPr>
                <w:rFonts w:ascii="Calibri" w:hAnsi="Calibri"/>
                <w:b w:val="0"/>
                <w:i w:val="0"/>
                <w:color w:val="071827"/>
                <w:sz w:val="19"/>
              </w:rPr>
              <w:t>Usar primero la subasta #17. Las #18 y #19 quedan como respaldo o para demostrar categorías y moneda en dólares.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475569"/>
        <w:sz w:val="17"/>
      </w:rPr>
      <w:t xml:space="preserve">Grupo 15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475569"/>
        <w:sz w:val="17"/>
      </w:rPr>
      <w:t>AUCT.IO  |  ENTREGA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A887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7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