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 descr="Logotipo de Auct.io con martillo de subast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40"/>
        <w:jc w:val="center"/>
      </w:pPr>
      <w:r>
        <w:rPr>
          <w:rFonts w:ascii="Calibri" w:hAnsi="Calibri"/>
          <w:b/>
          <w:color w:val="A8872F"/>
          <w:sz w:val="22"/>
        </w:rPr>
        <w:t>MANUAL DE DEMOSTRACIÓN</w:t>
      </w:r>
    </w:p>
    <w:p>
      <w:pPr>
        <w:jc w:val="center"/>
      </w:pPr>
      <w:r>
        <w:rPr>
          <w:rFonts w:ascii="Calibri" w:hAnsi="Calibri"/>
          <w:b/>
          <w:color w:val="071827"/>
          <w:sz w:val="62"/>
        </w:rPr>
        <w:t>Auct.io</w:t>
      </w:r>
    </w:p>
    <w:p>
      <w:pPr>
        <w:jc w:val="center"/>
      </w:pPr>
      <w:r>
        <w:rPr>
          <w:rFonts w:ascii="Calibri" w:hAnsi="Calibri"/>
          <w:color w:val="475569"/>
          <w:sz w:val="30"/>
        </w:rPr>
        <w:t>Flujos funcionales, controles y plan de pruebas</w:t>
      </w:r>
    </w:p>
    <w:p>
      <w:pPr>
        <w:spacing w:before="1200"/>
        <w:jc w:val="center"/>
      </w:pPr>
      <w:r>
        <w:rPr>
          <w:rFonts w:ascii="Calibri" w:hAnsi="Calibri"/>
          <w:b/>
          <w:color w:val="071827"/>
          <w:sz w:val="22"/>
        </w:rPr>
        <w:t>Android + Node.js + Azure SQL + Render</w:t>
      </w:r>
    </w:p>
    <w:p>
      <w:pPr>
        <w:jc w:val="center"/>
      </w:pPr>
      <w:r>
        <w:rPr>
          <w:rFonts w:ascii="Calibri" w:hAnsi="Calibri"/>
          <w:color w:val="475569"/>
          <w:sz w:val="20"/>
        </w:rPr>
        <w:t>Revisión integral · 27 de junio de 2026 · versión final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3F0E8"/>
          </w:tcPr>
          <w:p>
            <w:r>
              <w:rPr>
                <w:rFonts w:ascii="Calibri" w:hAnsi="Calibri"/>
                <w:b/>
                <w:color w:val="A8872F"/>
                <w:sz w:val="20"/>
              </w:rPr>
              <w:t>PROPÓSITO</w:t>
              <w:br/>
            </w:r>
            <w:r>
              <w:rPr>
                <w:rFonts w:ascii="Calibri" w:hAnsi="Calibri"/>
                <w:color w:val="071827"/>
                <w:sz w:val="19"/>
              </w:rPr>
              <w:t>Ejecutar una demo reproducible de punta a punta y verificar cada regla crítica de la tercera entrega.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A8872F"/>
          <w:sz w:val="32"/>
        </w:rPr>
        <w:t>1. Inicio rápido</w:t>
      </w:r>
    </w:p>
    <w:p>
      <w:pPr>
        <w:spacing w:after="120" w:line="300" w:lineRule="auto"/>
      </w:pPr>
      <w:r>
        <w:rPr>
          <w:rFonts w:ascii="Calibri" w:hAnsi="Calibri"/>
          <w:color w:val="071827"/>
          <w:sz w:val="21"/>
        </w:rPr>
        <w:t>Este documento está pensado para quien presenta, prueba o corrige la aplicación. Cada flujo indica precondiciones, acciones, resultado esperado y controles negativos.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Entorno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/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Componente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Referencia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Aplicación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APK Android de Auct.io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API</w:t>
            </w:r>
          </w:p>
        </w:tc>
        <w:tc>
          <w:tcPr>
            <w:tcW w:type="dxa" w:w="70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https://auct-io-api.onrender.com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Persistencia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Azure SQL — datos de demo XL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Administrador</w:t>
            </w:r>
          </w:p>
        </w:tc>
        <w:tc>
          <w:tcPr>
            <w:tcW w:type="dxa" w:w="70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Documento 20000111 · clave 1234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Cliente principal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Documento 30123456 · clave 1234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Cliente alternativo</w:t>
            </w:r>
          </w:p>
        </w:tc>
        <w:tc>
          <w:tcPr>
            <w:tcW w:type="dxa" w:w="70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Documento 30999888 · clave 1234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Cliente bloqueado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Documento 31888777 · clave 1234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3F0E8"/>
          </w:tcPr>
          <w:p>
            <w:r>
              <w:rPr>
                <w:rFonts w:ascii="Calibri" w:hAnsi="Calibri"/>
                <w:b/>
                <w:color w:val="A8872F"/>
                <w:sz w:val="20"/>
              </w:rPr>
              <w:t>IMPORTANTE</w:t>
              <w:br/>
            </w:r>
            <w:r>
              <w:rPr>
                <w:rFonts w:ascii="Calibri" w:hAnsi="Calibri"/>
                <w:color w:val="071827"/>
                <w:sz w:val="19"/>
              </w:rPr>
              <w:t>La instancia gratuita de Render puede tardar hasta 60 segundos en despertar. Esperar la primera respuesta antes de concluir que hay una falla.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Recorrido sugerido de 15 minutos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Ingresar como cliente y mostrar Inicio, Estadísticas y Avisos.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Abrir Fotografía &amp; Tecnología y mostrar cuatro relojes e historiales independientes.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Pujar por dos lotes distintos y comprobar la actualización WebSocket en un segundo teléfono.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Comprobar ambos lotes en Historial.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Mostrar una compra y elegir el medio de pago.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Consignar un producto con seis fotos.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Ingresar como administrador, leer indicadores y resolver fichas sin escribir IDs.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Cerrar con adjudicación, pago y controles negativos.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Secuencia maestra punta a punta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71827"/>
          <w:sz w:val="21"/>
        </w:rPr>
        <w:t>Acceso cliente (30123456 / 1234): comprobar Inicio, categoría, medios y avisos.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71827"/>
          <w:sz w:val="21"/>
        </w:rPr>
        <w:t>Tiempo real: abrir el mismo catálogo en dos equipos y comparar los cuatro lotes.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71827"/>
          <w:sz w:val="21"/>
        </w:rPr>
        <w:t>Puja: ofertar y comprobar confirmación, historial y reinicio del reloj.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71827"/>
          <w:sz w:val="21"/>
        </w:rPr>
        <w:t>Consignación: enviar un bien con seis fotos y verificar el estado pendiente.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71827"/>
          <w:sz w:val="21"/>
        </w:rPr>
        <w:t>Revisión admin (20000111 / 1234): leer KPIs, badges y resolver la ficha.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71827"/>
          <w:sz w:val="21"/>
        </w:rPr>
        <w:t>Catálogo: asignar el producto aceptado por nombre a una subasta.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71827"/>
          <w:sz w:val="21"/>
        </w:rPr>
        <w:t>Cierre: adjudicar un lote con mejor oferta y generar la compra.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71827"/>
          <w:sz w:val="21"/>
        </w:rPr>
        <w:t>Pago: volver como ganador, elegir un medio compatible y acreditar.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71827"/>
          <w:sz w:val="21"/>
        </w:rPr>
        <w:t>Trazabilidad: contrastar Historial, Estadísticas y Avisos.</w:t>
      </w:r>
    </w:p>
    <w:p>
      <w:pPr>
        <w:pStyle w:val="Heading1"/>
        <w:keepNext/>
      </w:pPr>
      <w:r>
        <w:rPr>
          <w:rFonts w:ascii="Calibri" w:hAnsi="Calibri"/>
          <w:b/>
          <w:color w:val="A8872F"/>
          <w:sz w:val="32"/>
        </w:rPr>
        <w:t>2. Registro y verificación de identidad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Actor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Cliente nuevo + administrador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Crear una cuenta verificable y asignarle categoría.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Precondiciones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Usar un documento y correo no existentes.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Disponer de imágenes legibles del frente y dorso del DNI.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Ejecución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71827"/>
          <w:sz w:val="21"/>
        </w:rPr>
        <w:t>Completar datos personales y avanzar al segundo paso.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71827"/>
          <w:sz w:val="21"/>
        </w:rPr>
        <w:t>Adjuntar ambas caras del documento y finalizar.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71827"/>
          <w:sz w:val="21"/>
        </w:rPr>
        <w:t>Comprobar la pantalla de verificación pendiente.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71827"/>
          <w:sz w:val="21"/>
        </w:rPr>
        <w:t>Ingresar como administrador y tocar la ficha del usuario.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71827"/>
          <w:sz w:val="21"/>
        </w:rPr>
        <w:t>Revisar identidad, contacto y documentación; aprobar y elegir categoría.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Resultado esperado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El cliente queda admitido y recibe un aviso.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La categoría asignada condiciona qué subastas puede pujar.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Controles negativos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Rechazar documentación incompleta.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Intentar iniciar sesión antes de la admisión: debe impedirse.</w:t>
      </w:r>
    </w:p>
    <w:p>
      <w:pPr>
        <w:pStyle w:val="Heading1"/>
        <w:keepNext/>
        <w:pageBreakBefore/>
      </w:pPr>
      <w:r>
        <w:rPr>
          <w:rFonts w:ascii="Calibri" w:hAnsi="Calibri"/>
          <w:b/>
          <w:color w:val="A8872F"/>
          <w:sz w:val="32"/>
        </w:rPr>
        <w:t>3. Medios de pago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Actor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Cliente + administrador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Registrar, verificar y mantener varios medios.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Precondiciones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Cliente admitido y sesión iniciada.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Ejecución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071827"/>
          <w:sz w:val="21"/>
        </w:rPr>
        <w:t>Abrir Medios de pago y crear una cuenta, tarjeta o cheque.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071827"/>
          <w:sz w:val="21"/>
        </w:rPr>
        <w:t>Elegir moneda y completar entidad/referencia.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071827"/>
          <w:sz w:val="21"/>
        </w:rPr>
        <w:t>Ingresar como administrador y tocar la ficha pendiente.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071827"/>
          <w:sz w:val="21"/>
        </w:rPr>
        <w:t>Revisar titular, entidad, referencia, moneda y compatibilidad; aprobar en un toque.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071827"/>
          <w:sz w:val="21"/>
        </w:rPr>
        <w:t>Volver como cliente y comprobar el estado verificado.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Resultado esperado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El medio queda disponible para pujar y pagar.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Cada alta, edición y decisión genera un aviso.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Controles negativos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Un medio editado vuelve a revisión.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Una tarjeta no internacional no habilita una subasta en dólares.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Un cheque no permite superar la garantía disponible.</w:t>
      </w:r>
    </w:p>
    <w:p>
      <w:pPr>
        <w:pStyle w:val="Heading1"/>
        <w:keepNext/>
        <w:pageBreakBefore/>
      </w:pPr>
      <w:r>
        <w:rPr>
          <w:rFonts w:ascii="Calibri" w:hAnsi="Calibri"/>
          <w:b/>
          <w:color w:val="A8872F"/>
          <w:sz w:val="32"/>
        </w:rPr>
        <w:t>4. Catálogo, puja y varios artículos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Actor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Cliente comprador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Ofertar por más de un lote y visualizar cada participación con su propio reloj.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Precondiciones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Cliente admitido, sin multas ni compras vencidas.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Medio verificado compatible con la moneda.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Categoría igual o superior a la subasta.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Ejecución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color w:val="071827"/>
          <w:sz w:val="21"/>
        </w:rPr>
        <w:t>Abrir Fotografía &amp; Tecnología o cualquier subasta disponible.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color w:val="071827"/>
          <w:sz w:val="21"/>
        </w:rPr>
        <w:t>Recorrer todos los lotes abiertos; cada tarjeta debe mostrar su reloj y las últimas tres ofertas.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color w:val="071827"/>
          <w:sz w:val="21"/>
        </w:rPr>
        <w:t>Anotar la duración configurada y pujar por un primer lote.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color w:val="071827"/>
          <w:sz w:val="21"/>
        </w:rPr>
        <w:t>Confirmar que sólo ese reloj vuelve a la duración completa y que la oferta aparece primera en el mini historial.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color w:val="071827"/>
          <w:sz w:val="21"/>
        </w:rPr>
        <w:t>Sin salir de la subasta, pujar por otro lote abierto del mismo catálogo.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color w:val="071827"/>
          <w:sz w:val="21"/>
        </w:rPr>
        <w:t>Comprobar que mejores ofertas, relojes y liderazgos cambian solos en dos teléfonos.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color w:val="071827"/>
          <w:sz w:val="21"/>
        </w:rPr>
        <w:t>Abrir Historial y verificar dos fichas independientes actualizadas automáticamente.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color w:val="071827"/>
          <w:sz w:val="21"/>
        </w:rPr>
        <w:t>Tocar cada ficha para volver a su subasta.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Resultado esperado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Puede haber varios lotes recibiendo pujas simultáneamente dentro del catálogo.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Cada lote conserva contador, historial, oferta propia, mejor actual y estado GANADO/LIDERANDO/SUPERADA.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WebSocket sincroniza el catálogo y se reconecta si se corta la red.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La puja genera un aviso y nunca reemplaza a otra participación.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Controles negativos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Probar menos de mejor oferta + 1% de base: rechazo.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Probar más de mejor oferta + 20% de base en categorías no premium: rechazo.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Cambiar de subasta debe permitirse antes de ofertar y bloquearse, con explicación, después de una puja.</w:t>
      </w:r>
    </w:p>
    <w:p>
      <w:pPr>
        <w:pStyle w:val="Heading1"/>
        <w:keepNext/>
        <w:pageBreakBefore/>
      </w:pPr>
      <w:r>
        <w:rPr>
          <w:rFonts w:ascii="Calibri" w:hAnsi="Calibri"/>
          <w:b/>
          <w:color w:val="A8872F"/>
          <w:sz w:val="32"/>
        </w:rPr>
        <w:t>5. Adjudicación y pago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Actor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Ganador + administrador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Cerrar el lote, generar la compra y elegir cómo abonarla.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Precondiciones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Lote activo con al menos una oferta.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Ganador con un medio verificado compatible.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Ejecución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color w:val="071827"/>
          <w:sz w:val="21"/>
        </w:rPr>
        <w:t>Desde el panel interno elegir Cerrar lote.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color w:val="071827"/>
          <w:sz w:val="21"/>
        </w:rPr>
        <w:t>Seleccionar la ficha que muestra artículo, pujas y mejor oferta.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color w:val="071827"/>
          <w:sz w:val="21"/>
        </w:rPr>
        <w:t>Confirmar adjudicación.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color w:val="071827"/>
          <w:sz w:val="21"/>
        </w:rPr>
        <w:t>Ingresar como ganador y abrir Compras.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color w:val="071827"/>
          <w:sz w:val="21"/>
        </w:rPr>
        <w:t>Tocar ELEGIR MEDIO Y PAGAR.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color w:val="071827"/>
          <w:sz w:val="21"/>
        </w:rPr>
        <w:t>Seleccionar uno de los medios compatibles y confirmar.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Resultado esperado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La venta conserva importe, comisión, envío, moneda y medio elegido.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El estado pasa a pagado y aparece un aviso de acreditación.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Controles negativos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Un cheque insuficiente debe rechazarse.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Un medio de otro cliente o no verificado debe rechazarse.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Tras 72 h impago, el cliente no puede volver a pujar.</w:t>
      </w:r>
    </w:p>
    <w:p>
      <w:pPr>
        <w:pStyle w:val="Heading1"/>
        <w:keepNext/>
        <w:pageBreakBefore/>
      </w:pPr>
      <w:r>
        <w:rPr>
          <w:rFonts w:ascii="Calibri" w:hAnsi="Calibri"/>
          <w:b/>
          <w:color w:val="A8872F"/>
          <w:sz w:val="32"/>
        </w:rPr>
        <w:t>6. Consignación de un producto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Actor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Cliente vendedor + administrador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Ingresar un bien, negociar condiciones e incorporarlo a una subasta.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Precondiciones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Cliente admitido.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Al menos seis fotos del artículo.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Descripción, procedencia y declaración de propiedad.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Ejecución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color w:val="071827"/>
          <w:sz w:val="21"/>
        </w:rPr>
        <w:t>Abrir Consignar y completar toda la ficha.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color w:val="071827"/>
          <w:sz w:val="21"/>
        </w:rPr>
        <w:t>Adjuntar seis o más fotos sin deformación.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color w:val="071827"/>
          <w:sz w:val="21"/>
        </w:rPr>
        <w:t>Enviar a inspección.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color w:val="071827"/>
          <w:sz w:val="21"/>
        </w:rPr>
        <w:t>Como administrador tocar la ficha, revisar toda la información y enviar precio base/comisión.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color w:val="071827"/>
          <w:sz w:val="21"/>
        </w:rPr>
        <w:t>Como cliente aceptar la propuesta.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color w:val="071827"/>
          <w:sz w:val="21"/>
        </w:rPr>
        <w:t>Como administrador elegir Asignar a subasta, seleccionar producto y destino por nombre y confirmar.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Resultado esperado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El producto recorre estados auditables y cada cambio crea un aviso.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Solo un producto aceptado por su titular puede incorporarse al catálogo.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Controles negativos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Con menos de seis fotos debe impedirse el envío.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Un rechazo requiere motivo.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No debe asignarse un producto todavía pendiente.</w:t>
      </w:r>
    </w:p>
    <w:p>
      <w:pPr>
        <w:pStyle w:val="Heading1"/>
        <w:keepNext/>
        <w:pageBreakBefore/>
      </w:pPr>
      <w:r>
        <w:rPr>
          <w:rFonts w:ascii="Calibri" w:hAnsi="Calibri"/>
          <w:b/>
          <w:color w:val="A8872F"/>
          <w:sz w:val="32"/>
        </w:rPr>
        <w:t>7. Operación administrativa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Actor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Empleado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Resolver pendientes y administrar subastas sin conocer IDs.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Precondiciones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Ingresar con 20000111 / 1234.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Ejecución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color w:val="071827"/>
          <w:sz w:val="21"/>
        </w:rPr>
        <w:t>Leer el bloque ejecutivo: clientes habilitados, subastas activas, lotes y pagos pendientes.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color w:val="071827"/>
          <w:sz w:val="21"/>
        </w:rPr>
        <w:t>Comprobar los badges numéricos de cada acción.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color w:val="071827"/>
          <w:sz w:val="21"/>
        </w:rPr>
        <w:t>Tocar Revisar usuarios, Medios de pago o Consignaciones; la pantalla debe desplazarse directamente a la cola correspondiente.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color w:val="071827"/>
          <w:sz w:val="21"/>
        </w:rPr>
        <w:t>Tocar una ficha para ver toda la información y aprobar o rechazar.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color w:val="071827"/>
          <w:sz w:val="21"/>
        </w:rPr>
        <w:t>Gestionar altas, modificaciones, cancelaciones y bajas de subastas.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color w:val="071827"/>
          <w:sz w:val="21"/>
        </w:rPr>
        <w:t>Asignar productos mediante selectores descriptivos.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color w:val="071827"/>
          <w:sz w:val="21"/>
        </w:rPr>
        <w:t>Cerrar lotes desde la lista de lotes abiertos.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color w:val="071827"/>
          <w:sz w:val="21"/>
        </w:rPr>
        <w:t>Aplicar multa desde la lista de impagos vencidos; confirmar el 10% calculado.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Resultado esperado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No se solicita copiar IDs técnicos.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Los indicadores y colas se refrescan al volver al panel.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Cada decisión muestra confirmación estándar y actualiza pendientes.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Controles negativos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Una subasta con dependencias no debe eliminarse.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No debe ofrecerse multa antes de 72 horas ni duplicar una pendiente.</w:t>
      </w:r>
    </w:p>
    <w:p>
      <w:pPr>
        <w:pStyle w:val="Heading1"/>
        <w:keepNext/>
        <w:pageBreakBefore/>
      </w:pPr>
      <w:r>
        <w:rPr>
          <w:rFonts w:ascii="Calibri" w:hAnsi="Calibri"/>
          <w:b/>
          <w:color w:val="A8872F"/>
          <w:sz w:val="32"/>
        </w:rPr>
        <w:t>8. Avisos y estadísticas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Actor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Cliente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Consultar trazabilidad y actividad personal.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Precondiciones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Haber realizado al menos una acción relevante.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Ejecución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color w:val="071827"/>
          <w:sz w:val="21"/>
        </w:rPr>
        <w:t>Abrir Avisos y revisar los eventos ordenados.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color w:val="071827"/>
          <w:sz w:val="21"/>
        </w:rPr>
        <w:t>Marcar un aviso como leído.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color w:val="071827"/>
          <w:sz w:val="21"/>
        </w:rPr>
        <w:t>Abrir Estadísticas.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color w:val="071827"/>
          <w:sz w:val="21"/>
        </w:rPr>
        <w:t>Comparar subastas, lotes, pujas, ganados, consignados y avisos.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color w:val="071827"/>
          <w:sz w:val="21"/>
        </w:rPr>
        <w:t>Revisar barras por categoría y actividad reciente.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Resultado esperado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Las métricas coinciden con Historial y Compras.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Las acciones relevantes quedan persistidas, no solo mostradas en un popup.</w:t>
      </w:r>
    </w:p>
    <w:p>
      <w:pPr>
        <w:pStyle w:val="Heading2"/>
        <w:keepNext/>
      </w:pPr>
      <w:r>
        <w:rPr>
          <w:rFonts w:ascii="Calibri" w:hAnsi="Calibri"/>
          <w:b/>
          <w:color w:val="071827"/>
          <w:sz w:val="26"/>
        </w:rPr>
        <w:t>Controles negativos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Un usuario sin actividad debe ver estados vacíos claros, no una pantalla rota.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A8872F"/>
          <w:sz w:val="32"/>
        </w:rPr>
        <w:t>9. Matriz de pruebas negativas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5160"/>
      </w:tblGrid>
      <w:tr>
        <w:trPr>
          <w:tblHeader/>
          <w:cantSplit/>
        </w:trP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Caso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Acción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N01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Pujar sin medio verificado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Bloqueo con explicación y acceso a medios de pago.</w:t>
            </w:r>
          </w:p>
        </w:tc>
      </w:tr>
      <w:tr>
        <w:trPr>
          <w:cantSplit/>
        </w:trPr>
        <w:tc>
          <w:tcPr>
            <w:tcW w:type="dxa" w:w="9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N02</w:t>
            </w:r>
          </w:p>
        </w:tc>
        <w:tc>
          <w:tcPr>
            <w:tcW w:type="dxa" w:w="33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Pujar con categoría inferior</w:t>
            </w:r>
          </w:p>
        </w:tc>
        <w:tc>
          <w:tcPr>
            <w:tcW w:type="dxa" w:w="51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Bloqueo por categoría insuficiente.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N03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Pujar con multa pendiente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Bloqueo hasta regularización.</w:t>
            </w:r>
          </w:p>
        </w:tc>
      </w:tr>
      <w:tr>
        <w:trPr>
          <w:cantSplit/>
        </w:trPr>
        <w:tc>
          <w:tcPr>
            <w:tcW w:type="dxa" w:w="9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N04</w:t>
            </w:r>
          </w:p>
        </w:tc>
        <w:tc>
          <w:tcPr>
            <w:tcW w:type="dxa" w:w="33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Pujar con compra vencida &gt;72 h</w:t>
            </w:r>
          </w:p>
        </w:tc>
        <w:tc>
          <w:tcPr>
            <w:tcW w:type="dxa" w:w="51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Bloqueo por incumplimiento.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N05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Puja menor al mínimo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HTTP 400; no insertar oferta.</w:t>
            </w:r>
          </w:p>
        </w:tc>
      </w:tr>
      <w:tr>
        <w:trPr>
          <w:cantSplit/>
        </w:trPr>
        <w:tc>
          <w:tcPr>
            <w:tcW w:type="dxa" w:w="9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N06</w:t>
            </w:r>
          </w:p>
        </w:tc>
        <w:tc>
          <w:tcPr>
            <w:tcW w:type="dxa" w:w="33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Puja mayor al máximo no premium</w:t>
            </w:r>
          </w:p>
        </w:tc>
        <w:tc>
          <w:tcPr>
            <w:tcW w:type="dxa" w:w="51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HTTP 400; mostrar máximo permitido.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N07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Pagar con moneda incompatible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No ofrecer el medio o rechazarlo en servidor.</w:t>
            </w:r>
          </w:p>
        </w:tc>
      </w:tr>
      <w:tr>
        <w:trPr>
          <w:cantSplit/>
        </w:trPr>
        <w:tc>
          <w:tcPr>
            <w:tcW w:type="dxa" w:w="9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N08</w:t>
            </w:r>
          </w:p>
        </w:tc>
        <w:tc>
          <w:tcPr>
            <w:tcW w:type="dxa" w:w="33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Consignar con menos de 6 fotos</w:t>
            </w:r>
          </w:p>
        </w:tc>
        <w:tc>
          <w:tcPr>
            <w:tcW w:type="dxa" w:w="51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No crear producto.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N09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Asignar producto no aceptado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Conflicto; no crear lote.</w:t>
            </w:r>
          </w:p>
        </w:tc>
      </w:tr>
      <w:tr>
        <w:trPr>
          <w:cantSplit/>
        </w:trPr>
        <w:tc>
          <w:tcPr>
            <w:tcW w:type="dxa" w:w="9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N10</w:t>
            </w:r>
          </w:p>
        </w:tc>
        <w:tc>
          <w:tcPr>
            <w:tcW w:type="dxa" w:w="33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Cerrar lote sin ofertas</w:t>
            </w:r>
          </w:p>
        </w:tc>
        <w:tc>
          <w:tcPr>
            <w:tcW w:type="dxa" w:w="51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Compra automática por la empresa al precio base.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N11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Entrar a dos subastas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Mantener una sola sesión activa.</w:t>
            </w:r>
          </w:p>
        </w:tc>
      </w:tr>
      <w:tr>
        <w:trPr>
          <w:cantSplit/>
        </w:trPr>
        <w:tc>
          <w:tcPr>
            <w:tcW w:type="dxa" w:w="9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N12</w:t>
            </w:r>
          </w:p>
        </w:tc>
        <w:tc>
          <w:tcPr>
            <w:tcW w:type="dxa" w:w="33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Eliminar subasta con dependencias</w:t>
            </w:r>
          </w:p>
        </w:tc>
        <w:tc>
          <w:tcPr>
            <w:tcW w:type="dxa" w:w="51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Rechazo y conservación de datos.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A8872F"/>
          <w:sz w:val="32"/>
        </w:rPr>
        <w:t>10. Cumplimiento de la consigna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5960"/>
      </w:tblGrid>
      <w:tr>
        <w:trPr>
          <w:tblHeader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Área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Estado</w:t>
            </w:r>
          </w:p>
        </w:tc>
        <w:tc>
          <w:tcPr>
            <w:tcW w:type="dxa" w:w="5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827"/>
                <w:sz w:val="18"/>
              </w:rPr>
              <w:t>Verificación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Identidad y categoría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Cumple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Registro en dos pasos, DNI, revisión y categoría.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Pagos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Cumple</w:t>
            </w:r>
          </w:p>
        </w:tc>
        <w:tc>
          <w:tcPr>
            <w:tcW w:type="dxa" w:w="59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Múltiples medios, verificación, moneda, cheque y selección al pagar.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Pujas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Cumple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Tiempo real, reglas 1%/20%, confirmación y trazabilidad.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Adjudicación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Cumple</w:t>
            </w:r>
          </w:p>
        </w:tc>
        <w:tc>
          <w:tcPr>
            <w:tcW w:type="dxa" w:w="59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Ganador, comisión, envío, retiro y compra sin ofertas.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Impagos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Cumple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72 h, bloqueo y multa automática sugerida del 10%.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Consignación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Cumple</w:t>
            </w:r>
          </w:p>
        </w:tc>
        <w:tc>
          <w:tcPr>
            <w:tcW w:type="dxa" w:w="59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6 fotos, propiedad, inspección, propuesta y aceptación.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Administración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Cumple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Información completa y decisiones sin IDs manuales.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Panel ejecutivo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Cumple</w:t>
            </w:r>
          </w:p>
        </w:tc>
        <w:tc>
          <w:tcPr>
            <w:tcW w:type="dxa" w:w="59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KPIs operativos, badges de trabajo e iconografía específica por acción.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Estadísticas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Cumple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Participaciones, pujas, categorías, ganados e importes.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Video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Fuera de alcance</w:t>
            </w:r>
          </w:p>
        </w:tc>
        <w:tc>
          <w:tcPr>
            <w:tcW w:type="dxa" w:w="59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La consigna lo excluye expresamente.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Servicios externos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Representados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71827"/>
                <w:sz w:val="17"/>
              </w:rPr>
              <w:t>Póliza, correo y fondos reales requieren proveedor productivo.</w:t>
            </w:r>
          </w:p>
        </w:tc>
      </w:tr>
    </w:tbl>
    <w:p>
      <w:pPr>
        <w:spacing w:after="120" w:line="300" w:lineRule="auto"/>
      </w:pPr>
      <w:r>
        <w:rPr>
          <w:rFonts w:ascii="Calibri" w:hAnsi="Calibri"/>
          <w:color w:val="071827"/>
          <w:sz w:val="21"/>
        </w:rPr>
        <w:t>Las integraciones de aseguradora, correo transaccional, banco adquirente y transferencia al consignante se modelan mediante estados y avisos persistentes. En un despliegue productivo deben conectarse a proveedores con credenciales reales; la entrega no procesa dinero ni emite pólizas reales.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A8872F"/>
          <w:sz w:val="32"/>
        </w:rPr>
        <w:t>11. Checklist visual y de cierre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El encabezado ocupa una franja compacta y no empuja el contenido fuera de pantalla.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Ninguna fotografía se estira: se usa recorte proporcional en tarjetas y ajuste contenido en galerías.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Todos los popups usan fondo, iconos, tipografía y acciones consistentes con Auct.io.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Los iconos administrativos representan su acción, tienen tamaño uniforme y descripción accesible.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Botones principales tienen altura táctil suficiente y estados habilitado/deshabilitado visibles.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Listas vacías explican qué falta hacer.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Los formularios validan antes de enviar y el backend vuelve a validar reglas económicas.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Las operaciones exitosas actualizan la pantalla y generan aviso cuando corresponde.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Probar en teléfono real: inicio, rotación bloqueada si aplica, teclado, scroll y retorno.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Confirmar API /api/health y esperar el despertar de Render antes de la demo.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71827"/>
          <w:sz w:val="21"/>
        </w:rPr>
        <w:t>Usar datos demo; no compartir credenciales reales de Azure SQL en capturas o repositorios.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3F0E8"/>
          </w:tcPr>
          <w:p>
            <w:r>
              <w:rPr>
                <w:rFonts w:ascii="Calibri" w:hAnsi="Calibri"/>
                <w:b/>
                <w:color w:val="166534"/>
                <w:sz w:val="20"/>
              </w:rPr>
              <w:t>CRITERIO DE APROBACIÓN</w:t>
              <w:br/>
            </w:r>
            <w:r>
              <w:rPr>
                <w:rFonts w:ascii="Calibri" w:hAnsi="Calibri"/>
                <w:color w:val="071827"/>
                <w:sz w:val="19"/>
              </w:rPr>
              <w:t>La demo se considera lista cuando los ocho flujos principales y los doce controles negativos arrojan los resultados esperados sin cierres de la app, contenido recortado ni datos inconsistentes.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75569"/>
        <w:sz w:val="17"/>
      </w:rPr>
      <w:t xml:space="preserve">Entrega 3  ·  Grupo 15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475569"/>
        <w:sz w:val="17"/>
      </w:rPr>
      <w:t>AUCT.IO  |  GUÍA DE OPERACIÓN Y PRUEBAS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A887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7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