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200"/>
      </w:pPr>
      <w:r>
        <w:t xml:space="preserve">Guía de Defensa Técnica — Proyecto Peluquería Backend</w:t>
      </w:r>
    </w:p>
    <w:p>
      <w:pPr>
        <w:pStyle w:val="Heading3"/>
        <w:spacing w:after="80" w:before="200"/>
      </w:pPr>
      <w:r>
        <w:t xml:space="preserve">Evaluación Sumativa 3 · DSY1103 Desarrollo FullStack 1</w:t>
      </w:r>
    </w:p>
    <w:p>
      <w:pPr>
        <w:pBdr>
          <w:left w:val="single" w:color="999999" w:sz="18" w:space="120"/>
        </w:pBdr>
        <w:shd w:fill="F7F7F7" w:val="clear"/>
        <w:spacing w:after="80"/>
        <w:ind w:left="360"/>
      </w:pP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00"/>
      </w:pPr>
      <w:r>
        <w:t xml:space="preserve">Índice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Visión general del proyecto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Bloque 1 — Pruebas unitarias con JUnit 5 + Mockito (IE 3.1.2 = 7%, IE 3.1.3 = 13%)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Bloque 2 — Levantar y configurar los servicios (IE 3.3.7 = 10%, IE 3.3.6 = 6%)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Preguntas tipo defensa con respuestas modelo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Cheat sheet (referencia rápida)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00"/>
      </w:pPr>
      <w:r>
        <w:t xml:space="preserve">1. Visión general del proyecto</w:t>
      </w:r>
    </w:p>
    <w:p>
      <w:pPr>
        <w:spacing w:after="120"/>
      </w:pPr>
      <w:r>
        <w:t xml:space="preserve">Sistema de e-commerce de productos de belleza/peluquería con </w:t>
      </w:r>
      <w:r>
        <w:rPr>
          <w:b/>
          <w:bCs/>
        </w:rPr>
        <w:t xml:space="preserve">arquitectura de microservicios</w:t>
      </w:r>
      <w:r>
        <w:t xml:space="preserve"> (Spring Boot + Spring Cloud).</w:t>
      </w:r>
    </w:p>
    <w:p>
      <w:pPr>
        <w:spacing w:after="120"/>
      </w:pPr>
      <w:r>
        <w:rPr>
          <w:b/>
          <w:bCs/>
        </w:rPr>
        <w:t xml:space="preserve">10 servicios en total: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Servicio</w:t>
            </w:r>
          </w:p>
        </w:tc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Función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eureka-server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8761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Registro de servicios (Service Discovery)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api-gateway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8080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Puerta de entrada y enrutamiento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ms-auth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8081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Autenticación JWT y usuarios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ms-productos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8082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Catálogo de productos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ms-carrito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8083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Carrito de compras (llama a ms-productos)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ms-pedidos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8084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Pedidos, calcula subtotal/IVA/total (llama a ms-productos)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ms-pago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8085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Procesamiento de pagos (al aprobar: notifica y crea despacho)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ms-despacho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8086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Despachos y tracking (al crear/cambiar estado: notifica)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ms-notificaciones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8087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Notificaciones por usuario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ms-reportes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8089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Analítica de ventas: consulta ms-pedidos y ms-pago (Feign), KPIs en JSON y exportación a Excel (Apache POI)</w:t>
            </w:r>
          </w:p>
        </w:tc>
      </w:tr>
    </w:tbl>
    <w:p>
      <w:pPr>
        <w:spacing w:after="120"/>
      </w:pPr>
    </w:p>
    <w:p>
      <w:pPr>
        <w:pBdr>
          <w:left w:val="single" w:color="999999" w:sz="18" w:space="120"/>
        </w:pBdr>
        <w:shd w:fill="F7F7F7" w:val="clear"/>
        <w:spacing w:after="80"/>
        <w:ind w:left="360"/>
      </w:pPr>
    </w:p>
    <w:p>
      <w:pPr>
        <w:spacing w:after="120"/>
      </w:pPr>
      <w:r>
        <w:rPr>
          <w:b/>
          <w:bCs/>
        </w:rPr>
        <w:t xml:space="preserve">Patrón de arquitectura por servicio (CSR):</w:t>
      </w:r>
      <w:r>
        <w:t xml:space="preserve">
</w:t>
      </w:r>
      <w:r>
        <w:rPr>
          <w:rFonts w:ascii="Consolas" w:cs="Consolas" w:eastAsia="Consolas" w:hAnsi="Consolas"/>
        </w:rPr>
        <w:t xml:space="preserve">controller</w:t>
      </w:r>
      <w:r>
        <w:t xml:space="preserve"> → </w:t>
      </w:r>
      <w:r>
        <w:rPr>
          <w:rFonts w:ascii="Consolas" w:cs="Consolas" w:eastAsia="Consolas" w:hAnsi="Consolas"/>
        </w:rPr>
        <w:t xml:space="preserve">service</w:t>
      </w:r>
      <w:r>
        <w:t xml:space="preserve"> (interface + impl) → </w:t>
      </w:r>
      <w:r>
        <w:rPr>
          <w:rFonts w:ascii="Consolas" w:cs="Consolas" w:eastAsia="Consolas" w:hAnsi="Consolas"/>
        </w:rPr>
        <w:t xml:space="preserve">repository</w:t>
      </w:r>
      <w:r>
        <w:t xml:space="preserve"> → </w:t>
      </w:r>
      <w:r>
        <w:rPr>
          <w:rFonts w:ascii="Consolas" w:cs="Consolas" w:eastAsia="Consolas" w:hAnsi="Consolas"/>
        </w:rPr>
        <w:t xml:space="preserve">model</w:t>
      </w:r>
      <w:r>
        <w:t xml:space="preserve">, con </w:t>
      </w:r>
      <w:r>
        <w:rPr>
          <w:rFonts w:ascii="Consolas" w:cs="Consolas" w:eastAsia="Consolas" w:hAnsi="Consolas"/>
        </w:rPr>
        <w:t xml:space="preserve">dto</w:t>
      </w:r>
      <w:r>
        <w:t xml:space="preserve">, </w:t>
      </w:r>
      <w:r>
        <w:rPr>
          <w:rFonts w:ascii="Consolas" w:cs="Consolas" w:eastAsia="Consolas" w:hAnsi="Consolas"/>
        </w:rPr>
        <w:t xml:space="preserve">mapper</w:t>
      </w:r>
      <w:r>
        <w:t xml:space="preserve">, </w:t>
      </w:r>
      <w:r>
        <w:rPr>
          <w:rFonts w:ascii="Consolas" w:cs="Consolas" w:eastAsia="Consolas" w:hAnsi="Consolas"/>
        </w:rPr>
        <w:t xml:space="preserve">exception</w:t>
      </w:r>
      <w:r>
        <w:t xml:space="preserve"> y </w:t>
      </w:r>
      <w:r>
        <w:rPr>
          <w:rFonts w:ascii="Consolas" w:cs="Consolas" w:eastAsia="Consolas" w:hAnsi="Consolas"/>
        </w:rPr>
        <w:t xml:space="preserve">client</w:t>
      </w:r>
      <w:r>
        <w:t xml:space="preserve"> (Feign) donde aplica.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00"/>
      </w:pPr>
      <w:r>
        <w:t xml:space="preserve">2. Bloque 1 — Pruebas unitarias con JUnit 5 + Mockito</w:t>
      </w:r>
    </w:p>
    <w:p>
      <w:pPr>
        <w:pStyle w:val="Heading3"/>
        <w:spacing w:after="80" w:before="200"/>
      </w:pPr>
      <w:r>
        <w:t xml:space="preserve">2.1 ¿Por qué "unitaria" y por qué mocks?</w:t>
      </w:r>
    </w:p>
    <w:p>
      <w:pPr>
        <w:spacing w:after="120"/>
      </w:pPr>
      <w:r>
        <w:t xml:space="preserve">Una prueba </w:t>
      </w:r>
      <w:r>
        <w:rPr>
          <w:b/>
          <w:bCs/>
        </w:rPr>
        <w:t xml:space="preserve">unitaria</w:t>
      </w:r>
      <w:r>
        <w:t xml:space="preserve"> valida UNA unidad de lógica (un método del </w:t>
      </w:r>
      <w:r>
        <w:rPr>
          <w:rFonts w:ascii="Consolas" w:cs="Consolas" w:eastAsia="Consolas" w:hAnsi="Consolas"/>
        </w:rPr>
        <w:t xml:space="preserve">Service</w:t>
      </w:r>
      <w:r>
        <w:t xml:space="preserve">) </w:t>
      </w:r>
      <w:r>
        <w:rPr>
          <w:b/>
          <w:bCs/>
        </w:rPr>
        <w:t xml:space="preserve">aislada</w:t>
      </w:r>
      <w:r>
        <w:t xml:space="preserve"> de sus dependencias. El </w:t>
      </w:r>
      <w:r>
        <w:rPr>
          <w:rFonts w:ascii="Consolas" w:cs="Consolas" w:eastAsia="Consolas" w:hAnsi="Consolas"/>
        </w:rPr>
        <w:t xml:space="preserve">ProductoServiceImpl</w:t>
      </w:r>
      <w:r>
        <w:t xml:space="preserve"> depende de </w:t>
      </w:r>
      <w:r>
        <w:rPr>
          <w:rFonts w:ascii="Consolas" w:cs="Consolas" w:eastAsia="Consolas" w:hAnsi="Consolas"/>
        </w:rPr>
        <w:t xml:space="preserve">ProductoRepository</w:t>
      </w:r>
      <w:r>
        <w:t xml:space="preserve">, que habla con MySQL. Si la prueba usara la base de datos real, sería de integración: lenta y frágil.</w:t>
      </w:r>
    </w:p>
    <w:p>
      <w:pPr>
        <w:spacing w:after="120"/>
      </w:pPr>
      <w:r>
        <w:t xml:space="preserve">La solución es el </w:t>
      </w:r>
      <w:r>
        <w:rPr>
          <w:b/>
          <w:bCs/>
        </w:rPr>
        <w:t xml:space="preserve">mock</w:t>
      </w:r>
      <w:r>
        <w:t xml:space="preserve">: un objeto falso que simula al repositorio. Le decimos "cuando te llamen así, responde esto" y verificamos que el servicio reaccione correctamente, sin tocar la base de datos.</w:t>
      </w:r>
    </w:p>
    <w:p>
      <w:pPr>
        <w:pStyle w:val="Heading3"/>
        <w:spacing w:after="80" w:before="200"/>
      </w:pPr>
      <w:r>
        <w:t xml:space="preserve">2.2 Las 3 anotaciones clave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@ExtendWith(MockitoExtension.class)   // 1. Activa Mockito en JUnit 5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public class ProductoServiceImplTest 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@Mock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private ProductoRepository productoRepository;  // 2. Repositorio FALSO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@InjectMocks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private ProductoServiceImpl productoService;     // 3. Servicio REAL con el mock inyectado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Anotación</w:t>
            </w:r>
          </w:p>
        </w:tc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Qué hace</w:t>
            </w:r>
          </w:p>
        </w:tc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Cómo se explica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@ExtendWith(MockitoExtension.class)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Integra Mockito con el ciclo de vida de JUnit 5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"Le digo a JUnit que use la extensión de Mockito para gestionar mis mocks"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@Mock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 un doble de prueba del repositorio, sin lógica real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"Simulo el repositorio para no depender de la base de datos"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@InjectMocks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Instancia la clase real a probar e inyecta los </w:t>
            </w:r>
            <w:r>
              <w:rPr>
                <w:rFonts w:ascii="Consolas" w:cs="Consolas" w:eastAsia="Consolas" w:hAnsi="Consolas"/>
              </w:rPr>
              <w:t xml:space="preserve">@Mock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"Es mi servicio real, pero con el repositorio falso adentro"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t xml:space="preserve">2.3 La estructura Given–When–Then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@Test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void crear_Success() 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GIVEN (Dado) — preparo el escenario y configuro el mock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when(productoRepository.save(any(Producto.class))).thenReturn(producto);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WHEN (Cuando) — ejecuto el método que pruebo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ProductoResponseDTO response = productoService.crear(requestDTO);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THEN (Entonces) — verifico el resultado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assertNotNull(response);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assertEquals(producto.getNombre(), response.getNombre());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verify(productoRepository, times(1)).save(any(Producto.class));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Given:</w:t>
      </w:r>
      <w:r>
        <w:t xml:space="preserve"> </w:t>
      </w:r>
      <w:r>
        <w:rPr>
          <w:rFonts w:ascii="Consolas" w:cs="Consolas" w:eastAsia="Consolas" w:hAnsi="Consolas"/>
        </w:rPr>
        <w:t xml:space="preserve">when(...).thenReturn(...)</w:t>
      </w:r>
      <w:r>
        <w:t xml:space="preserve"> configura el mock (</w:t>
      </w:r>
      <w:r>
        <w:rPr>
          <w:i/>
          <w:iCs/>
        </w:rPr>
        <w:t xml:space="preserve">stubbing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When:</w:t>
      </w:r>
      <w:r>
        <w:t xml:space="preserve"> llamo al método real.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Then:</w:t>
      </w:r>
      <w:r>
        <w:t xml:space="preserve"> dos tipos de comprobación: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assertEquals/assertNotNull</w:t>
      </w:r>
      <w:r>
        <w:t xml:space="preserve"> → verifican el </w:t>
      </w:r>
      <w:r>
        <w:rPr>
          <w:b/>
          <w:bCs/>
        </w:rPr>
        <w:t xml:space="preserve">valor devuelto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verify(...)</w:t>
      </w:r>
      <w:r>
        <w:t xml:space="preserve"> → verifica el </w:t>
      </w:r>
      <w:r>
        <w:rPr>
          <w:b/>
          <w:bCs/>
        </w:rPr>
        <w:t xml:space="preserve">comportamiento</w:t>
      </w:r>
      <w:r>
        <w:t xml:space="preserve"> (que se llamó al método).</w:t>
      </w:r>
    </w:p>
    <w:p>
      <w:pPr>
        <w:pStyle w:val="Heading3"/>
        <w:spacing w:after="80" w:before="200"/>
      </w:pPr>
      <w:r>
        <w:t xml:space="preserve">2.4 Métodos clave de Mockito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Método</w:t>
            </w:r>
          </w:p>
        </w:tc>
        <w:tc>
          <w:tcPr>
            <w:tcW w:type="dxa" w:w="468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Para qué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when(x).thenReturn(y)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"si pasa x, responde y"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when(x).thenThrow(...)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simula que la dependencia lanza excepción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when(x).thenAnswer(inv -&gt; ...)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respuesta que depende del argumento recibido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verify(mock).metodo()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confirma que se llamó al método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verify(mock, times(1))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...exactamente N veces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verify(mock, never())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...que NUNCA se llamó (clave en tests de error)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any()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anyLong()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anyString()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"cualquier argumento de ese tipo"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assertThrows(Exc.class, () -&gt; ...)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verifica que el método lanza una excepción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t xml:space="preserve">2.5 Relacionar cada test con su regla de negocio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@Test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void crear_CategoriaInvalida() 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GIVEN: una categoría que no existe en el enum Categoria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requestDTO.setCategoria("INVALIDA");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WHEN / THEN: el servicio debe rechazarla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IllegalArgumentException exception = assertThrows(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IllegalArgumentException.class,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() -&gt; productoService.crear(requestDTO));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assertTrue(exception.getMessage().contains("Categoría inválida"));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verify(productoRepository, never()).save(any(Producto.class)); // NO debe guardar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</w:rPr>
        <w:t xml:space="preserve">Cómo se defiende:</w:t>
      </w:r>
      <w:r>
        <w:t xml:space="preserve"> "Esta prueba valida la regla de que solo se aceptan categorías del enum. Verifico dos cosas: que lanza </w:t>
      </w:r>
      <w:r>
        <w:rPr>
          <w:rFonts w:ascii="Consolas" w:cs="Consolas" w:eastAsia="Consolas" w:hAnsi="Consolas"/>
        </w:rPr>
        <w:t xml:space="preserve">IllegalArgumentException</w:t>
      </w:r>
      <w:r>
        <w:t xml:space="preserve">, y con </w:t>
      </w:r>
      <w:r>
        <w:rPr>
          <w:rFonts w:ascii="Consolas" w:cs="Consolas" w:eastAsia="Consolas" w:hAnsi="Consolas"/>
        </w:rPr>
        <w:t xml:space="preserve">verify(..., never())</w:t>
      </w:r>
      <w:r>
        <w:t xml:space="preserve"> que NO llegó a guardar, porque la validación corta antes."</w:t>
      </w:r>
    </w:p>
    <w:p>
      <w:pPr>
        <w:pStyle w:val="Heading3"/>
        <w:spacing w:after="80" w:before="200"/>
      </w:pPr>
      <w:r>
        <w:t xml:space="preserve">2.6 Caso especial: comunicación entre microservicios (ms-pedidos)</w:t>
      </w:r>
    </w:p>
    <w:p>
      <w:pPr>
        <w:spacing w:after="120"/>
      </w:pPr>
      <w:r>
        <w:t xml:space="preserve">Mockea </w:t>
      </w:r>
      <w:r>
        <w:rPr>
          <w:b/>
          <w:bCs/>
        </w:rPr>
        <w:t xml:space="preserve">dos</w:t>
      </w:r>
      <w:r>
        <w:t xml:space="preserve"> dependencias, incluido el Feign Client (cliente REST a ms-productos).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@Mock private PedidoRepository pedidoRepository;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@Mock private ProductoFeignClient productoFeignClient;  // cliente REST a ms-productos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@InjectMocks private PedidoServiceImpl pedidoService;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@Test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void testCrear_Success() 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GIVEN: simulo la respuesta REMOTA de ms-productos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ProductoClientDTO productoClientDTO =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new ProductoClientDTO(productoId, "Shampoo", new BigDecimal("10.00"), 50, true);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when(productoFeignClient.buscarPorId(productoId)).thenReturn(productoClientDTO);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when(pedidoRepository.save(any(Pedido.class))).thenAnswer(inv -&gt; 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Pedido p = inv.getArgument(0); p.setId(1L); return p;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});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WHEN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PedidoResponseDTO responseDTO = pedidoService.crear(requestDTO);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THEN: verifico el cálculo de subtotal, IVA (19%) y total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assertEquals(0, new BigDecimal("20.00").compareTo(responseDTO.getSubtotal())); // 2 × 10.00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assertEquals(0, new BigDecimal("3.80").compareTo(responseDTO.getImpuesto()));  // 19% de 20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assertEquals(0, new BigDecimal("23.80").compareTo(responseDTO.getTotal()));    // 20 + 3.80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Puntos para la defensa: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Mockeo el </w:t>
      </w:r>
      <w:r>
        <w:rPr>
          <w:rFonts w:ascii="Consolas" w:cs="Consolas" w:eastAsia="Consolas" w:hAnsi="Consolas"/>
        </w:rPr>
        <w:t xml:space="preserve">ProductoFeignClient</w:t>
      </w:r>
      <w:r>
        <w:t xml:space="preserve"> porque en una prueba unitaria no quiero que llame de verdad a ms-productos; simulo qué me respondería.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Así pruebo MI lógica de negocio (cálculo de subtotal, impuesto, total) de forma aislada.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thenAnswer</w:t>
      </w:r>
      <w:r>
        <w:t xml:space="preserve"> se usa cuando la respuesta depende del argumento recibido (aquí, asignar un ID al pedido guardado).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 usa </w:t>
      </w:r>
      <w:r>
        <w:rPr>
          <w:rFonts w:ascii="Consolas" w:cs="Consolas" w:eastAsia="Consolas" w:hAnsi="Consolas"/>
        </w:rPr>
        <w:t xml:space="preserve">compareTo</w:t>
      </w:r>
      <w:r>
        <w:t xml:space="preserve"> en vez de </w:t>
      </w:r>
      <w:r>
        <w:rPr>
          <w:rFonts w:ascii="Consolas" w:cs="Consolas" w:eastAsia="Consolas" w:hAnsi="Consolas"/>
        </w:rPr>
        <w:t xml:space="preserve">equals</w:t>
      </w:r>
      <w:r>
        <w:t xml:space="preserve"> con </w:t>
      </w:r>
      <w:r>
        <w:rPr>
          <w:rFonts w:ascii="Consolas" w:cs="Consolas" w:eastAsia="Consolas" w:hAnsi="Consolas"/>
        </w:rPr>
        <w:t xml:space="preserve">BigDecimal</w:t>
      </w:r>
      <w:r>
        <w:t xml:space="preserve"> porque </w:t>
      </w:r>
      <w:r>
        <w:rPr>
          <w:rFonts w:ascii="Consolas" w:cs="Consolas" w:eastAsia="Consolas" w:hAnsi="Consolas"/>
        </w:rPr>
        <w:t xml:space="preserve">equals</w:t>
      </w:r>
      <w:r>
        <w:t xml:space="preserve"> distingue </w:t>
      </w:r>
      <w:r>
        <w:rPr>
          <w:rFonts w:ascii="Consolas" w:cs="Consolas" w:eastAsia="Consolas" w:hAnsi="Consolas"/>
        </w:rPr>
        <w:t xml:space="preserve">20.0</w:t>
      </w:r>
      <w:r>
        <w:t xml:space="preserve"> de </w:t>
      </w:r>
      <w:r>
        <w:rPr>
          <w:rFonts w:ascii="Consolas" w:cs="Consolas" w:eastAsia="Consolas" w:hAnsi="Consolas"/>
        </w:rPr>
        <w:t xml:space="preserve">20.00</w:t>
      </w:r>
      <w:r>
        <w:t xml:space="preserve"> (escala); </w:t>
      </w:r>
      <w:r>
        <w:rPr>
          <w:rFonts w:ascii="Consolas" w:cs="Consolas" w:eastAsia="Consolas" w:hAnsi="Consolas"/>
        </w:rPr>
        <w:t xml:space="preserve">compareTo</w:t>
      </w:r>
      <w:r>
        <w:t xml:space="preserve"> compara solo el valor.</w:t>
      </w:r>
    </w:p>
    <w:p>
      <w:pPr>
        <w:pStyle w:val="Heading3"/>
        <w:spacing w:after="80" w:before="200"/>
      </w:pPr>
      <w:r>
        <w:t xml:space="preserve">2.7 Escribir una prueba NUEVA en vivo (IE 3.1.3 = 13%)</w:t>
      </w:r>
    </w:p>
    <w:p>
      <w:pPr>
        <w:spacing w:after="120"/>
      </w:pPr>
      <w:r>
        <w:t xml:space="preserve">Receta de 5 pasos: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Anota el método con </w:t>
      </w:r>
      <w:r>
        <w:rPr>
          <w:rFonts w:ascii="Consolas" w:cs="Consolas" w:eastAsia="Consolas" w:hAnsi="Consolas"/>
        </w:rPr>
        <w:t xml:space="preserve">@Test</w:t>
      </w:r>
      <w:r>
        <w:t xml:space="preserve"> y nombre descriptivo: </w:t>
      </w:r>
      <w:r>
        <w:rPr>
          <w:rFonts w:ascii="Consolas" w:cs="Consolas" w:eastAsia="Consolas" w:hAnsi="Consolas"/>
        </w:rPr>
        <w:t xml:space="preserve">void testMetodo_Escenario()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GIVEN</w:t>
      </w:r>
      <w:r>
        <w:t xml:space="preserve"> — configura los mocks con </w:t>
      </w:r>
      <w:r>
        <w:rPr>
          <w:rFonts w:ascii="Consolas" w:cs="Consolas" w:eastAsia="Consolas" w:hAnsi="Consolas"/>
        </w:rPr>
        <w:t xml:space="preserve">when(...).thenReturn(...)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WHEN</w:t>
      </w:r>
      <w:r>
        <w:t xml:space="preserve"> — llama al método del servicio.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THEN</w:t>
      </w:r>
      <w:r>
        <w:t xml:space="preserve"> — </w:t>
      </w:r>
      <w:r>
        <w:rPr>
          <w:rFonts w:ascii="Consolas" w:cs="Consolas" w:eastAsia="Consolas" w:hAnsi="Consolas"/>
        </w:rPr>
        <w:t xml:space="preserve">assert...</w:t>
      </w:r>
      <w:r>
        <w:t xml:space="preserve"> sobre el resultado y/o </w:t>
      </w:r>
      <w:r>
        <w:rPr>
          <w:rFonts w:ascii="Consolas" w:cs="Consolas" w:eastAsia="Consolas" w:hAnsi="Consolas"/>
        </w:rPr>
        <w:t xml:space="preserve">verify(...)</w:t>
      </w:r>
      <w:r>
        <w:t xml:space="preserve"> sobre el comportamiento.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Ejecútalo y confirma que pasa en verde.</w:t>
      </w:r>
    </w:p>
    <w:p>
      <w:pPr>
        <w:spacing w:after="120"/>
      </w:pPr>
      <w:r>
        <w:t xml:space="preserve">Ejemplo — probar </w:t>
      </w:r>
      <w:r>
        <w:rPr>
          <w:rFonts w:ascii="Consolas" w:cs="Consolas" w:eastAsia="Consolas" w:hAnsi="Consolas"/>
        </w:rPr>
        <w:t xml:space="preserve">cancelar()</w:t>
      </w:r>
      <w:r>
        <w:t xml:space="preserve"> cuando el pedido SÍ se puede cancelar: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@Test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void testCancelar_Success() 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GIVEN: un pedido PENDIENTE (sí se puede cancelar)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Long id = 1L;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Pedido pedido = Pedido.builder().id(id).estado(EstadoPedido.PENDIENTE).build();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when(pedidoRepository.findById(id)).thenReturn(Optional.of(pedido));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when(pedidoRepository.save(any(Pedido.class))).thenReturn(pedido);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WHEN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pedidoService.cancelar(id);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THEN: el estado cambia a CANCELADO y se guarda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assertEquals(EstadoPedido.CANCELADO, pedido.getEstado());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verify(pedidoRepository).save(pedido);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</w:rPr>
        <w:t xml:space="preserve">Truco mental:</w:t>
      </w:r>
      <w:r>
        <w:t xml:space="preserve"> pregúntate siempre "¿qué necesita encontrar el método para funcionar?" (eso va en el Given con </w:t>
      </w:r>
      <w:r>
        <w:rPr>
          <w:rFonts w:ascii="Consolas" w:cs="Consolas" w:eastAsia="Consolas" w:hAnsi="Consolas"/>
        </w:rPr>
        <w:t xml:space="preserve">when</w:t>
      </w:r>
      <w:r>
        <w:t xml:space="preserve">) y "¿qué debería pasar como resultado?" (eso va en el Then con </w:t>
      </w:r>
      <w:r>
        <w:rPr>
          <w:rFonts w:ascii="Consolas" w:cs="Consolas" w:eastAsia="Consolas" w:hAnsi="Consolas"/>
        </w:rPr>
        <w:t xml:space="preserve">assert</w:t>
      </w:r>
      <w:r>
        <w:t xml:space="preserve">/</w:t>
      </w:r>
      <w:r>
        <w:rPr>
          <w:rFonts w:ascii="Consolas" w:cs="Consolas" w:eastAsia="Consolas" w:hAnsi="Consolas"/>
        </w:rPr>
        <w:t xml:space="preserve">verify</w:t>
      </w:r>
      <w:r>
        <w:t xml:space="preserve">).</w:t>
      </w:r>
    </w:p>
    <w:p>
      <w:pPr>
        <w:pStyle w:val="Heading3"/>
        <w:spacing w:after="80" w:before="200"/>
      </w:pPr>
      <w:r>
        <w:t xml:space="preserve">2.8 Comunicación entre servicios: flujo de compra y analítica</w:t>
      </w:r>
    </w:p>
    <w:p>
      <w:pPr>
        <w:spacing w:after="120"/>
      </w:pPr>
      <w:r>
        <w:t xml:space="preserve">Además del caso pedidos→productos, el sistema tiene comunicación Feign en el flujo de compra y en los reportes. Es material típico de defensa sobre arquitectura de microservicios.</w:t>
      </w:r>
    </w:p>
    <w:p>
      <w:pPr>
        <w:spacing w:after="120"/>
      </w:pPr>
      <w:r>
        <w:rPr>
          <w:b/>
          <w:bCs/>
        </w:rPr>
        <w:t xml:space="preserve">Flujo de compra (coreografía vía Feign):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pago aprobado ──► notificación (tipo PAGO)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└─► despacho creado ──► notificación (tipo DESPACHO)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cambio de estado del despacho ──► notificación (tipo DESPACHO)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ms-pago</w:t>
      </w:r>
      <w:r>
        <w:t xml:space="preserve">, al aprobar un pago, llama por Feign a </w:t>
      </w:r>
      <w:r>
        <w:rPr>
          <w:b/>
          <w:bCs/>
        </w:rPr>
        <w:t xml:space="preserve">ms-notificaciones</w:t>
      </w:r>
      <w:r>
        <w:t xml:space="preserve"> (avisa al usuario) y a </w:t>
      </w:r>
      <w:r>
        <w:rPr>
          <w:b/>
          <w:bCs/>
        </w:rPr>
        <w:t xml:space="preserve">ms-despacho</w:t>
      </w:r>
      <w:r>
        <w:t xml:space="preserve"> (genera el despacho con su código de tracking).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ms-despacho</w:t>
      </w:r>
      <w:r>
        <w:t xml:space="preserve">, al crear el despacho y al cambiar su estado (EN_CAMINO, ENTREGADO…), llama por Feign a </w:t>
      </w:r>
      <w:r>
        <w:rPr>
          <w:b/>
          <w:bCs/>
        </w:rPr>
        <w:t xml:space="preserve">ms-notificaciones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Punto clave de defensa — resiliencia (best-effort):</w:t>
      </w:r>
      <w:r>
        <w:t xml:space="preserve"> estas llamadas son </w:t>
      </w:r>
      <w:r>
        <w:rPr>
          <w:i/>
          <w:iCs/>
        </w:rPr>
        <w:t xml:space="preserve">efectos secundarios</w:t>
      </w:r>
      <w:r>
        <w:t xml:space="preserve"> envueltos en </w:t>
      </w:r>
      <w:r>
        <w:rPr>
          <w:rFonts w:ascii="Consolas" w:cs="Consolas" w:eastAsia="Consolas" w:hAnsi="Consolas"/>
        </w:rPr>
        <w:t xml:space="preserve">try/catch</w:t>
      </w:r>
      <w:r>
        <w:t xml:space="preserve"> y registradas con log. Si ms-notificaciones o ms-despacho están caídos, </w:t>
      </w:r>
      <w:r>
        <w:rPr>
          <w:b/>
          <w:bCs/>
        </w:rPr>
        <w:t xml:space="preserve">el pago igual se confirma</w:t>
      </w:r>
      <w:r>
        <w:t xml:space="preserve">; no se propaga el fallo a la operación principal. Es una decisión de diseño consciente: la transacción central (el pago) no debe depender de que un servicio secundario esté disponible.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// ms-pago: PagoServiceImpl.procesar(...)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Pago guardado = pagoRepository.save(pago);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notificarPagoAprobado(guardado);   // best-effort: try/catch interno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crearDespacho(guardado, dto);      // best-effort: try/catch interno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return PagoMapper.toDTO(guardado);</w:t>
      </w:r>
    </w:p>
    <w:p>
      <w:pPr>
        <w:spacing w:after="120"/>
      </w:pPr>
      <w:r>
        <w:rPr>
          <w:b/>
          <w:bCs/>
        </w:rPr>
        <w:t xml:space="preserve">Cómo se testea:</w:t>
      </w:r>
      <w:r>
        <w:t xml:space="preserve"> en </w:t>
      </w:r>
      <w:r>
        <w:rPr>
          <w:rFonts w:ascii="Consolas" w:cs="Consolas" w:eastAsia="Consolas" w:hAnsi="Consolas"/>
        </w:rPr>
        <w:t xml:space="preserve">PagoServiceImplTest</w:t>
      </w:r>
      <w:r>
        <w:t xml:space="preserve"> se mockean </w:t>
      </w:r>
      <w:r>
        <w:rPr>
          <w:rFonts w:ascii="Consolas" w:cs="Consolas" w:eastAsia="Consolas" w:hAnsi="Consolas"/>
        </w:rPr>
        <w:t xml:space="preserve">NotificacionFeignClient</w:t>
      </w:r>
      <w:r>
        <w:t xml:space="preserve"> y </w:t>
      </w:r>
      <w:r>
        <w:rPr>
          <w:rFonts w:ascii="Consolas" w:cs="Consolas" w:eastAsia="Consolas" w:hAnsi="Consolas"/>
        </w:rPr>
        <w:t xml:space="preserve">DespachoFeignClient</w:t>
      </w:r>
      <w:r>
        <w:t xml:space="preserve">, y se verifica que al procesar un pago se dispara el flujo: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@Mock private NotificacionFeignClient notificacionClient;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@Mock private DespachoFeignClient despachoClient;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// ...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verify(notificacionClient, times(1)).crear(any(NotificacionClientDTO.class));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verify(despachoClient, times(1)).crear(any(DespachoClientDTO.class));</w:t>
      </w:r>
    </w:p>
    <w:p>
      <w:pPr>
        <w:spacing w:after="120"/>
      </w:pPr>
      <w:r>
        <w:rPr>
          <w:b/>
          <w:bCs/>
        </w:rPr>
        <w:t xml:space="preserve">Analítica de ventas (ms-reportes):</w:t>
      </w:r>
      <w:r>
        <w:t xml:space="preserve"> ms-reportes consume por Feign a </w:t>
      </w:r>
      <w:r>
        <w:rPr>
          <w:b/>
          <w:bCs/>
        </w:rPr>
        <w:t xml:space="preserve">ms-pedidos</w:t>
      </w:r>
      <w:r>
        <w:t xml:space="preserve"> (</w:t>
      </w:r>
      <w:r>
        <w:rPr>
          <w:rFonts w:ascii="Consolas" w:cs="Consolas" w:eastAsia="Consolas" w:hAnsi="Consolas"/>
        </w:rPr>
        <w:t xml:space="preserve">GET /api/pedidos</w:t>
      </w:r>
      <w:r>
        <w:t xml:space="preserve">) y </w:t>
      </w:r>
      <w:r>
        <w:rPr>
          <w:b/>
          <w:bCs/>
        </w:rPr>
        <w:t xml:space="preserve">ms-pago</w:t>
      </w:r>
      <w:r>
        <w:t xml:space="preserve"> (</w:t>
      </w:r>
      <w:r>
        <w:rPr>
          <w:rFonts w:ascii="Consolas" w:cs="Consolas" w:eastAsia="Consolas" w:hAnsi="Consolas"/>
        </w:rPr>
        <w:t xml:space="preserve">GET /api/pagos</w:t>
      </w:r>
      <w:r>
        <w:t xml:space="preserve">) para calcular indicadores: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GET /api/reportes/ventas/resumen?desde=&amp;hasta=</w:t>
      </w:r>
      <w:r>
        <w:t xml:space="preserve"> → KPIs en JSON: total de ventas (pagos aprobados), ticket promedio, ventas por método de pago, pedidos por estado y ranking de productos más vendidos.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GET /api/reportes/ventas/excel?desde=&amp;hasta=</w:t>
      </w:r>
      <w:r>
        <w:t xml:space="preserve"> → el mismo reporte como archivo </w:t>
      </w:r>
      <w:r>
        <w:rPr>
          <w:rFonts w:ascii="Consolas" w:cs="Consolas" w:eastAsia="Consolas" w:hAnsi="Consolas"/>
        </w:rPr>
        <w:t xml:space="preserve">.xlsx</w:t>
      </w:r>
      <w:r>
        <w:t xml:space="preserve"> generado con </w:t>
      </w:r>
      <w:r>
        <w:rPr>
          <w:b/>
          <w:bCs/>
        </w:rPr>
        <w:t xml:space="preserve">Apache POI</w:t>
      </w:r>
      <w:r>
        <w:t xml:space="preserve"> (hojas de Resumen, Método de pago, Pedidos por estado y Top productos).</w:t>
      </w:r>
    </w:p>
    <w:p>
      <w:pPr>
        <w:spacing w:after="120"/>
      </w:pPr>
      <w:r>
        <w:t xml:space="preserve">Esto atiende dos necesidades del negocio: el </w:t>
      </w:r>
      <w:r>
        <w:rPr>
          <w:b/>
          <w:bCs/>
        </w:rPr>
        <w:t xml:space="preserve">dueño</w:t>
      </w:r>
      <w:r>
        <w:t xml:space="preserve"> consulta sus ventas (endpoint JSON) y el </w:t>
      </w:r>
      <w:r>
        <w:rPr>
          <w:b/>
          <w:bCs/>
        </w:rPr>
        <w:t xml:space="preserve">equipo de desarrollo</w:t>
      </w:r>
      <w:r>
        <w:t xml:space="preserve"> entrega un reporte periódico descargable (endpoint Excel).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00"/>
      </w:pPr>
      <w:r>
        <w:t xml:space="preserve">3. Bloque 2 — Levantar y configurar los servicios</w:t>
      </w:r>
    </w:p>
    <w:p>
      <w:pPr>
        <w:pStyle w:val="Heading3"/>
        <w:spacing w:after="80" w:before="200"/>
      </w:pPr>
      <w:r>
        <w:t xml:space="preserve">3.1 Arquitectura y orden de arranque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   MySQL (3306)  ← cada microservicio tiene su propia base de datos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▲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Eureka Server (8761)  ← REGISTRO: todos los servicios se anotan aquí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▲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API Gateway (8080)  ← PUERTA DE ENTRADA: pregunta a Eureka dónde está cada servicio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▲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8 Microservicios (8081–8087, 8089)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Orden</w:t>
            </w:r>
          </w:p>
        </w:tc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Servicio</w:t>
            </w:r>
          </w:p>
        </w:tc>
        <w:tc>
          <w:tcPr>
            <w:tcW w:type="dxa" w:w="31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1º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MySQL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Los microservicios abren conexión JPA al arrancar. Sin BD, fallan.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2º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Eureka Server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Es el registro. Si no está, no hay dónde registrarse.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3º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Microservicios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 registran en Eureka y conectan a su BD.</w:t>
            </w:r>
          </w:p>
        </w:tc>
      </w:tr>
      <w:t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4º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API Gateway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Necesita preguntar a Eureka para enrutar.</w:t>
            </w:r>
          </w:p>
        </w:tc>
      </w:tr>
    </w:tbl>
    <w:p>
      <w:pPr>
        <w:spacing w:after="120"/>
      </w:pPr>
    </w:p>
    <w:p>
      <w:pPr>
        <w:pBdr>
          <w:left w:val="single" w:color="999999" w:sz="18" w:space="120"/>
        </w:pBdr>
        <w:shd w:fill="F7F7F7" w:val="clear"/>
        <w:spacing w:after="80"/>
        <w:ind w:left="360"/>
      </w:pPr>
    </w:p>
    <w:p>
      <w:pPr>
        <w:pStyle w:val="Heading3"/>
        <w:spacing w:after="80" w:before="200"/>
      </w:pPr>
      <w:r>
        <w:t xml:space="preserve">3.2 Flujo de registro en Eureka (visto en los logs)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1. Setting initial instance status as: STARTING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2. Registering application MS-AUTH with eureka with status UP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3. Tomcat started on port 8081 (http)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Started MsAuthApplication in N seconds</w:t>
      </w:r>
    </w:p>
    <w:p>
      <w:pPr>
        <w:spacing w:after="120"/>
      </w:pPr>
      <w:r>
        <w:rPr>
          <w:b/>
          <w:bCs/>
        </w:rPr>
        <w:t xml:space="preserve">Explicación:</w:t>
      </w:r>
      <w:r>
        <w:t xml:space="preserve"> el servicio se inicializa como STARTING, se registra en Eureka con su nombre (MS-AUTH) y estado UP, y Tomcat queda escuchando en su puerto. Desde ahí el Gateway ya puede enrutarle.</w:t>
      </w:r>
    </w:p>
    <w:p>
      <w:pPr>
        <w:spacing w:after="120"/>
      </w:pPr>
      <w:r>
        <w:t xml:space="preserve">Verificación: </w:t>
      </w:r>
      <w:r>
        <w:rPr>
          <w:rFonts w:ascii="Consolas" w:cs="Consolas" w:eastAsia="Consolas" w:hAnsi="Consolas"/>
        </w:rPr>
        <w:t xml:space="preserve">http://localhost:8761</w:t>
      </w:r>
      <w:r>
        <w:t xml:space="preserve"> muestra la tabla "Instances currently registered with Eureka" con los 9 servicios (8 ms + gateway). </w:t>
      </w:r>
      <w:r>
        <w:rPr>
          <w:b/>
          <w:bCs/>
        </w:rPr>
        <w:t xml:space="preserve">Eureka no se lista a sí mismo</w:t>
      </w:r>
      <w:r>
        <w:t xml:space="preserve"> (es normal).</w:t>
      </w:r>
    </w:p>
    <w:p>
      <w:pPr>
        <w:pStyle w:val="Heading3"/>
        <w:spacing w:after="80" w:before="200"/>
      </w:pPr>
      <w:r>
        <w:t xml:space="preserve">3.3 Cómo arrancar los servicios — dos formas</w:t>
      </w:r>
    </w:p>
    <w:p>
      <w:pPr>
        <w:spacing w:after="120"/>
      </w:pPr>
      <w:r>
        <w:rPr>
          <w:b/>
          <w:bCs/>
        </w:rPr>
        <w:t xml:space="preserve">Forma A — IDE / Maven (una por una):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cd ms-auth/ms-auth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mvn spring-boot:run</w:t>
      </w:r>
    </w:p>
    <w:p>
      <w:pPr>
        <w:spacing w:after="120"/>
      </w:pPr>
      <w:r>
        <w:t xml:space="preserve">O en IntelliJ: ▶ sobre la clase </w:t>
      </w:r>
      <w:r>
        <w:rPr>
          <w:rFonts w:ascii="Consolas" w:cs="Consolas" w:eastAsia="Consolas" w:hAnsi="Consolas"/>
        </w:rPr>
        <w:t xml:space="preserve">MsAuthApplication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Forma B — JAR empaquetado (lo que usa Docker):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mvn clean package -DskipTests          # genera el .jar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java -jar target/ms-auth-1.0.0.jar     # lo ejecuta</w:t>
      </w:r>
    </w:p>
    <w:p>
      <w:pPr>
        <w:spacing w:after="120"/>
      </w:pPr>
      <w:r>
        <w:rPr>
          <w:b/>
          <w:bCs/>
        </w:rPr>
        <w:t xml:space="preserve">Diferencia clave:</w:t>
      </w:r>
      <w:r>
        <w:t xml:space="preserve"> </w:t>
      </w:r>
      <w:r>
        <w:rPr>
          <w:rFonts w:ascii="Consolas" w:cs="Consolas" w:eastAsia="Consolas" w:hAnsi="Consolas"/>
        </w:rPr>
        <w:t xml:space="preserve">mvn spring-boot:run</w:t>
      </w:r>
      <w:r>
        <w:t xml:space="preserve"> compila y ejecuta en un paso (desarrollo). </w:t>
      </w:r>
      <w:r>
        <w:rPr>
          <w:rFonts w:ascii="Consolas" w:cs="Consolas" w:eastAsia="Consolas" w:hAnsi="Consolas"/>
        </w:rPr>
        <w:t xml:space="preserve">java -jar</w:t>
      </w:r>
      <w:r>
        <w:t xml:space="preserve"> ejecuta el "fat JAR" ya empaquetado, que incluye Tomcat y todas las dependencias — es lo que corre dentro del contenedor Docker (</w:t>
      </w:r>
      <w:r>
        <w:rPr>
          <w:rFonts w:ascii="Consolas" w:cs="Consolas" w:eastAsia="Consolas" w:hAnsi="Consolas"/>
        </w:rPr>
        <w:t xml:space="preserve">ENTRYPOINT ["java","-jar","/app.jar"]</w:t>
      </w:r>
      <w:r>
        <w:t xml:space="preserve">).</w:t>
      </w:r>
    </w:p>
    <w:p>
      <w:pPr>
        <w:pStyle w:val="Heading3"/>
        <w:spacing w:after="80" w:before="200"/>
      </w:pPr>
      <w:r>
        <w:t xml:space="preserve">3.4 Diagnóstico de errores (correcciones en vivo)</w:t>
      </w:r>
    </w:p>
    <w:p>
      <w:pPr>
        <w:spacing w:after="120"/>
      </w:pPr>
      <w:r>
        <w:rPr>
          <w:b/>
          <w:bCs/>
        </w:rPr>
        <w:t xml:space="preserve">Fallo 1 — Puerto ocupado:</w:t>
      </w:r>
    </w:p>
    <w:p>
      <w:pPr>
        <w:shd w:fill="F4F4F4" w:val="clear"/>
        <w:spacing w:after="6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Web server failed to start. Port 8081 was already in use.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Get-NetTCPConnection -LocalPort 8081 -State Listen   # ver qué lo usa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taskkill /F /IM java.exe                              # matar procesos Java</w:t>
      </w:r>
    </w:p>
    <w:p>
      <w:pPr>
        <w:spacing w:after="120"/>
      </w:pPr>
      <w:r>
        <w:rPr>
          <w:b/>
          <w:bCs/>
        </w:rPr>
        <w:t xml:space="preserve">Fallo 2 — MySQL caído o BD inexistente: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Communications link failure          → MySQL no está corriendo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Unknown database 'peluqueria_auth'   → la BD no existe</w:t>
      </w:r>
    </w:p>
    <w:p>
      <w:pPr>
        <w:shd w:fill="F4F4F4" w:val="clear"/>
        <w:spacing w:after="6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CREATE DATABASE peluqueria_auth;</w:t>
      </w:r>
    </w:p>
    <w:p>
      <w:pPr>
        <w:spacing w:after="120"/>
      </w:pPr>
      <w:r>
        <w:t xml:space="preserve">Explicación: cada microservicio tiene su propia base de datos (patrón </w:t>
      </w:r>
      <w:r>
        <w:rPr>
          <w:i/>
          <w:iCs/>
        </w:rPr>
        <w:t xml:space="preserve">database-per-service</w:t>
      </w:r>
      <w:r>
        <w:t xml:space="preserve">). Si falta una, solo falla ese servicio.</w:t>
      </w:r>
    </w:p>
    <w:p>
      <w:pPr>
        <w:spacing w:after="120"/>
      </w:pPr>
      <w:r>
        <w:rPr>
          <w:b/>
          <w:bCs/>
        </w:rPr>
        <w:t xml:space="preserve">Fallo 3 — Eureka no disponible:</w:t>
      </w:r>
    </w:p>
    <w:p>
      <w:pPr>
        <w:shd w:fill="F4F4F4" w:val="clear"/>
        <w:spacing w:after="6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Connection refused: connect   (localhost:8761)</w:t>
      </w:r>
    </w:p>
    <w:p>
      <w:pPr>
        <w:spacing w:after="120"/>
      </w:pPr>
      <w:r>
        <w:t xml:space="preserve">No es fatal: el servicio reintenta. Al registrar verás </w:t>
      </w:r>
      <w:r>
        <w:rPr>
          <w:rFonts w:ascii="Consolas" w:cs="Consolas" w:eastAsia="Consolas" w:hAnsi="Consolas"/>
        </w:rPr>
        <w:t xml:space="preserve">registration status: 204</w:t>
      </w:r>
      <w:r>
        <w:t xml:space="preserve"> (204 = OK).</w:t>
      </w:r>
    </w:p>
    <w:p>
      <w:pPr>
        <w:spacing w:after="120"/>
      </w:pPr>
      <w:r>
        <w:rPr>
          <w:b/>
          <w:bCs/>
        </w:rPr>
        <w:t xml:space="preserve">Fallo 4 — Gateway devuelve 503 Service Unavailable:</w:t>
      </w:r>
      <w:r>
        <w:t xml:space="preserve">
Causa: el microservicio destino aún no está registrado en Eureka.
Solución: esperar a que aparezca en </w:t>
      </w:r>
      <w:r>
        <w:rPr>
          <w:rFonts w:ascii="Consolas" w:cs="Consolas" w:eastAsia="Consolas" w:hAnsi="Consolas"/>
        </w:rPr>
        <w:t xml:space="preserve">http://localhost:8761</w:t>
      </w:r>
      <w:r>
        <w:t xml:space="preserve"> o revisar que arrancó sin errores.</w:t>
      </w:r>
    </w:p>
    <w:p>
      <w:pPr>
        <w:pStyle w:val="Heading3"/>
        <w:spacing w:after="80" w:before="200"/>
      </w:pPr>
      <w:r>
        <w:t xml:space="preserve">3.5 Checklist de verificación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# 1. Eureka y registrados → navegador: http://localhost:8761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2. Un servicio directo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Invoke-WebRequest http://localhost:8082/api/productos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3. El Gateway enrutando (la prueba más potente)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Invoke-WebRequest http://localhost:8080/api/productos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4. Health de un servicio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Invoke-WebRequest http://localhost:8081/actuator/health   # → {"status":"UP"}</w:t>
      </w:r>
    </w:p>
    <w:p>
      <w:pPr>
        <w:spacing w:after="120"/>
      </w:pPr>
      <w:r>
        <w:t xml:space="preserve">El punto 3 es el más fuerte: si el Gateway (8080) devuelve lo mismo que el servicio directo (8082), demuestras que Eureka + load balancing + enrutamiento funcionan juntos.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00"/>
      </w:pPr>
      <w:r>
        <w:t xml:space="preserve">4. Preguntas tipo defensa con respuestas modelo</w:t>
      </w:r>
    </w:p>
    <w:p>
      <w:pPr>
        <w:spacing w:after="120"/>
      </w:pPr>
      <w:r>
        <w:rPr>
          <w:b/>
          <w:bCs/>
        </w:rPr>
        <w:t xml:space="preserve">P1. ¿Por qué arrancas Eureka antes que los microservicios?</w:t>
      </w:r>
      <w:r>
        <w:t xml:space="preserve">
Porque Eureka es el registro de servicios. Los microservicios se registran en él al arrancar; si no está disponible, reintentan cada 30 s. Arrancarlo primero evita esos reintentos y acelera el arranque.</w:t>
      </w:r>
    </w:p>
    <w:p>
      <w:pPr>
        <w:spacing w:after="120"/>
      </w:pPr>
      <w:r>
        <w:rPr>
          <w:b/>
          <w:bCs/>
        </w:rPr>
        <w:t xml:space="preserve">P2. Si arranco ms-pedidos y MySQL está apagado, ¿qué pasa?</w:t>
      </w:r>
      <w:r>
        <w:t xml:space="preserve">
El arranque falla porque JPA no puede abrir la conexión. En el log aparece </w:t>
      </w:r>
      <w:r>
        <w:rPr>
          <w:rFonts w:ascii="Consolas" w:cs="Consolas" w:eastAsia="Consolas" w:hAnsi="Consolas"/>
        </w:rPr>
        <w:t xml:space="preserve">Communications link failure</w:t>
      </w:r>
      <w:r>
        <w:t xml:space="preserve">. Se soluciona arrancando MySQL y reintentando. Solo afecta a los servicios con base de datos.</w:t>
      </w:r>
    </w:p>
    <w:p>
      <w:pPr>
        <w:spacing w:after="120"/>
      </w:pPr>
      <w:r>
        <w:rPr>
          <w:b/>
          <w:bCs/>
        </w:rPr>
        <w:t xml:space="preserve">P3. El Gateway me da 503 al pedir /api/productos. ¿Qué reviso primero?</w:t>
      </w:r>
      <w:r>
        <w:t xml:space="preserve">
Que ms-productos esté registrado en Eureka (</w:t>
      </w:r>
      <w:r>
        <w:rPr>
          <w:rFonts w:ascii="Consolas" w:cs="Consolas" w:eastAsia="Consolas" w:hAnsi="Consolas"/>
        </w:rPr>
        <w:t xml:space="preserve">http://localhost:8761</w:t>
      </w:r>
      <w:r>
        <w:t xml:space="preserve">). El 503 significa que el Gateway recibió la petición pero no encontró una instancia viva del servicio destino.</w:t>
      </w:r>
    </w:p>
    <w:p>
      <w:pPr>
        <w:spacing w:after="120"/>
      </w:pPr>
      <w:r>
        <w:rPr>
          <w:b/>
          <w:bCs/>
        </w:rPr>
        <w:t xml:space="preserve">P4. ¿Diferencia entre </w:t>
      </w:r>
      <w:r>
        <w:rPr>
          <w:rFonts w:ascii="Consolas" w:cs="Consolas" w:eastAsia="Consolas" w:hAnsi="Consolas"/>
          <w:b/>
          <w:bCs/>
        </w:rPr>
        <w:t xml:space="preserve">mvn spring-boot:run</w:t>
      </w:r>
      <w:r>
        <w:rPr>
          <w:b/>
          <w:bCs/>
        </w:rPr>
        <w:t xml:space="preserve"> y </w:t>
      </w:r>
      <w:r>
        <w:rPr>
          <w:rFonts w:ascii="Consolas" w:cs="Consolas" w:eastAsia="Consolas" w:hAnsi="Consolas"/>
          <w:b/>
          <w:bCs/>
        </w:rPr>
        <w:t xml:space="preserve">java -jar</w:t>
      </w:r>
      <w:r>
        <w:rPr>
          <w:b/>
          <w:bCs/>
        </w:rPr>
        <w:t xml:space="preserve">?</w:t>
      </w:r>
      <w:r>
        <w:t xml:space="preserve">
</w:t>
      </w:r>
      <w:r>
        <w:rPr>
          <w:rFonts w:ascii="Consolas" w:cs="Consolas" w:eastAsia="Consolas" w:hAnsi="Consolas"/>
        </w:rPr>
        <w:t xml:space="preserve">spring-boot:run</w:t>
      </w:r>
      <w:r>
        <w:t xml:space="preserve"> compila y ejecuta desde el código fuente (desarrollo). </w:t>
      </w:r>
      <w:r>
        <w:rPr>
          <w:rFonts w:ascii="Consolas" w:cs="Consolas" w:eastAsia="Consolas" w:hAnsi="Consolas"/>
        </w:rPr>
        <w:t xml:space="preserve">java -jar</w:t>
      </w:r>
      <w:r>
        <w:t xml:space="preserve"> ejecuta el JAR ya empaquetado con Tomcat y dependencias incluidas; es lo que corre en Docker.</w:t>
      </w:r>
    </w:p>
    <w:p>
      <w:pPr>
        <w:spacing w:after="120"/>
      </w:pPr>
      <w:r>
        <w:rPr>
          <w:b/>
          <w:bCs/>
        </w:rPr>
        <w:t xml:space="preserve">P5. ¿Cómo sé que ms-auth se registró sin abrir el navegador?</w:t>
      </w:r>
      <w:r>
        <w:t xml:space="preserve">
En su log busco </w:t>
      </w:r>
      <w:r>
        <w:rPr>
          <w:rFonts w:ascii="Consolas" w:cs="Consolas" w:eastAsia="Consolas" w:hAnsi="Consolas"/>
        </w:rPr>
        <w:t xml:space="preserve">Registering application MS-AUTH with eureka with status UP</w:t>
      </w:r>
      <w:r>
        <w:t xml:space="preserve"> y </w:t>
      </w:r>
      <w:r>
        <w:rPr>
          <w:rFonts w:ascii="Consolas" w:cs="Consolas" w:eastAsia="Consolas" w:hAnsi="Consolas"/>
        </w:rPr>
        <w:t xml:space="preserve">registration status: 204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P6. ¿Por qué usas mocks en las pruebas?</w:t>
      </w:r>
      <w:r>
        <w:t xml:space="preserve">
Para aislar la lógica del servicio de sus dependencias (repositorio, Feign Client). Así la prueba es rápida, no depende de la base de datos ni de otros servicios, y prueba solo mi lógica de negocio.</w:t>
      </w:r>
    </w:p>
    <w:p>
      <w:pPr>
        <w:spacing w:after="120"/>
      </w:pPr>
      <w:r>
        <w:rPr>
          <w:b/>
          <w:bCs/>
        </w:rPr>
        <w:t xml:space="preserve">P7. ¿Qué diferencia hay entre </w:t>
      </w:r>
      <w:r>
        <w:rPr>
          <w:rFonts w:ascii="Consolas" w:cs="Consolas" w:eastAsia="Consolas" w:hAnsi="Consolas"/>
          <w:b/>
          <w:bCs/>
        </w:rPr>
        <w:t xml:space="preserve">assert</w:t>
      </w:r>
      <w:r>
        <w:rPr>
          <w:b/>
          <w:bCs/>
        </w:rPr>
        <w:t xml:space="preserve"> y </w:t>
      </w:r>
      <w:r>
        <w:rPr>
          <w:rFonts w:ascii="Consolas" w:cs="Consolas" w:eastAsia="Consolas" w:hAnsi="Consolas"/>
          <w:b/>
          <w:bCs/>
        </w:rPr>
        <w:t xml:space="preserve">verify</w:t>
      </w:r>
      <w:r>
        <w:rPr>
          <w:b/>
          <w:bCs/>
        </w:rPr>
        <w:t xml:space="preserve">?</w:t>
      </w:r>
      <w:r>
        <w:t xml:space="preserve">
</w:t>
      </w:r>
      <w:r>
        <w:rPr>
          <w:rFonts w:ascii="Consolas" w:cs="Consolas" w:eastAsia="Consolas" w:hAnsi="Consolas"/>
        </w:rPr>
        <w:t xml:space="preserve">assert</w:t>
      </w:r>
      <w:r>
        <w:t xml:space="preserve"> comprueba el valor devuelto por el método. </w:t>
      </w:r>
      <w:r>
        <w:rPr>
          <w:rFonts w:ascii="Consolas" w:cs="Consolas" w:eastAsia="Consolas" w:hAnsi="Consolas"/>
        </w:rPr>
        <w:t xml:space="preserve">verify</w:t>
      </w:r>
      <w:r>
        <w:t xml:space="preserve"> comprueba el comportamiento: que el servicio llamó (o no) a un método de una dependencia.</w:t>
      </w:r>
    </w:p>
    <w:p>
      <w:pPr>
        <w:spacing w:after="120"/>
      </w:pPr>
      <w:r>
        <w:rPr>
          <w:b/>
          <w:bCs/>
        </w:rPr>
        <w:t xml:space="preserve">P8. ¿Qué pasa en tu sistema cuando se aprueba un pago?</w:t>
      </w:r>
      <w:r>
        <w:t xml:space="preserve">
ms-pago guarda el pago como APROBADO y, por Feign, dispara dos efectos: notifica al usuario (ms-notificaciones) y crea el despacho (ms-despacho), que a su vez genera otra notificación con el código de tracking. Es una </w:t>
      </w:r>
      <w:r>
        <w:rPr>
          <w:b/>
          <w:bCs/>
        </w:rPr>
        <w:t xml:space="preserve">coreografía</w:t>
      </w:r>
      <w:r>
        <w:t xml:space="preserve">: cada servicio reacciona sin un orquestador central. Las llamadas son </w:t>
      </w:r>
      <w:r>
        <w:rPr>
          <w:i/>
          <w:iCs/>
        </w:rPr>
        <w:t xml:space="preserve">best-effort</w:t>
      </w:r>
      <w:r>
        <w:t xml:space="preserve"> (envueltas en try/catch): si un servicio secundario está caído, el pago igual se confirma.</w:t>
      </w:r>
    </w:p>
    <w:p>
      <w:pPr>
        <w:spacing w:after="120"/>
      </w:pPr>
      <w:r>
        <w:rPr>
          <w:b/>
          <w:bCs/>
        </w:rPr>
        <w:t xml:space="preserve">P9. Eliminaste un microservicio, ¿por qué y cómo?</w:t>
      </w:r>
      <w:r>
        <w:t xml:space="preserve">
Eliminé </w:t>
      </w:r>
      <w:r>
        <w:rPr>
          <w:rFonts w:ascii="Consolas" w:cs="Consolas" w:eastAsia="Consolas" w:hAnsi="Consolas"/>
        </w:rPr>
        <w:t xml:space="preserve">ms-certificacion</w:t>
      </w:r>
      <w:r>
        <w:t xml:space="preserve"> porque no aportaba valor al negocio (emitía certificaciones tipo diploma, ajenas a un e-commerce, y estaba aislado). Al quitarlo actualicé todas sus referencias: módulo del </w:t>
      </w:r>
      <w:r>
        <w:rPr>
          <w:rFonts w:ascii="Consolas" w:cs="Consolas" w:eastAsia="Consolas" w:hAnsi="Consolas"/>
        </w:rPr>
        <w:t xml:space="preserve">pom.xml</w:t>
      </w:r>
      <w:r>
        <w:t xml:space="preserve"> padre, </w:t>
      </w:r>
      <w:r>
        <w:rPr>
          <w:rFonts w:ascii="Consolas" w:cs="Consolas" w:eastAsia="Consolas" w:hAnsi="Consolas"/>
        </w:rPr>
        <w:t xml:space="preserve">docker-compose.yml</w:t>
      </w:r>
      <w:r>
        <w:t xml:space="preserve">, </w:t>
      </w:r>
      <w:r>
        <w:rPr>
          <w:rFonts w:ascii="Consolas" w:cs="Consolas" w:eastAsia="Consolas" w:hAnsi="Consolas"/>
        </w:rPr>
        <w:t xml:space="preserve">init.sql</w:t>
      </w:r>
      <w:r>
        <w:t xml:space="preserve">, scripts de arranque, la ruta del API Gateway (renumerando los índices para no dejar huecos) y el README. Tras el cambio, </w:t>
      </w:r>
      <w:r>
        <w:rPr>
          <w:rFonts w:ascii="Consolas" w:cs="Consolas" w:eastAsia="Consolas" w:hAnsi="Consolas"/>
        </w:rPr>
        <w:t xml:space="preserve">mvn compile</w:t>
      </w:r>
      <w:r>
        <w:t xml:space="preserve"> de los 10 módulos sigue en verde.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00"/>
      </w:pPr>
      <w:r>
        <w:t xml:space="preserve">5. Cheat sheet (referencia rápida)</w:t>
      </w:r>
    </w:p>
    <w:p>
      <w:pPr>
        <w:spacing w:after="120"/>
      </w:pPr>
      <w:r>
        <w:rPr>
          <w:b/>
          <w:bCs/>
        </w:rPr>
        <w:t xml:space="preserve">Puertos:</w:t>
      </w:r>
      <w:r>
        <w:t xml:space="preserve"> Eureka 8761 · Gateway 8080 · auth 8081 · productos 8082 · carrito 8083 · pedidos 8084 · pago 8085 · despacho 8086 · notificaciones 8087 · reportes 8089 · </w:t>
      </w:r>
      <w:r>
        <w:rPr>
          <w:i/>
          <w:iCs/>
        </w:rPr>
        <w:t xml:space="preserve">(8088 libre: ms-certificacion descartado)</w:t>
      </w:r>
    </w:p>
    <w:p>
      <w:pPr>
        <w:spacing w:after="120"/>
      </w:pPr>
      <w:r>
        <w:rPr>
          <w:b/>
          <w:bCs/>
        </w:rPr>
        <w:t xml:space="preserve">Arranque:</w:t>
      </w:r>
      <w:r>
        <w:t xml:space="preserve"> MySQL → Eureka → microservicios → Gateway</w:t>
      </w:r>
    </w:p>
    <w:p>
      <w:pPr>
        <w:spacing w:after="120"/>
      </w:pPr>
      <w:r>
        <w:rPr>
          <w:b/>
          <w:bCs/>
        </w:rPr>
        <w:t xml:space="preserve">Comandos: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mvn clean package -DskipTests     # empaquetar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mvn spring-boot:run               # ejecutar desde fuente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java -jar target/&lt;nombre&gt;.jar     # ejecutar JAR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mvn test                          # correr pruebas</w:t>
      </w:r>
    </w:p>
    <w:p>
      <w:pPr>
        <w:spacing w:after="120"/>
      </w:pPr>
      <w:r>
        <w:rPr>
          <w:b/>
          <w:bCs/>
        </w:rPr>
        <w:t xml:space="preserve">Mockito esencial: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sz w:val="18"/>
          <w:szCs w:val="18"/>
        </w:rPr>
        <w:t xml:space="preserve">when(mock.metodo(arg)).thenReturn(valor);   // configurar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verify(mock).metodo(arg);                    // verificar llamada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verify(mock, never()).metodo(any());         // verificar NO llamada</w:t>
      </w:r>
    </w:p>
    <w:p>
      <w:pPr>
        <w:shd w:fill="F4F4F4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assertThrows(Exc.class, () -&gt; servicio.x()); // verificar excepción</w:t>
      </w:r>
    </w:p>
    <w:p>
      <w:pPr>
        <w:spacing w:after="120"/>
      </w:pPr>
      <w:r>
        <w:rPr>
          <w:b/>
          <w:bCs/>
        </w:rPr>
        <w:t xml:space="preserve">URLs útiles: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Eureka: </w:t>
      </w:r>
      <w:r>
        <w:rPr>
          <w:rFonts w:ascii="Consolas" w:cs="Consolas" w:eastAsia="Consolas" w:hAnsi="Consolas"/>
        </w:rPr>
        <w:t xml:space="preserve">http://localhost:8761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Swagger (cualquier ms): </w:t>
      </w:r>
      <w:r>
        <w:rPr>
          <w:rFonts w:ascii="Consolas" w:cs="Consolas" w:eastAsia="Consolas" w:hAnsi="Consolas"/>
        </w:rPr>
        <w:t xml:space="preserve">http://localhost:808X/swagger-ui/index.html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Gateway: </w:t>
      </w:r>
      <w:r>
        <w:rPr>
          <w:rFonts w:ascii="Consolas" w:cs="Consolas" w:eastAsia="Consolas" w:hAnsi="Consolas"/>
        </w:rPr>
        <w:t xml:space="preserve">http://localhost:8080/api/&lt;recurso&gt;</w:t>
      </w:r>
    </w:p>
    <w:p>
      <w:pPr>
        <w:spacing w:after="120"/>
      </w:pPr>
      <w:r>
        <w:rPr>
          <w:b/>
          <w:bCs/>
        </w:rPr>
        <w:t xml:space="preserve">Pendiente de repasar:</w:t>
      </w:r>
      <w:r>
        <w:t xml:space="preserve"> Bloque Swagger/OpenAPI (IE 3.2.2) y Bloque YAML + despliegue (IE 3.3.5, 3.3.6).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2026-07-01T21:23:45.084Z</dcterms:created>
  <dcterms:modified xsi:type="dcterms:W3CDTF">2026-07-01T21:23:45.085Z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