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3C4560D8" w:rsidR="003D27EE" w:rsidRDefault="00430710" w:rsidP="000A05E4">
      <w:pPr>
        <w:jc w:val="center"/>
        <w:rPr>
          <w:rFonts w:ascii="Times New Roman" w:hAnsi="Times New Roman" w:cs="Times New Roman"/>
        </w:rPr>
      </w:pPr>
      <w:r w:rsidRPr="00430710">
        <w:rPr>
          <w:rFonts w:ascii="Times New Roman" w:hAnsi="Times New Roman" w:cs="Times New Roman"/>
        </w:rPr>
        <w:t>DIVISION OF GRADUATE MEDICAL SCIENCES</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2132A649" w:rsidR="003D27EE" w:rsidRDefault="00430710" w:rsidP="000A05E4">
      <w:pPr>
        <w:jc w:val="center"/>
        <w:rPr>
          <w:rFonts w:ascii="Times New Roman" w:hAnsi="Times New Roman" w:cs="Times New Roman"/>
          <w:b/>
        </w:rPr>
      </w:pPr>
      <w:r w:rsidRPr="00430710">
        <w:rPr>
          <w:rFonts w:ascii="Times New Roman" w:hAnsi="Times New Roman" w:cs="Times New Roman"/>
          <w:b/>
        </w:rPr>
        <w:t>A MURINE MODEL OF GLUCOCORTICOID MYOPATHY</w:t>
      </w:r>
    </w:p>
    <w:p w14:paraId="7A34EDA7" w14:textId="77777777" w:rsidR="00B904AA" w:rsidRDefault="00B904AA" w:rsidP="000A05E4">
      <w:pPr>
        <w:jc w:val="center"/>
        <w:rPr>
          <w:rFonts w:ascii="Times New Roman" w:hAnsi="Times New Roman" w:cs="Times New Roman"/>
          <w:b/>
        </w:rPr>
      </w:pPr>
    </w:p>
    <w:p w14:paraId="788924BB" w14:textId="5E7C040D" w:rsidR="003D27EE" w:rsidRPr="003D27EE" w:rsidRDefault="00430710" w:rsidP="000A05E4">
      <w:pPr>
        <w:jc w:val="center"/>
        <w:rPr>
          <w:rFonts w:ascii="Times New Roman" w:hAnsi="Times New Roman" w:cs="Times New Roman"/>
          <w:b/>
        </w:rPr>
      </w:pPr>
      <w:r w:rsidRPr="00430710">
        <w:rPr>
          <w:rFonts w:ascii="Times New Roman" w:hAnsi="Times New Roman" w:cs="Times New Roman"/>
          <w:b/>
        </w:rPr>
        <w:t>ALLEVIATION USING ANDROGEN THERAPY</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279A51CB" w14:textId="31D1A56F" w:rsidR="00B904AA" w:rsidRPr="00475EB3" w:rsidRDefault="00430710" w:rsidP="000A05E4">
      <w:pPr>
        <w:jc w:val="center"/>
        <w:rPr>
          <w:rFonts w:ascii="Times New Roman" w:hAnsi="Times New Roman" w:cs="Times New Roman"/>
        </w:rPr>
      </w:pPr>
      <w:r w:rsidRPr="00475EB3">
        <w:rPr>
          <w:rFonts w:ascii="Times New Roman" w:hAnsi="Times New Roman" w:cs="Times New Roman"/>
          <w:b/>
        </w:rPr>
        <w:t>NICOLAE LUCIAN SANDOR</w:t>
      </w:r>
    </w:p>
    <w:p w14:paraId="09DF8CC3" w14:textId="5D036EC6" w:rsidR="003D27EE" w:rsidRPr="00430710" w:rsidRDefault="00430710">
      <w:pPr>
        <w:jc w:val="center"/>
        <w:rPr>
          <w:rFonts w:ascii="Times New Roman" w:hAnsi="Times New Roman" w:cs="Times New Roman"/>
          <w:lang w:val="it-IT"/>
        </w:rPr>
      </w:pPr>
      <w:r w:rsidRPr="00430710">
        <w:rPr>
          <w:rFonts w:ascii="Times New Roman" w:hAnsi="Times New Roman" w:cs="Times New Roman"/>
          <w:lang w:val="it-IT"/>
        </w:rPr>
        <w:t>B.M./M.D., Universitatea de Medicina si Farmacie Carol Davila, 2002</w:t>
      </w:r>
    </w:p>
    <w:p w14:paraId="6027DC9F" w14:textId="30269F3F" w:rsidR="003D27EE" w:rsidRDefault="00430710" w:rsidP="000A05E4">
      <w:pPr>
        <w:jc w:val="center"/>
        <w:rPr>
          <w:rFonts w:ascii="Times New Roman" w:hAnsi="Times New Roman" w:cs="Times New Roman"/>
        </w:rPr>
      </w:pPr>
      <w:r w:rsidRPr="00430710">
        <w:rPr>
          <w:rFonts w:ascii="Times New Roman" w:hAnsi="Times New Roman" w:cs="Times New Roman"/>
        </w:rPr>
        <w:t>B.S., Universitatea Bucuresti,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0A05E4">
      <w:pPr>
        <w:jc w:val="center"/>
        <w:rPr>
          <w:rFonts w:ascii="Times New Roman" w:hAnsi="Times New Roman" w:cs="Times New Roman"/>
        </w:rPr>
      </w:pPr>
    </w:p>
    <w:p w14:paraId="39CA3C0E" w14:textId="32F0B5E2" w:rsidR="003D27EE" w:rsidRDefault="003D27EE" w:rsidP="000A05E4">
      <w:pPr>
        <w:jc w:val="center"/>
        <w:rPr>
          <w:rFonts w:ascii="Times New Roman" w:hAnsi="Times New Roman" w:cs="Times New Roman"/>
        </w:rPr>
      </w:pPr>
      <w:r>
        <w:rPr>
          <w:rFonts w:ascii="Times New Roman" w:hAnsi="Times New Roman" w:cs="Times New Roman"/>
        </w:rPr>
        <w:t>Doctor of</w:t>
      </w:r>
      <w:r w:rsidR="00664179">
        <w:rPr>
          <w:rFonts w:ascii="Times New Roman" w:hAnsi="Times New Roman" w:cs="Times New Roman"/>
        </w:rPr>
        <w:t xml:space="preserve"> </w:t>
      </w:r>
      <w:r>
        <w:rPr>
          <w:rFonts w:ascii="Times New Roman" w:hAnsi="Times New Roman" w:cs="Times New Roman"/>
        </w:rPr>
        <w:t xml:space="preserve"> </w:t>
      </w:r>
      <w:r w:rsidR="00430710">
        <w:rPr>
          <w:rFonts w:ascii="Times New Roman" w:hAnsi="Times New Roman" w:cs="Times New Roman"/>
        </w:rPr>
        <w:t>Philosophy</w:t>
      </w:r>
    </w:p>
    <w:p w14:paraId="576EF95C" w14:textId="77777777" w:rsidR="00B904AA" w:rsidRDefault="00B904AA" w:rsidP="000A05E4">
      <w:pPr>
        <w:jc w:val="center"/>
        <w:rPr>
          <w:rFonts w:ascii="Times New Roman" w:hAnsi="Times New Roman" w:cs="Times New Roman"/>
        </w:rPr>
      </w:pPr>
    </w:p>
    <w:p w14:paraId="7145547B" w14:textId="27F89DFC" w:rsidR="00052860" w:rsidRDefault="003D27EE" w:rsidP="000A05E4">
      <w:pPr>
        <w:jc w:val="center"/>
        <w:rPr>
          <w:rFonts w:ascii="Times New Roman" w:hAnsi="Times New Roman" w:cs="Times New Roman"/>
        </w:rPr>
      </w:pPr>
      <w:r>
        <w:rPr>
          <w:rFonts w:ascii="Times New Roman" w:hAnsi="Times New Roman" w:cs="Times New Roman"/>
        </w:rPr>
        <w:t>201</w:t>
      </w:r>
      <w:r w:rsidR="00430710">
        <w:rPr>
          <w:rFonts w:ascii="Times New Roman" w:hAnsi="Times New Roman" w:cs="Times New Roman"/>
        </w:rPr>
        <w:t>5</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01D99B8F"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w:t>
      </w:r>
      <w:r w:rsidR="00430710">
        <w:rPr>
          <w:rFonts w:ascii="Times New Roman" w:hAnsi="Times New Roman" w:cs="Times New Roman"/>
        </w:rPr>
        <w:t>5</w:t>
      </w:r>
    </w:p>
    <w:p w14:paraId="253AD492" w14:textId="3289BBBF"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NICOLAE LUCIAN SANDOR</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lastRenderedPageBreak/>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DB763DD"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Monty Montano</w:t>
      </w:r>
      <w:r>
        <w:rPr>
          <w:rFonts w:ascii="Times New Roman" w:hAnsi="Times New Roman" w:cs="Times New Roman"/>
        </w:rPr>
        <w:t>, Ph.D.</w:t>
      </w:r>
    </w:p>
    <w:p w14:paraId="320BF301" w14:textId="7E18EA7A"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Pr>
          <w:rFonts w:ascii="Times New Roman" w:hAnsi="Times New Roman" w:cs="Times New Roman"/>
        </w:rPr>
        <w:t>Assistant Professor of Medicine</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0421569E"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Shalender Bhasin, MD</w:t>
      </w:r>
    </w:p>
    <w:p w14:paraId="1073BD20" w14:textId="02D69B3D" w:rsidR="003D27EE" w:rsidRDefault="00430710" w:rsidP="003D27EE">
      <w:pPr>
        <w:tabs>
          <w:tab w:val="left" w:pos="1800"/>
        </w:tabs>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 xml:space="preserve">Professor of </w:t>
      </w:r>
      <w:r>
        <w:rPr>
          <w:rFonts w:ascii="Times New Roman" w:hAnsi="Times New Roman" w:cs="Times New Roman"/>
        </w:rPr>
        <w:t>Medicine</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1F8863B4" w:rsidR="00854675" w:rsidRPr="00430710" w:rsidRDefault="00430710" w:rsidP="003D27EE">
      <w:pPr>
        <w:spacing w:line="480" w:lineRule="auto"/>
        <w:rPr>
          <w:rFonts w:ascii="Times New Roman" w:hAnsi="Times New Roman" w:cs="Times New Roman"/>
          <w:i/>
          <w:lang w:val="it-IT"/>
        </w:rPr>
      </w:pPr>
      <w:r w:rsidRPr="00430710">
        <w:rPr>
          <w:rFonts w:ascii="Times New Roman" w:hAnsi="Times New Roman" w:cs="Times New Roman"/>
          <w:i/>
          <w:lang w:val="it-IT"/>
        </w:rPr>
        <w:t>”Se questa non piace, non voglio più scrivere di musica.”</w:t>
      </w:r>
    </w:p>
    <w:p w14:paraId="46080E9A" w14:textId="77777777" w:rsidR="00854675" w:rsidRPr="00430710" w:rsidRDefault="00854675" w:rsidP="003D27EE">
      <w:pPr>
        <w:spacing w:line="480" w:lineRule="auto"/>
        <w:rPr>
          <w:rFonts w:ascii="Times New Roman" w:hAnsi="Times New Roman" w:cs="Times New Roman"/>
          <w:lang w:val="it-IT"/>
        </w:rPr>
      </w:pPr>
    </w:p>
    <w:p w14:paraId="3E24F181" w14:textId="77777777" w:rsidR="00854675" w:rsidRPr="00430710" w:rsidRDefault="00854675" w:rsidP="003D27EE">
      <w:pPr>
        <w:spacing w:line="480" w:lineRule="auto"/>
        <w:rPr>
          <w:rFonts w:ascii="Times New Roman" w:hAnsi="Times New Roman" w:cs="Times New Roman"/>
          <w:lang w:val="it-IT"/>
        </w:rPr>
      </w:pPr>
    </w:p>
    <w:p w14:paraId="2A51A740" w14:textId="77777777" w:rsidR="00854675" w:rsidRPr="00430710" w:rsidRDefault="00854675" w:rsidP="003D27EE">
      <w:pPr>
        <w:spacing w:line="480" w:lineRule="auto"/>
        <w:rPr>
          <w:rFonts w:ascii="Times New Roman" w:hAnsi="Times New Roman" w:cs="Times New Roman"/>
          <w:lang w:val="it-IT"/>
        </w:rPr>
      </w:pPr>
    </w:p>
    <w:p w14:paraId="1989FD5F" w14:textId="77777777" w:rsidR="00854675" w:rsidRPr="00430710" w:rsidRDefault="00854675" w:rsidP="003D27EE">
      <w:pPr>
        <w:spacing w:line="480" w:lineRule="auto"/>
        <w:rPr>
          <w:rFonts w:ascii="Times New Roman" w:hAnsi="Times New Roman" w:cs="Times New Roman"/>
          <w:lang w:val="it-IT"/>
        </w:rPr>
      </w:pPr>
    </w:p>
    <w:p w14:paraId="5DC9E50D" w14:textId="77777777" w:rsidR="00854675" w:rsidRPr="00430710" w:rsidRDefault="00854675" w:rsidP="003D27EE">
      <w:pPr>
        <w:spacing w:line="480" w:lineRule="auto"/>
        <w:rPr>
          <w:rFonts w:ascii="Times New Roman" w:hAnsi="Times New Roman" w:cs="Times New Roman"/>
          <w:lang w:val="it-IT"/>
        </w:rPr>
      </w:pPr>
    </w:p>
    <w:p w14:paraId="22AFC57A" w14:textId="77777777" w:rsidR="00854675" w:rsidRPr="00430710" w:rsidRDefault="00854675" w:rsidP="003D27EE">
      <w:pPr>
        <w:spacing w:line="480" w:lineRule="auto"/>
        <w:rPr>
          <w:rFonts w:ascii="Times New Roman" w:hAnsi="Times New Roman" w:cs="Times New Roman"/>
          <w:lang w:val="it-IT"/>
        </w:rPr>
      </w:pPr>
    </w:p>
    <w:p w14:paraId="0A67BD46" w14:textId="77777777" w:rsidR="000B2108" w:rsidRPr="00430710" w:rsidRDefault="000B2108" w:rsidP="003D27EE">
      <w:pPr>
        <w:tabs>
          <w:tab w:val="left" w:pos="1800"/>
        </w:tabs>
        <w:spacing w:line="480" w:lineRule="auto"/>
        <w:rPr>
          <w:rFonts w:ascii="Times New Roman" w:hAnsi="Times New Roman" w:cs="Times New Roman"/>
          <w:lang w:val="it-IT"/>
        </w:rPr>
        <w:sectPr w:rsidR="000B2108" w:rsidRPr="00430710" w:rsidSect="003547DD">
          <w:headerReference w:type="even" r:id="rId8"/>
          <w:footerReference w:type="even" r:id="rId9"/>
          <w:pgSz w:w="12240" w:h="15840"/>
          <w:pgMar w:top="2160" w:right="1440" w:bottom="1440" w:left="2160" w:header="1440" w:footer="1080" w:gutter="0"/>
          <w:cols w:space="720"/>
          <w:docGrid w:linePitch="360"/>
        </w:sectPr>
      </w:pPr>
    </w:p>
    <w:p w14:paraId="7534BDA9" w14:textId="3C266800" w:rsidR="000B2108" w:rsidRPr="00475EB3" w:rsidRDefault="000B2108" w:rsidP="00864EEA">
      <w:pPr>
        <w:spacing w:line="480" w:lineRule="auto"/>
        <w:rPr>
          <w:rFonts w:ascii="Times New Roman" w:hAnsi="Times New Roman" w:cs="Times New Roman"/>
          <w:lang w:val="it-IT"/>
        </w:rPr>
      </w:pPr>
    </w:p>
    <w:p w14:paraId="1E20FFF5" w14:textId="2DE0F82F" w:rsidR="000B2108" w:rsidRDefault="000B2108" w:rsidP="0072455D">
      <w:pPr>
        <w:pStyle w:val="Heading1"/>
      </w:pPr>
      <w:bookmarkStart w:id="0" w:name="_Toc422950560"/>
      <w:r w:rsidRPr="000B2108">
        <w:t>ACKNOWLEDGMENTS</w:t>
      </w:r>
      <w:bookmarkEnd w:id="0"/>
    </w:p>
    <w:p w14:paraId="15AE8C55"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deeply indebted to the members of my committee, Profs. Caroline 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 Anne Treisman, and Assen Marintchev.</w:t>
      </w:r>
    </w:p>
    <w:p w14:paraId="644A5F76"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Congratulations are due to my spouse who, all these years, took an unreasonably positive view, managed many of the household businesses, and published as many papers as me.</w:t>
      </w:r>
    </w:p>
    <w:p w14:paraId="143D0FC1"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dedicating this work to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64FC4CBA" w14:textId="06B5C544" w:rsidR="00864EEA" w:rsidRPr="00B22DD9" w:rsidRDefault="00430710" w:rsidP="00864EEA">
      <w:pPr>
        <w:spacing w:line="480" w:lineRule="auto"/>
        <w:rPr>
          <w:rFonts w:ascii="Times New Roman" w:hAnsi="Times New Roman" w:cs="Times New Roman"/>
          <w:i/>
        </w:rPr>
      </w:pPr>
      <w:r w:rsidRPr="00430710">
        <w:rPr>
          <w:rFonts w:ascii="Times New Roman" w:hAnsi="Times New Roman" w:cs="Times New Roman"/>
        </w:rPr>
        <w:t>This work would not have existed, were it not for the kind financial support of the American nation, through the National Institute of Health and Boston University.</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1C14BCFE" w:rsidR="000D41D7" w:rsidRDefault="00430710" w:rsidP="003547DD">
      <w:pPr>
        <w:spacing w:line="480" w:lineRule="auto"/>
        <w:jc w:val="center"/>
        <w:rPr>
          <w:rFonts w:ascii="Times New Roman" w:hAnsi="Times New Roman" w:cs="Times New Roman"/>
          <w:b/>
        </w:rPr>
      </w:pPr>
      <w:r w:rsidRPr="00430710">
        <w:rPr>
          <w:rFonts w:ascii="Times New Roman" w:hAnsi="Times New Roman" w:cs="Times New Roman"/>
          <w:b/>
        </w:rPr>
        <w:lastRenderedPageBreak/>
        <w:t>A MURINE MODEL OF GLUCOCORTICOID MYOPATHY</w:t>
      </w:r>
    </w:p>
    <w:p w14:paraId="15116453" w14:textId="6798871A" w:rsidR="000D41D7"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ALLEVIATION USING ANDROGEN THERAPY</w:t>
      </w:r>
    </w:p>
    <w:p w14:paraId="627C976D" w14:textId="7F813D2C"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NICOLAE LUCIAN SANDOR</w:t>
      </w:r>
    </w:p>
    <w:p w14:paraId="420ABBD8" w14:textId="5182017B"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rPr>
        <w:t>Boston University School of Medicine, 2015</w:t>
      </w:r>
    </w:p>
    <w:p w14:paraId="01CAEA66" w14:textId="3E93E53F"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r>
      <w:r w:rsidR="00430710" w:rsidRPr="00430710">
        <w:rPr>
          <w:rFonts w:ascii="Times New Roman" w:hAnsi="Times New Roman" w:cs="Times New Roman"/>
        </w:rPr>
        <w:t>Monty Montano, PhD, Assistant Professor of Medicine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1" w:name="_Toc422950561"/>
      <w:r w:rsidRPr="000A05E4">
        <w:rPr>
          <w:b w:val="0"/>
        </w:rPr>
        <w:t>ABSTRACT</w:t>
      </w:r>
      <w:bookmarkEnd w:id="1"/>
    </w:p>
    <w:p w14:paraId="13592EA6" w14:textId="1C8E538B" w:rsidR="00430710" w:rsidRPr="00430710" w:rsidRDefault="00864EEA" w:rsidP="00430710">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w:t>
      </w:r>
      <w:r w:rsidR="00430710">
        <w:rPr>
          <w:rFonts w:ascii="Times New Roman" w:hAnsi="Times New Roman" w:cs="Times New Roman"/>
        </w:rPr>
        <w:t xml:space="preserve"> </w:t>
      </w:r>
      <w:r w:rsidR="00430710" w:rsidRPr="00430710">
        <w:rPr>
          <w:rFonts w:ascii="Times New Roman" w:hAnsi="Times New Roman" w:cs="Times New Roman"/>
        </w:rPr>
        <w:t>week, lost 3% of their total body weight. Based on NMR lean body mass quantification and muscle dissection, more than 10% of their muscle mass was lost. More than half of the D-induced muscle loss could be reversed by</w:t>
      </w:r>
      <w:r w:rsidR="00430710">
        <w:rPr>
          <w:rFonts w:ascii="Times New Roman" w:hAnsi="Times New Roman" w:cs="Times New Roman"/>
        </w:rPr>
        <w:t xml:space="preserve"> </w:t>
      </w:r>
      <w:r w:rsidR="00430710" w:rsidRPr="00430710">
        <w:rPr>
          <w:rFonts w:ascii="Times New Roman" w:hAnsi="Times New Roman" w:cs="Times New Roman"/>
        </w:rPr>
        <w:t>co-administration of 0.7 mg/kg/day of testosterone (T). To my knowledge, this is the first mouse model of GAML demonstrating alleviation by T.</w:t>
      </w:r>
    </w:p>
    <w:p w14:paraId="44E230DE" w14:textId="77777777" w:rsidR="00132207" w:rsidRDefault="00430710" w:rsidP="00132207">
      <w:pPr>
        <w:spacing w:line="480" w:lineRule="auto"/>
        <w:rPr>
          <w:rFonts w:ascii="Times New Roman" w:hAnsi="Times New Roman" w:cs="Times New Roman"/>
        </w:rPr>
      </w:pPr>
      <w:r>
        <w:rPr>
          <w:rFonts w:ascii="Times New Roman" w:hAnsi="Times New Roman" w:cs="Times New Roman"/>
        </w:rPr>
        <w:tab/>
      </w:r>
      <w:r w:rsidRPr="00430710">
        <w:rPr>
          <w:rFonts w:ascii="Times New Roman" w:hAnsi="Times New Roman" w:cs="Times New Roman"/>
        </w:rP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w:t>
      </w:r>
      <w:r w:rsidRPr="00430710">
        <w:rPr>
          <w:rFonts w:ascii="Times New Roman" w:hAnsi="Times New Roman" w:cs="Times New Roman"/>
        </w:rPr>
        <w:lastRenderedPageBreak/>
        <w:t>expression were correlated with changes in</w:t>
      </w:r>
      <w:r>
        <w:rPr>
          <w:rFonts w:ascii="Times New Roman" w:hAnsi="Times New Roman" w:cs="Times New Roman"/>
        </w:rPr>
        <w:t xml:space="preserve"> </w:t>
      </w:r>
      <w:r w:rsidRPr="00430710">
        <w:rPr>
          <w:rFonts w:ascii="Times New Roman" w:hAnsi="Times New Roman" w:cs="Times New Roman"/>
        </w:rPr>
        <w:t>expression of Foxo 1, 3a, and 4. Pro-catabolic factors REDD1 and Klf15 were repressed by T co-administration.</w:t>
      </w:r>
    </w:p>
    <w:p w14:paraId="005F8943"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C2C12 differentiated myotubes were used to model GAML in vitro. Myotube diameter and total protein were reduced by D, and restored by T</w:t>
      </w:r>
      <w:r w:rsidR="00430710">
        <w:rPr>
          <w:rFonts w:ascii="Times New Roman" w:hAnsi="Times New Roman" w:cs="Times New Roman"/>
        </w:rPr>
        <w:t xml:space="preserve"> </w:t>
      </w:r>
      <w:r w:rsidR="00430710" w:rsidRPr="00430710">
        <w:rPr>
          <w:rFonts w:ascii="Times New Roman" w:hAnsi="Times New Roman" w:cs="Times New Roman"/>
        </w:rPr>
        <w:t>co-administration. Changes in C2C12 total protein were correlated with changes in protein degradation. D-induced proteolysis was inhibited by the proteasome inhibitor MG132.</w:t>
      </w:r>
    </w:p>
    <w:p w14:paraId="5333D98D"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vivo, D reduced intramuscular IGF-I expression, an effect reversed by T co-administration. In C2C12, inhibition of IGF-1R signaling with picropodophyllin did not modify T protective effect. Mechanisms potentially explaining these observations are discussed.</w:t>
      </w:r>
    </w:p>
    <w:p w14:paraId="34937A64" w14:textId="0531B4DE" w:rsidR="00864EEA"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453A3434" w:rsidR="00ED3F96" w:rsidRPr="00ED3F96" w:rsidRDefault="005868E2" w:rsidP="00BD7A28">
      <w:pPr>
        <w:pStyle w:val="Heading1"/>
      </w:pPr>
      <w:bookmarkStart w:id="2" w:name="_Toc422950562"/>
      <w:r>
        <w:lastRenderedPageBreak/>
        <w:t>TABLE OF CONTENT</w:t>
      </w:r>
      <w:r w:rsidR="00BD7A28">
        <w:t>S</w:t>
      </w:r>
      <w:bookmarkEnd w:id="2"/>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5C18B7DA" w14:textId="77777777" w:rsidR="000332A2" w:rsidRDefault="00BD7A28">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22950560" w:history="1">
            <w:r w:rsidR="000332A2" w:rsidRPr="00316024">
              <w:rPr>
                <w:rStyle w:val="Hyperlink"/>
                <w:noProof/>
              </w:rPr>
              <w:t>ACKNOWLEDGMENTS</w:t>
            </w:r>
            <w:r w:rsidR="000332A2">
              <w:rPr>
                <w:noProof/>
                <w:webHidden/>
              </w:rPr>
              <w:tab/>
            </w:r>
            <w:r w:rsidR="000332A2">
              <w:rPr>
                <w:noProof/>
                <w:webHidden/>
              </w:rPr>
              <w:fldChar w:fldCharType="begin"/>
            </w:r>
            <w:r w:rsidR="000332A2">
              <w:rPr>
                <w:noProof/>
                <w:webHidden/>
              </w:rPr>
              <w:instrText xml:space="preserve"> PAGEREF _Toc422950560 \h </w:instrText>
            </w:r>
            <w:r w:rsidR="000332A2">
              <w:rPr>
                <w:noProof/>
                <w:webHidden/>
              </w:rPr>
            </w:r>
            <w:r w:rsidR="000332A2">
              <w:rPr>
                <w:noProof/>
                <w:webHidden/>
              </w:rPr>
              <w:fldChar w:fldCharType="separate"/>
            </w:r>
            <w:r w:rsidR="000332A2">
              <w:rPr>
                <w:noProof/>
                <w:webHidden/>
              </w:rPr>
              <w:t>v</w:t>
            </w:r>
            <w:r w:rsidR="000332A2">
              <w:rPr>
                <w:noProof/>
                <w:webHidden/>
              </w:rPr>
              <w:fldChar w:fldCharType="end"/>
            </w:r>
          </w:hyperlink>
        </w:p>
        <w:p w14:paraId="3B521670" w14:textId="77777777" w:rsidR="000332A2" w:rsidRDefault="000332A2">
          <w:pPr>
            <w:pStyle w:val="TOC1"/>
            <w:tabs>
              <w:tab w:val="right" w:leader="dot" w:pos="8630"/>
            </w:tabs>
            <w:rPr>
              <w:rFonts w:asciiTheme="minorHAnsi" w:hAnsiTheme="minorHAnsi"/>
              <w:noProof/>
              <w:sz w:val="22"/>
              <w:szCs w:val="22"/>
            </w:rPr>
          </w:pPr>
          <w:hyperlink w:anchor="_Toc422950561" w:history="1">
            <w:r w:rsidRPr="00316024">
              <w:rPr>
                <w:rStyle w:val="Hyperlink"/>
                <w:noProof/>
              </w:rPr>
              <w:t>ABSTRACT</w:t>
            </w:r>
            <w:r>
              <w:rPr>
                <w:noProof/>
                <w:webHidden/>
              </w:rPr>
              <w:tab/>
            </w:r>
            <w:r>
              <w:rPr>
                <w:noProof/>
                <w:webHidden/>
              </w:rPr>
              <w:fldChar w:fldCharType="begin"/>
            </w:r>
            <w:r>
              <w:rPr>
                <w:noProof/>
                <w:webHidden/>
              </w:rPr>
              <w:instrText xml:space="preserve"> PAGEREF _Toc422950561 \h </w:instrText>
            </w:r>
            <w:r>
              <w:rPr>
                <w:noProof/>
                <w:webHidden/>
              </w:rPr>
            </w:r>
            <w:r>
              <w:rPr>
                <w:noProof/>
                <w:webHidden/>
              </w:rPr>
              <w:fldChar w:fldCharType="separate"/>
            </w:r>
            <w:r>
              <w:rPr>
                <w:noProof/>
                <w:webHidden/>
              </w:rPr>
              <w:t>vi</w:t>
            </w:r>
            <w:r>
              <w:rPr>
                <w:noProof/>
                <w:webHidden/>
              </w:rPr>
              <w:fldChar w:fldCharType="end"/>
            </w:r>
          </w:hyperlink>
        </w:p>
        <w:p w14:paraId="5733A446" w14:textId="77777777" w:rsidR="000332A2" w:rsidRDefault="000332A2">
          <w:pPr>
            <w:pStyle w:val="TOC1"/>
            <w:tabs>
              <w:tab w:val="right" w:leader="dot" w:pos="8630"/>
            </w:tabs>
            <w:rPr>
              <w:rFonts w:asciiTheme="minorHAnsi" w:hAnsiTheme="minorHAnsi"/>
              <w:noProof/>
              <w:sz w:val="22"/>
              <w:szCs w:val="22"/>
            </w:rPr>
          </w:pPr>
          <w:hyperlink w:anchor="_Toc422950562" w:history="1">
            <w:r w:rsidRPr="00316024">
              <w:rPr>
                <w:rStyle w:val="Hyperlink"/>
                <w:noProof/>
              </w:rPr>
              <w:t>TABLE OF CONTENTS</w:t>
            </w:r>
            <w:r>
              <w:rPr>
                <w:noProof/>
                <w:webHidden/>
              </w:rPr>
              <w:tab/>
            </w:r>
            <w:r>
              <w:rPr>
                <w:noProof/>
                <w:webHidden/>
              </w:rPr>
              <w:fldChar w:fldCharType="begin"/>
            </w:r>
            <w:r>
              <w:rPr>
                <w:noProof/>
                <w:webHidden/>
              </w:rPr>
              <w:instrText xml:space="preserve"> PAGEREF _Toc422950562 \h </w:instrText>
            </w:r>
            <w:r>
              <w:rPr>
                <w:noProof/>
                <w:webHidden/>
              </w:rPr>
            </w:r>
            <w:r>
              <w:rPr>
                <w:noProof/>
                <w:webHidden/>
              </w:rPr>
              <w:fldChar w:fldCharType="separate"/>
            </w:r>
            <w:r>
              <w:rPr>
                <w:noProof/>
                <w:webHidden/>
              </w:rPr>
              <w:t>viii</w:t>
            </w:r>
            <w:r>
              <w:rPr>
                <w:noProof/>
                <w:webHidden/>
              </w:rPr>
              <w:fldChar w:fldCharType="end"/>
            </w:r>
          </w:hyperlink>
        </w:p>
        <w:p w14:paraId="7331E63F" w14:textId="77777777" w:rsidR="000332A2" w:rsidRDefault="000332A2">
          <w:pPr>
            <w:pStyle w:val="TOC1"/>
            <w:tabs>
              <w:tab w:val="right" w:leader="dot" w:pos="8630"/>
            </w:tabs>
            <w:rPr>
              <w:rFonts w:asciiTheme="minorHAnsi" w:hAnsiTheme="minorHAnsi"/>
              <w:noProof/>
              <w:sz w:val="22"/>
              <w:szCs w:val="22"/>
            </w:rPr>
          </w:pPr>
          <w:hyperlink w:anchor="_Toc422950563" w:history="1">
            <w:r w:rsidRPr="00316024">
              <w:rPr>
                <w:rStyle w:val="Hyperlink"/>
                <w:noProof/>
              </w:rPr>
              <w:t>LIST OF TABLES</w:t>
            </w:r>
            <w:r>
              <w:rPr>
                <w:noProof/>
                <w:webHidden/>
              </w:rPr>
              <w:tab/>
            </w:r>
            <w:r>
              <w:rPr>
                <w:noProof/>
                <w:webHidden/>
              </w:rPr>
              <w:fldChar w:fldCharType="begin"/>
            </w:r>
            <w:r>
              <w:rPr>
                <w:noProof/>
                <w:webHidden/>
              </w:rPr>
              <w:instrText xml:space="preserve"> PAGEREF _Toc422950563 \h </w:instrText>
            </w:r>
            <w:r>
              <w:rPr>
                <w:noProof/>
                <w:webHidden/>
              </w:rPr>
            </w:r>
            <w:r>
              <w:rPr>
                <w:noProof/>
                <w:webHidden/>
              </w:rPr>
              <w:fldChar w:fldCharType="separate"/>
            </w:r>
            <w:r>
              <w:rPr>
                <w:noProof/>
                <w:webHidden/>
              </w:rPr>
              <w:t>ix</w:t>
            </w:r>
            <w:r>
              <w:rPr>
                <w:noProof/>
                <w:webHidden/>
              </w:rPr>
              <w:fldChar w:fldCharType="end"/>
            </w:r>
          </w:hyperlink>
        </w:p>
        <w:p w14:paraId="5C5AF067" w14:textId="77777777" w:rsidR="000332A2" w:rsidRDefault="000332A2">
          <w:pPr>
            <w:pStyle w:val="TOC1"/>
            <w:tabs>
              <w:tab w:val="right" w:leader="dot" w:pos="8630"/>
            </w:tabs>
            <w:rPr>
              <w:rFonts w:asciiTheme="minorHAnsi" w:hAnsiTheme="minorHAnsi"/>
              <w:noProof/>
              <w:sz w:val="22"/>
              <w:szCs w:val="22"/>
            </w:rPr>
          </w:pPr>
          <w:hyperlink w:anchor="_Toc422950564" w:history="1">
            <w:r w:rsidRPr="00316024">
              <w:rPr>
                <w:rStyle w:val="Hyperlink"/>
                <w:noProof/>
              </w:rPr>
              <w:t>LIST OF FIGURES</w:t>
            </w:r>
            <w:r>
              <w:rPr>
                <w:noProof/>
                <w:webHidden/>
              </w:rPr>
              <w:tab/>
            </w:r>
            <w:r>
              <w:rPr>
                <w:noProof/>
                <w:webHidden/>
              </w:rPr>
              <w:fldChar w:fldCharType="begin"/>
            </w:r>
            <w:r>
              <w:rPr>
                <w:noProof/>
                <w:webHidden/>
              </w:rPr>
              <w:instrText xml:space="preserve"> PAGEREF _Toc422950564 \h </w:instrText>
            </w:r>
            <w:r>
              <w:rPr>
                <w:noProof/>
                <w:webHidden/>
              </w:rPr>
            </w:r>
            <w:r>
              <w:rPr>
                <w:noProof/>
                <w:webHidden/>
              </w:rPr>
              <w:fldChar w:fldCharType="separate"/>
            </w:r>
            <w:r>
              <w:rPr>
                <w:noProof/>
                <w:webHidden/>
              </w:rPr>
              <w:t>x</w:t>
            </w:r>
            <w:r>
              <w:rPr>
                <w:noProof/>
                <w:webHidden/>
              </w:rPr>
              <w:fldChar w:fldCharType="end"/>
            </w:r>
          </w:hyperlink>
        </w:p>
        <w:p w14:paraId="27C58074" w14:textId="77777777" w:rsidR="000332A2" w:rsidRDefault="000332A2">
          <w:pPr>
            <w:pStyle w:val="TOC1"/>
            <w:tabs>
              <w:tab w:val="right" w:leader="dot" w:pos="8630"/>
            </w:tabs>
            <w:rPr>
              <w:rFonts w:asciiTheme="minorHAnsi" w:hAnsiTheme="minorHAnsi"/>
              <w:noProof/>
              <w:sz w:val="22"/>
              <w:szCs w:val="22"/>
            </w:rPr>
          </w:pPr>
          <w:hyperlink w:anchor="_Toc422950565" w:history="1">
            <w:r w:rsidRPr="00316024">
              <w:rPr>
                <w:rStyle w:val="Hyperlink"/>
                <w:noProof/>
              </w:rPr>
              <w:t>LIST OF ABBREVIATIONS</w:t>
            </w:r>
            <w:r>
              <w:rPr>
                <w:noProof/>
                <w:webHidden/>
              </w:rPr>
              <w:tab/>
            </w:r>
            <w:r>
              <w:rPr>
                <w:noProof/>
                <w:webHidden/>
              </w:rPr>
              <w:fldChar w:fldCharType="begin"/>
            </w:r>
            <w:r>
              <w:rPr>
                <w:noProof/>
                <w:webHidden/>
              </w:rPr>
              <w:instrText xml:space="preserve"> PAGEREF _Toc422950565 \h </w:instrText>
            </w:r>
            <w:r>
              <w:rPr>
                <w:noProof/>
                <w:webHidden/>
              </w:rPr>
            </w:r>
            <w:r>
              <w:rPr>
                <w:noProof/>
                <w:webHidden/>
              </w:rPr>
              <w:fldChar w:fldCharType="separate"/>
            </w:r>
            <w:r>
              <w:rPr>
                <w:noProof/>
                <w:webHidden/>
              </w:rPr>
              <w:t>xi</w:t>
            </w:r>
            <w:r>
              <w:rPr>
                <w:noProof/>
                <w:webHidden/>
              </w:rPr>
              <w:fldChar w:fldCharType="end"/>
            </w:r>
          </w:hyperlink>
        </w:p>
        <w:p w14:paraId="5EDD9E3B" w14:textId="77777777" w:rsidR="000332A2" w:rsidRDefault="000332A2">
          <w:pPr>
            <w:pStyle w:val="TOC1"/>
            <w:tabs>
              <w:tab w:val="right" w:leader="dot" w:pos="8630"/>
            </w:tabs>
            <w:rPr>
              <w:rFonts w:asciiTheme="minorHAnsi" w:hAnsiTheme="minorHAnsi"/>
              <w:noProof/>
              <w:sz w:val="22"/>
              <w:szCs w:val="22"/>
            </w:rPr>
          </w:pPr>
          <w:hyperlink w:anchor="_Toc422950566" w:history="1">
            <w:r w:rsidRPr="00316024">
              <w:rPr>
                <w:rStyle w:val="Hyperlink"/>
                <w:noProof/>
              </w:rPr>
              <w:t>CLINICAL QUESTIONS AND EVIDENCE</w:t>
            </w:r>
            <w:r>
              <w:rPr>
                <w:noProof/>
                <w:webHidden/>
              </w:rPr>
              <w:tab/>
            </w:r>
            <w:r>
              <w:rPr>
                <w:noProof/>
                <w:webHidden/>
              </w:rPr>
              <w:fldChar w:fldCharType="begin"/>
            </w:r>
            <w:r>
              <w:rPr>
                <w:noProof/>
                <w:webHidden/>
              </w:rPr>
              <w:instrText xml:space="preserve"> PAGEREF _Toc422950566 \h </w:instrText>
            </w:r>
            <w:r>
              <w:rPr>
                <w:noProof/>
                <w:webHidden/>
              </w:rPr>
            </w:r>
            <w:r>
              <w:rPr>
                <w:noProof/>
                <w:webHidden/>
              </w:rPr>
              <w:fldChar w:fldCharType="separate"/>
            </w:r>
            <w:r>
              <w:rPr>
                <w:noProof/>
                <w:webHidden/>
              </w:rPr>
              <w:t>1</w:t>
            </w:r>
            <w:r>
              <w:rPr>
                <w:noProof/>
                <w:webHidden/>
              </w:rPr>
              <w:fldChar w:fldCharType="end"/>
            </w:r>
          </w:hyperlink>
        </w:p>
        <w:p w14:paraId="770C3132" w14:textId="77777777" w:rsidR="000332A2" w:rsidRDefault="000332A2">
          <w:pPr>
            <w:pStyle w:val="TOC2"/>
            <w:tabs>
              <w:tab w:val="right" w:leader="dot" w:pos="8630"/>
            </w:tabs>
            <w:rPr>
              <w:rFonts w:asciiTheme="minorHAnsi" w:hAnsiTheme="minorHAnsi"/>
              <w:noProof/>
              <w:sz w:val="22"/>
            </w:rPr>
          </w:pPr>
          <w:hyperlink w:anchor="_Toc422950567" w:history="1">
            <w:r w:rsidRPr="00316024">
              <w:rPr>
                <w:rStyle w:val="Hyperlink"/>
                <w:noProof/>
              </w:rPr>
              <w:t>Cushing’s syndrome and hints of an atrophy mechanism</w:t>
            </w:r>
            <w:r>
              <w:rPr>
                <w:noProof/>
                <w:webHidden/>
              </w:rPr>
              <w:tab/>
            </w:r>
            <w:r>
              <w:rPr>
                <w:noProof/>
                <w:webHidden/>
              </w:rPr>
              <w:fldChar w:fldCharType="begin"/>
            </w:r>
            <w:r>
              <w:rPr>
                <w:noProof/>
                <w:webHidden/>
              </w:rPr>
              <w:instrText xml:space="preserve"> PAGEREF _Toc422950567 \h </w:instrText>
            </w:r>
            <w:r>
              <w:rPr>
                <w:noProof/>
                <w:webHidden/>
              </w:rPr>
            </w:r>
            <w:r>
              <w:rPr>
                <w:noProof/>
                <w:webHidden/>
              </w:rPr>
              <w:fldChar w:fldCharType="separate"/>
            </w:r>
            <w:r>
              <w:rPr>
                <w:noProof/>
                <w:webHidden/>
              </w:rPr>
              <w:t>1</w:t>
            </w:r>
            <w:r>
              <w:rPr>
                <w:noProof/>
                <w:webHidden/>
              </w:rPr>
              <w:fldChar w:fldCharType="end"/>
            </w:r>
          </w:hyperlink>
        </w:p>
        <w:p w14:paraId="29C83D5B" w14:textId="77777777" w:rsidR="000332A2" w:rsidRDefault="000332A2">
          <w:pPr>
            <w:pStyle w:val="TOC2"/>
            <w:tabs>
              <w:tab w:val="right" w:leader="dot" w:pos="8630"/>
            </w:tabs>
            <w:rPr>
              <w:rFonts w:asciiTheme="minorHAnsi" w:hAnsiTheme="minorHAnsi"/>
              <w:noProof/>
              <w:sz w:val="22"/>
            </w:rPr>
          </w:pPr>
          <w:hyperlink w:anchor="_Toc422950568" w:history="1">
            <w:r w:rsidRPr="00316024">
              <w:rPr>
                <w:rStyle w:val="Hyperlink"/>
                <w:noProof/>
              </w:rPr>
              <w:t>Glucocorticoid therapy</w:t>
            </w:r>
            <w:r>
              <w:rPr>
                <w:noProof/>
                <w:webHidden/>
              </w:rPr>
              <w:tab/>
            </w:r>
            <w:r>
              <w:rPr>
                <w:noProof/>
                <w:webHidden/>
              </w:rPr>
              <w:fldChar w:fldCharType="begin"/>
            </w:r>
            <w:r>
              <w:rPr>
                <w:noProof/>
                <w:webHidden/>
              </w:rPr>
              <w:instrText xml:space="preserve"> PAGEREF _Toc422950568 \h </w:instrText>
            </w:r>
            <w:r>
              <w:rPr>
                <w:noProof/>
                <w:webHidden/>
              </w:rPr>
            </w:r>
            <w:r>
              <w:rPr>
                <w:noProof/>
                <w:webHidden/>
              </w:rPr>
              <w:fldChar w:fldCharType="separate"/>
            </w:r>
            <w:r>
              <w:rPr>
                <w:noProof/>
                <w:webHidden/>
              </w:rPr>
              <w:t>4</w:t>
            </w:r>
            <w:r>
              <w:rPr>
                <w:noProof/>
                <w:webHidden/>
              </w:rPr>
              <w:fldChar w:fldCharType="end"/>
            </w:r>
          </w:hyperlink>
        </w:p>
        <w:p w14:paraId="01E69F02" w14:textId="77777777" w:rsidR="000332A2" w:rsidRDefault="000332A2">
          <w:pPr>
            <w:pStyle w:val="TOC2"/>
            <w:tabs>
              <w:tab w:val="right" w:leader="dot" w:pos="8630"/>
            </w:tabs>
            <w:rPr>
              <w:rFonts w:asciiTheme="minorHAnsi" w:hAnsiTheme="minorHAnsi"/>
              <w:noProof/>
              <w:sz w:val="22"/>
            </w:rPr>
          </w:pPr>
          <w:hyperlink w:anchor="_Toc422950569" w:history="1">
            <w:r w:rsidRPr="00316024">
              <w:rPr>
                <w:rStyle w:val="Hyperlink"/>
                <w:noProof/>
              </w:rPr>
              <w:t>Hypercortisolism-induced muscle loss</w:t>
            </w:r>
            <w:r>
              <w:rPr>
                <w:noProof/>
                <w:webHidden/>
              </w:rPr>
              <w:tab/>
            </w:r>
            <w:r>
              <w:rPr>
                <w:noProof/>
                <w:webHidden/>
              </w:rPr>
              <w:fldChar w:fldCharType="begin"/>
            </w:r>
            <w:r>
              <w:rPr>
                <w:noProof/>
                <w:webHidden/>
              </w:rPr>
              <w:instrText xml:space="preserve"> PAGEREF _Toc422950569 \h </w:instrText>
            </w:r>
            <w:r>
              <w:rPr>
                <w:noProof/>
                <w:webHidden/>
              </w:rPr>
            </w:r>
            <w:r>
              <w:rPr>
                <w:noProof/>
                <w:webHidden/>
              </w:rPr>
              <w:fldChar w:fldCharType="separate"/>
            </w:r>
            <w:r>
              <w:rPr>
                <w:noProof/>
                <w:webHidden/>
              </w:rPr>
              <w:t>11</w:t>
            </w:r>
            <w:r>
              <w:rPr>
                <w:noProof/>
                <w:webHidden/>
              </w:rPr>
              <w:fldChar w:fldCharType="end"/>
            </w:r>
          </w:hyperlink>
        </w:p>
        <w:p w14:paraId="076EC621" w14:textId="77777777" w:rsidR="000332A2" w:rsidRDefault="000332A2">
          <w:pPr>
            <w:pStyle w:val="TOC2"/>
            <w:tabs>
              <w:tab w:val="right" w:leader="dot" w:pos="8630"/>
            </w:tabs>
            <w:rPr>
              <w:rFonts w:asciiTheme="minorHAnsi" w:hAnsiTheme="minorHAnsi"/>
              <w:noProof/>
              <w:sz w:val="22"/>
            </w:rPr>
          </w:pPr>
          <w:hyperlink w:anchor="_Toc422950570" w:history="1">
            <w:r w:rsidRPr="00316024">
              <w:rPr>
                <w:rStyle w:val="Hyperlink"/>
                <w:noProof/>
              </w:rPr>
              <w:t>Muscle protection with androgen therapy</w:t>
            </w:r>
            <w:r>
              <w:rPr>
                <w:noProof/>
                <w:webHidden/>
              </w:rPr>
              <w:tab/>
            </w:r>
            <w:r>
              <w:rPr>
                <w:noProof/>
                <w:webHidden/>
              </w:rPr>
              <w:fldChar w:fldCharType="begin"/>
            </w:r>
            <w:r>
              <w:rPr>
                <w:noProof/>
                <w:webHidden/>
              </w:rPr>
              <w:instrText xml:space="preserve"> PAGEREF _Toc422950570 \h </w:instrText>
            </w:r>
            <w:r>
              <w:rPr>
                <w:noProof/>
                <w:webHidden/>
              </w:rPr>
            </w:r>
            <w:r>
              <w:rPr>
                <w:noProof/>
                <w:webHidden/>
              </w:rPr>
              <w:fldChar w:fldCharType="separate"/>
            </w:r>
            <w:r>
              <w:rPr>
                <w:noProof/>
                <w:webHidden/>
              </w:rPr>
              <w:t>22</w:t>
            </w:r>
            <w:r>
              <w:rPr>
                <w:noProof/>
                <w:webHidden/>
              </w:rPr>
              <w:fldChar w:fldCharType="end"/>
            </w:r>
          </w:hyperlink>
        </w:p>
        <w:p w14:paraId="3FB38E85" w14:textId="77777777" w:rsidR="000332A2" w:rsidRDefault="000332A2">
          <w:pPr>
            <w:pStyle w:val="TOC2"/>
            <w:tabs>
              <w:tab w:val="right" w:leader="dot" w:pos="8630"/>
            </w:tabs>
            <w:rPr>
              <w:rFonts w:asciiTheme="minorHAnsi" w:hAnsiTheme="minorHAnsi"/>
              <w:noProof/>
              <w:sz w:val="22"/>
            </w:rPr>
          </w:pPr>
          <w:hyperlink w:anchor="_Toc422950571" w:history="1">
            <w:r w:rsidRPr="00316024">
              <w:rPr>
                <w:rStyle w:val="Hyperlink"/>
                <w:noProof/>
              </w:rPr>
              <w:t>Section Two</w:t>
            </w:r>
            <w:r>
              <w:rPr>
                <w:noProof/>
                <w:webHidden/>
              </w:rPr>
              <w:tab/>
            </w:r>
            <w:r>
              <w:rPr>
                <w:noProof/>
                <w:webHidden/>
              </w:rPr>
              <w:fldChar w:fldCharType="begin"/>
            </w:r>
            <w:r>
              <w:rPr>
                <w:noProof/>
                <w:webHidden/>
              </w:rPr>
              <w:instrText xml:space="preserve"> PAGEREF _Toc422950571 \h </w:instrText>
            </w:r>
            <w:r>
              <w:rPr>
                <w:noProof/>
                <w:webHidden/>
              </w:rPr>
            </w:r>
            <w:r>
              <w:rPr>
                <w:noProof/>
                <w:webHidden/>
              </w:rPr>
              <w:fldChar w:fldCharType="separate"/>
            </w:r>
            <w:r>
              <w:rPr>
                <w:noProof/>
                <w:webHidden/>
              </w:rPr>
              <w:t>30</w:t>
            </w:r>
            <w:r>
              <w:rPr>
                <w:noProof/>
                <w:webHidden/>
              </w:rPr>
              <w:fldChar w:fldCharType="end"/>
            </w:r>
          </w:hyperlink>
        </w:p>
        <w:p w14:paraId="666F6D6E" w14:textId="77777777" w:rsidR="000332A2" w:rsidRDefault="000332A2">
          <w:pPr>
            <w:pStyle w:val="TOC3"/>
            <w:tabs>
              <w:tab w:val="right" w:leader="dot" w:pos="8630"/>
            </w:tabs>
            <w:rPr>
              <w:rFonts w:asciiTheme="minorHAnsi" w:hAnsiTheme="minorHAnsi"/>
              <w:noProof/>
              <w:sz w:val="22"/>
            </w:rPr>
          </w:pPr>
          <w:hyperlink w:anchor="_Toc422950572" w:history="1">
            <w:r w:rsidRPr="00316024">
              <w:rPr>
                <w:rStyle w:val="Hyperlink"/>
                <w:noProof/>
              </w:rPr>
              <w:t>Subsection One</w:t>
            </w:r>
            <w:r>
              <w:rPr>
                <w:noProof/>
                <w:webHidden/>
              </w:rPr>
              <w:tab/>
            </w:r>
            <w:r>
              <w:rPr>
                <w:noProof/>
                <w:webHidden/>
              </w:rPr>
              <w:fldChar w:fldCharType="begin"/>
            </w:r>
            <w:r>
              <w:rPr>
                <w:noProof/>
                <w:webHidden/>
              </w:rPr>
              <w:instrText xml:space="preserve"> PAGEREF _Toc422950572 \h </w:instrText>
            </w:r>
            <w:r>
              <w:rPr>
                <w:noProof/>
                <w:webHidden/>
              </w:rPr>
            </w:r>
            <w:r>
              <w:rPr>
                <w:noProof/>
                <w:webHidden/>
              </w:rPr>
              <w:fldChar w:fldCharType="separate"/>
            </w:r>
            <w:r>
              <w:rPr>
                <w:noProof/>
                <w:webHidden/>
              </w:rPr>
              <w:t>31</w:t>
            </w:r>
            <w:r>
              <w:rPr>
                <w:noProof/>
                <w:webHidden/>
              </w:rPr>
              <w:fldChar w:fldCharType="end"/>
            </w:r>
          </w:hyperlink>
        </w:p>
        <w:p w14:paraId="5BC5FFCF" w14:textId="77777777" w:rsidR="000332A2" w:rsidRDefault="000332A2">
          <w:pPr>
            <w:pStyle w:val="TOC1"/>
            <w:tabs>
              <w:tab w:val="right" w:leader="dot" w:pos="8630"/>
            </w:tabs>
            <w:rPr>
              <w:rFonts w:asciiTheme="minorHAnsi" w:hAnsiTheme="minorHAnsi"/>
              <w:noProof/>
              <w:sz w:val="22"/>
              <w:szCs w:val="22"/>
            </w:rPr>
          </w:pPr>
          <w:hyperlink w:anchor="_Toc422950573" w:history="1">
            <w:r w:rsidRPr="00316024">
              <w:rPr>
                <w:rStyle w:val="Hyperlink"/>
                <w:noProof/>
              </w:rPr>
              <w:t>CHAPTER TWO</w:t>
            </w:r>
            <w:r>
              <w:rPr>
                <w:noProof/>
                <w:webHidden/>
              </w:rPr>
              <w:tab/>
            </w:r>
            <w:r>
              <w:rPr>
                <w:noProof/>
                <w:webHidden/>
              </w:rPr>
              <w:fldChar w:fldCharType="begin"/>
            </w:r>
            <w:r>
              <w:rPr>
                <w:noProof/>
                <w:webHidden/>
              </w:rPr>
              <w:instrText xml:space="preserve"> PAGEREF _Toc422950573 \h </w:instrText>
            </w:r>
            <w:r>
              <w:rPr>
                <w:noProof/>
                <w:webHidden/>
              </w:rPr>
            </w:r>
            <w:r>
              <w:rPr>
                <w:noProof/>
                <w:webHidden/>
              </w:rPr>
              <w:fldChar w:fldCharType="separate"/>
            </w:r>
            <w:r>
              <w:rPr>
                <w:noProof/>
                <w:webHidden/>
              </w:rPr>
              <w:t>32</w:t>
            </w:r>
            <w:r>
              <w:rPr>
                <w:noProof/>
                <w:webHidden/>
              </w:rPr>
              <w:fldChar w:fldCharType="end"/>
            </w:r>
          </w:hyperlink>
        </w:p>
        <w:p w14:paraId="55F382C9" w14:textId="77777777" w:rsidR="000332A2" w:rsidRDefault="000332A2">
          <w:pPr>
            <w:pStyle w:val="TOC1"/>
            <w:tabs>
              <w:tab w:val="right" w:leader="dot" w:pos="8630"/>
            </w:tabs>
            <w:rPr>
              <w:rFonts w:asciiTheme="minorHAnsi" w:hAnsiTheme="minorHAnsi"/>
              <w:noProof/>
              <w:sz w:val="22"/>
              <w:szCs w:val="22"/>
            </w:rPr>
          </w:pPr>
          <w:hyperlink w:anchor="_Toc422950574" w:history="1">
            <w:r w:rsidRPr="00316024">
              <w:rPr>
                <w:rStyle w:val="Hyperlink"/>
                <w:noProof/>
              </w:rPr>
              <w:t>CHAPTER THREE</w:t>
            </w:r>
            <w:r>
              <w:rPr>
                <w:noProof/>
                <w:webHidden/>
              </w:rPr>
              <w:tab/>
            </w:r>
            <w:r>
              <w:rPr>
                <w:noProof/>
                <w:webHidden/>
              </w:rPr>
              <w:fldChar w:fldCharType="begin"/>
            </w:r>
            <w:r>
              <w:rPr>
                <w:noProof/>
                <w:webHidden/>
              </w:rPr>
              <w:instrText xml:space="preserve"> PAGEREF _Toc422950574 \h </w:instrText>
            </w:r>
            <w:r>
              <w:rPr>
                <w:noProof/>
                <w:webHidden/>
              </w:rPr>
            </w:r>
            <w:r>
              <w:rPr>
                <w:noProof/>
                <w:webHidden/>
              </w:rPr>
              <w:fldChar w:fldCharType="separate"/>
            </w:r>
            <w:r>
              <w:rPr>
                <w:noProof/>
                <w:webHidden/>
              </w:rPr>
              <w:t>34</w:t>
            </w:r>
            <w:r>
              <w:rPr>
                <w:noProof/>
                <w:webHidden/>
              </w:rPr>
              <w:fldChar w:fldCharType="end"/>
            </w:r>
          </w:hyperlink>
        </w:p>
        <w:p w14:paraId="79ED4A02" w14:textId="77777777" w:rsidR="000332A2" w:rsidRDefault="000332A2">
          <w:pPr>
            <w:pStyle w:val="TOC1"/>
            <w:tabs>
              <w:tab w:val="right" w:leader="dot" w:pos="8630"/>
            </w:tabs>
            <w:rPr>
              <w:rFonts w:asciiTheme="minorHAnsi" w:hAnsiTheme="minorHAnsi"/>
              <w:noProof/>
              <w:sz w:val="22"/>
              <w:szCs w:val="22"/>
            </w:rPr>
          </w:pPr>
          <w:hyperlink w:anchor="_Toc422950575" w:history="1">
            <w:r w:rsidRPr="00316024">
              <w:rPr>
                <w:rStyle w:val="Hyperlink"/>
                <w:noProof/>
              </w:rPr>
              <w:t>BIBLIOGRAPHY</w:t>
            </w:r>
            <w:r>
              <w:rPr>
                <w:noProof/>
                <w:webHidden/>
              </w:rPr>
              <w:tab/>
            </w:r>
            <w:r>
              <w:rPr>
                <w:noProof/>
                <w:webHidden/>
              </w:rPr>
              <w:fldChar w:fldCharType="begin"/>
            </w:r>
            <w:r>
              <w:rPr>
                <w:noProof/>
                <w:webHidden/>
              </w:rPr>
              <w:instrText xml:space="preserve"> PAGEREF _Toc422950575 \h </w:instrText>
            </w:r>
            <w:r>
              <w:rPr>
                <w:noProof/>
                <w:webHidden/>
              </w:rPr>
            </w:r>
            <w:r>
              <w:rPr>
                <w:noProof/>
                <w:webHidden/>
              </w:rPr>
              <w:fldChar w:fldCharType="separate"/>
            </w:r>
            <w:r>
              <w:rPr>
                <w:noProof/>
                <w:webHidden/>
              </w:rPr>
              <w:t>36</w:t>
            </w:r>
            <w:r>
              <w:rPr>
                <w:noProof/>
                <w:webHidden/>
              </w:rPr>
              <w:fldChar w:fldCharType="end"/>
            </w:r>
          </w:hyperlink>
        </w:p>
        <w:p w14:paraId="1F3D2BA2" w14:textId="77777777" w:rsidR="000332A2" w:rsidRDefault="000332A2">
          <w:pPr>
            <w:pStyle w:val="TOC1"/>
            <w:tabs>
              <w:tab w:val="right" w:leader="dot" w:pos="8630"/>
            </w:tabs>
            <w:rPr>
              <w:rFonts w:asciiTheme="minorHAnsi" w:hAnsiTheme="minorHAnsi"/>
              <w:noProof/>
              <w:sz w:val="22"/>
              <w:szCs w:val="22"/>
            </w:rPr>
          </w:pPr>
          <w:hyperlink w:anchor="_Toc422950576" w:history="1">
            <w:r w:rsidRPr="00316024">
              <w:rPr>
                <w:rStyle w:val="Hyperlink"/>
                <w:noProof/>
              </w:rPr>
              <w:t>CURRICULUM VITAE</w:t>
            </w:r>
            <w:r>
              <w:rPr>
                <w:noProof/>
                <w:webHidden/>
              </w:rPr>
              <w:tab/>
            </w:r>
            <w:r>
              <w:rPr>
                <w:noProof/>
                <w:webHidden/>
              </w:rPr>
              <w:fldChar w:fldCharType="begin"/>
            </w:r>
            <w:r>
              <w:rPr>
                <w:noProof/>
                <w:webHidden/>
              </w:rPr>
              <w:instrText xml:space="preserve"> PAGEREF _Toc422950576 \h </w:instrText>
            </w:r>
            <w:r>
              <w:rPr>
                <w:noProof/>
                <w:webHidden/>
              </w:rPr>
            </w:r>
            <w:r>
              <w:rPr>
                <w:noProof/>
                <w:webHidden/>
              </w:rPr>
              <w:fldChar w:fldCharType="separate"/>
            </w:r>
            <w:r>
              <w:rPr>
                <w:noProof/>
                <w:webHidden/>
              </w:rPr>
              <w:t>37</w:t>
            </w:r>
            <w:r>
              <w:rPr>
                <w:noProof/>
                <w:webHidden/>
              </w:rPr>
              <w:fldChar w:fldCharType="end"/>
            </w:r>
          </w:hyperlink>
        </w:p>
        <w:p w14:paraId="159728A5" w14:textId="3D1907B9" w:rsidR="00BD7A28" w:rsidRDefault="00BD7A28">
          <w:r>
            <w:rPr>
              <w:b/>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6B11BF6D" w:rsidR="00F55E2B" w:rsidRDefault="00864EEA" w:rsidP="0072455D">
      <w:pPr>
        <w:pStyle w:val="Heading1"/>
      </w:pPr>
      <w:bookmarkStart w:id="3" w:name="_Toc422950563"/>
      <w:r>
        <w:lastRenderedPageBreak/>
        <w:t>LIST OF TABLES</w:t>
      </w:r>
      <w:bookmarkEnd w:id="3"/>
    </w:p>
    <w:p w14:paraId="74D38077" w14:textId="77777777" w:rsidR="000332A2" w:rsidRDefault="001A02FD">
      <w:pPr>
        <w:pStyle w:val="TableofFigures"/>
        <w:tabs>
          <w:tab w:val="right" w:leader="dot" w:pos="8630"/>
        </w:tabs>
        <w:rPr>
          <w:rFonts w:asciiTheme="minorHAnsi" w:hAnsiTheme="minorHAnsi"/>
          <w:noProof/>
          <w:sz w:val="22"/>
          <w:szCs w:val="22"/>
        </w:rPr>
      </w:pPr>
      <w:r>
        <w:fldChar w:fldCharType="begin"/>
      </w:r>
      <w:r>
        <w:instrText xml:space="preserve"> TOC \t "BU Table Caption" \c "Table" </w:instrText>
      </w:r>
      <w:r>
        <w:fldChar w:fldCharType="separate"/>
      </w:r>
      <w:r w:rsidR="000332A2">
        <w:rPr>
          <w:noProof/>
        </w:rPr>
        <w:t>Table 1. Pharmacological agents used in Cushing’s disease of unidentified ectopic, or diffuse localization (reviewed in [1, 2])</w:t>
      </w:r>
      <w:r w:rsidR="000332A2">
        <w:rPr>
          <w:noProof/>
        </w:rPr>
        <w:tab/>
      </w:r>
      <w:r w:rsidR="000332A2">
        <w:rPr>
          <w:noProof/>
        </w:rPr>
        <w:fldChar w:fldCharType="begin"/>
      </w:r>
      <w:r w:rsidR="000332A2">
        <w:rPr>
          <w:noProof/>
        </w:rPr>
        <w:instrText xml:space="preserve"> PAGEREF _Toc422950577 \h </w:instrText>
      </w:r>
      <w:r w:rsidR="000332A2">
        <w:rPr>
          <w:noProof/>
        </w:rPr>
      </w:r>
      <w:r w:rsidR="000332A2">
        <w:rPr>
          <w:noProof/>
        </w:rPr>
        <w:fldChar w:fldCharType="separate"/>
      </w:r>
      <w:r w:rsidR="000332A2">
        <w:rPr>
          <w:noProof/>
        </w:rPr>
        <w:t>29</w:t>
      </w:r>
      <w:r w:rsidR="000332A2">
        <w:rPr>
          <w:noProof/>
        </w:rPr>
        <w:fldChar w:fldCharType="end"/>
      </w:r>
    </w:p>
    <w:p w14:paraId="70F445EC" w14:textId="77777777" w:rsidR="000332A2" w:rsidRDefault="000332A2">
      <w:pPr>
        <w:pStyle w:val="TableofFigures"/>
        <w:tabs>
          <w:tab w:val="right" w:leader="dot" w:pos="8630"/>
        </w:tabs>
        <w:rPr>
          <w:rFonts w:asciiTheme="minorHAnsi" w:hAnsiTheme="minorHAnsi"/>
          <w:noProof/>
          <w:sz w:val="22"/>
          <w:szCs w:val="22"/>
        </w:rPr>
      </w:pPr>
      <w:r>
        <w:rPr>
          <w:noProof/>
        </w:rPr>
        <w:t>Table 2. My Other Table.</w:t>
      </w:r>
      <w:r>
        <w:rPr>
          <w:noProof/>
        </w:rPr>
        <w:tab/>
      </w:r>
      <w:r>
        <w:rPr>
          <w:noProof/>
        </w:rPr>
        <w:fldChar w:fldCharType="begin"/>
      </w:r>
      <w:r>
        <w:rPr>
          <w:noProof/>
        </w:rPr>
        <w:instrText xml:space="preserve"> PAGEREF _Toc422950578 \h </w:instrText>
      </w:r>
      <w:r>
        <w:rPr>
          <w:noProof/>
        </w:rPr>
      </w:r>
      <w:r>
        <w:rPr>
          <w:noProof/>
        </w:rPr>
        <w:fldChar w:fldCharType="separate"/>
      </w:r>
      <w:r>
        <w:rPr>
          <w:noProof/>
        </w:rPr>
        <w:t>31</w:t>
      </w:r>
      <w:r>
        <w:rPr>
          <w:noProof/>
        </w:rPr>
        <w:fldChar w:fldCharType="end"/>
      </w:r>
    </w:p>
    <w:p w14:paraId="417C7B11" w14:textId="7DB50D2A" w:rsidR="008B0B42" w:rsidRPr="00B22DD9" w:rsidRDefault="001A02FD" w:rsidP="000C7509">
      <w:pPr>
        <w:rPr>
          <w:rFonts w:ascii="Times New Roman" w:hAnsi="Times New Roman" w:cs="Times New Roman"/>
          <w:i/>
        </w:rPr>
      </w:pPr>
      <w:r>
        <w:fldChar w:fldCharType="end"/>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8C8971E" w:rsidR="00D760CF" w:rsidRDefault="00D760CF" w:rsidP="0072455D">
      <w:pPr>
        <w:pStyle w:val="Heading1"/>
      </w:pPr>
      <w:bookmarkStart w:id="4" w:name="_Toc422950564"/>
      <w:r>
        <w:lastRenderedPageBreak/>
        <w:t>LIST OF FIGURES</w:t>
      </w:r>
      <w:bookmarkEnd w:id="4"/>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37001D">
        <w:rPr>
          <w:noProof/>
        </w:rPr>
        <w:t>3</w:t>
      </w:r>
      <w:r w:rsidR="0037001D">
        <w:rPr>
          <w:noProof/>
        </w:rPr>
        <w:fldChar w:fldCharType="end"/>
      </w:r>
    </w:p>
    <w:p w14:paraId="5F8A0055" w14:textId="2AA45747" w:rsidR="008B0B42" w:rsidRDefault="008A566E" w:rsidP="000C7509">
      <w:pPr>
        <w:rPr>
          <w:rFonts w:ascii="Times New Roman" w:hAnsi="Times New Roman" w:cs="Times New Roman"/>
        </w:rPr>
      </w:pPr>
      <w:r>
        <w:fldChar w:fldCharType="end"/>
      </w: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70473A64" w14:textId="1016B486" w:rsidR="00F3373D" w:rsidRDefault="00F3373D">
      <w:pPr>
        <w:rPr>
          <w:rFonts w:ascii="Times New Roman" w:hAnsi="Times New Roman" w:cs="Times New Roman"/>
        </w:rPr>
      </w:pPr>
    </w:p>
    <w:p w14:paraId="1C0B5044" w14:textId="7D181624" w:rsidR="00F3373D" w:rsidRDefault="00F3373D" w:rsidP="0072455D">
      <w:pPr>
        <w:pStyle w:val="Heading1"/>
      </w:pPr>
      <w:bookmarkStart w:id="5" w:name="_Toc422950565"/>
      <w:r>
        <w:t>LIST OF ABBREVIATIONS</w:t>
      </w:r>
      <w:bookmarkEnd w:id="5"/>
    </w:p>
    <w:p w14:paraId="69786E58" w14:textId="77777777" w:rsidR="00542258" w:rsidRDefault="00542258" w:rsidP="00542258">
      <w:pPr>
        <w:pStyle w:val="BUListofAbbreviations"/>
      </w:pPr>
      <w:r>
        <w:t>24HUC</w:t>
      </w:r>
      <w:r>
        <w:tab/>
        <w:t>24-hour urine cortisol</w:t>
      </w:r>
    </w:p>
    <w:p w14:paraId="2F53F70C" w14:textId="77777777" w:rsidR="00542258" w:rsidRDefault="00542258" w:rsidP="00542258">
      <w:pPr>
        <w:pStyle w:val="BUListofAbbreviations"/>
      </w:pPr>
      <w:r>
        <w:t>3MH</w:t>
      </w:r>
      <w:r>
        <w:tab/>
        <w:t>3-methylhistidine</w:t>
      </w:r>
    </w:p>
    <w:p w14:paraId="0EA35413" w14:textId="77777777" w:rsidR="00542258" w:rsidRDefault="00542258" w:rsidP="00542258">
      <w:pPr>
        <w:pStyle w:val="BUListofAbbreviations"/>
      </w:pPr>
      <w:r>
        <w:t>4E-BP</w:t>
      </w:r>
      <w:r>
        <w:tab/>
        <w:t>eIF4E binding protein</w:t>
      </w:r>
    </w:p>
    <w:p w14:paraId="4BB28A6B" w14:textId="77777777" w:rsidR="00542258" w:rsidRDefault="00542258" w:rsidP="00542258">
      <w:pPr>
        <w:pStyle w:val="BUListofAbbreviations"/>
      </w:pPr>
      <w:r>
        <w:t>AAP</w:t>
      </w:r>
      <w:r>
        <w:tab/>
        <w:t>adrenal androgen precursor</w:t>
      </w:r>
    </w:p>
    <w:p w14:paraId="335B521B" w14:textId="77777777" w:rsidR="00542258" w:rsidRDefault="00542258" w:rsidP="00542258">
      <w:pPr>
        <w:pStyle w:val="BUListofAbbreviations"/>
      </w:pPr>
      <w:r>
        <w:t>AAS</w:t>
      </w:r>
      <w:r>
        <w:tab/>
        <w:t>anabolic androgenic steroids</w:t>
      </w:r>
    </w:p>
    <w:p w14:paraId="58567895" w14:textId="77777777" w:rsidR="00542258" w:rsidRDefault="00542258" w:rsidP="00542258">
      <w:pPr>
        <w:pStyle w:val="BUListofAbbreviations"/>
      </w:pPr>
      <w:r>
        <w:t>ACTH</w:t>
      </w:r>
      <w:r>
        <w:tab/>
        <w:t>adrenocorticotropic hormone</w:t>
      </w:r>
    </w:p>
    <w:p w14:paraId="67C7BCC3" w14:textId="085CD1BC" w:rsidR="00542258" w:rsidRDefault="00542258" w:rsidP="00542258">
      <w:pPr>
        <w:pStyle w:val="BUListofAbbreviations"/>
      </w:pPr>
      <w:r>
        <w:t>ActRIIB</w:t>
      </w:r>
      <w:r>
        <w:tab/>
        <w:t>activin A receptor, type IIB</w:t>
      </w:r>
    </w:p>
    <w:p w14:paraId="74A16678" w14:textId="77777777" w:rsidR="00542258" w:rsidRDefault="00542258" w:rsidP="00542258">
      <w:pPr>
        <w:pStyle w:val="BUListofAbbreviations"/>
      </w:pPr>
      <w:r>
        <w:t>AMPK</w:t>
      </w:r>
      <w:r>
        <w:tab/>
        <w:t>adenosine monophosphate kinase</w:t>
      </w:r>
    </w:p>
    <w:p w14:paraId="37BC59E7" w14:textId="77777777" w:rsidR="00542258" w:rsidRDefault="00542258" w:rsidP="00542258">
      <w:pPr>
        <w:pStyle w:val="BUListofAbbreviations"/>
      </w:pPr>
      <w:r>
        <w:t>ANOVA</w:t>
      </w:r>
      <w:r>
        <w:tab/>
        <w:t>analysis of variance</w:t>
      </w:r>
    </w:p>
    <w:p w14:paraId="15E4B63F" w14:textId="77777777" w:rsidR="00542258" w:rsidRDefault="00542258" w:rsidP="00542258">
      <w:pPr>
        <w:pStyle w:val="BUListofAbbreviations"/>
      </w:pPr>
      <w:r>
        <w:t>AP-1</w:t>
      </w:r>
      <w:r>
        <w:tab/>
        <w:t>activator protein 1</w:t>
      </w:r>
    </w:p>
    <w:p w14:paraId="659A0B15" w14:textId="77777777" w:rsidR="00542258" w:rsidRDefault="00542258" w:rsidP="00542258">
      <w:pPr>
        <w:pStyle w:val="BUListofAbbreviations"/>
      </w:pPr>
      <w:r>
        <w:t>AR</w:t>
      </w:r>
      <w:r>
        <w:tab/>
        <w:t>androgen receptor</w:t>
      </w:r>
    </w:p>
    <w:p w14:paraId="236F7369" w14:textId="77777777" w:rsidR="00542258" w:rsidRDefault="00542258" w:rsidP="00542258">
      <w:pPr>
        <w:pStyle w:val="BUListofAbbreviations"/>
      </w:pPr>
      <w:r>
        <w:t>ATF4</w:t>
      </w:r>
      <w:r>
        <w:tab/>
        <w:t>activating transcription factor 4</w:t>
      </w:r>
    </w:p>
    <w:p w14:paraId="4718413C" w14:textId="77777777" w:rsidR="00542258" w:rsidRDefault="00542258" w:rsidP="00542258">
      <w:pPr>
        <w:pStyle w:val="BUListofAbbreviations"/>
      </w:pPr>
      <w:r>
        <w:t>Atg12</w:t>
      </w:r>
      <w:r>
        <w:tab/>
        <w:t>autophagy-related 12</w:t>
      </w:r>
    </w:p>
    <w:p w14:paraId="602CC290" w14:textId="77777777" w:rsidR="004C665B" w:rsidRDefault="00542258" w:rsidP="00542258">
      <w:pPr>
        <w:pStyle w:val="BUListofAbbreviations"/>
      </w:pPr>
      <w:r>
        <w:t>BCA</w:t>
      </w:r>
      <w:r>
        <w:tab/>
        <w:t>bicinchoninic acid</w:t>
      </w:r>
    </w:p>
    <w:p w14:paraId="2174D064" w14:textId="1E2914CF" w:rsidR="00E111EF" w:rsidRPr="00E111EF" w:rsidRDefault="00E111EF" w:rsidP="00E111EF">
      <w:pPr>
        <w:pStyle w:val="BUListofAbbreviations"/>
      </w:pPr>
      <w:r>
        <w:t>BCAA</w:t>
      </w:r>
      <w:r>
        <w:tab/>
        <w:t>b</w:t>
      </w:r>
      <w:r w:rsidRPr="00E111EF">
        <w:t>ranched-chain amino acids</w:t>
      </w:r>
    </w:p>
    <w:p w14:paraId="01065C3B" w14:textId="26995BFA" w:rsidR="004C665B" w:rsidRDefault="00542258" w:rsidP="00542258">
      <w:pPr>
        <w:pStyle w:val="BUListofAbbreviations"/>
      </w:pPr>
      <w:r>
        <w:t>Bcl3</w:t>
      </w:r>
      <w:r w:rsidR="004C665B">
        <w:tab/>
      </w:r>
      <w:r>
        <w:t>B-cell leukemia/lymphoma 3</w:t>
      </w:r>
    </w:p>
    <w:p w14:paraId="4F1A94E3" w14:textId="0ABE0D77" w:rsidR="004C665B" w:rsidRDefault="00542258" w:rsidP="00542258">
      <w:pPr>
        <w:pStyle w:val="BUListofAbbreviations"/>
      </w:pPr>
      <w:r>
        <w:t>bFGF</w:t>
      </w:r>
      <w:r w:rsidR="004C665B">
        <w:tab/>
        <w:t>basic fibroblast growth factor</w:t>
      </w:r>
    </w:p>
    <w:p w14:paraId="602D20B2" w14:textId="6DD93E97" w:rsidR="00542258" w:rsidRDefault="00542258" w:rsidP="00542258">
      <w:pPr>
        <w:pStyle w:val="BUListofAbbreviations"/>
      </w:pPr>
      <w:r>
        <w:t>BSA</w:t>
      </w:r>
      <w:r w:rsidR="004C665B">
        <w:tab/>
      </w:r>
      <w:r>
        <w:t>bovine serum albumin</w:t>
      </w:r>
    </w:p>
    <w:p w14:paraId="3E4C2FA5" w14:textId="77777777" w:rsidR="00542258" w:rsidRDefault="00542258" w:rsidP="00542258">
      <w:pPr>
        <w:pStyle w:val="BUListofAbbreviations"/>
      </w:pPr>
      <w:r>
        <w:t>C/EBP</w:t>
      </w:r>
      <w:r>
        <w:tab/>
        <w:t>CCAAT-enhancer-binding protein</w:t>
      </w:r>
    </w:p>
    <w:p w14:paraId="666FFCDB" w14:textId="77777777" w:rsidR="00542258" w:rsidRDefault="00542258" w:rsidP="00542258">
      <w:pPr>
        <w:pStyle w:val="BUListofAbbreviations"/>
      </w:pPr>
      <w:r>
        <w:t>Comb</w:t>
      </w:r>
      <w:r>
        <w:tab/>
        <w:t>combination of Dexa and Testo</w:t>
      </w:r>
    </w:p>
    <w:p w14:paraId="15742DB1" w14:textId="77777777" w:rsidR="00542258" w:rsidRDefault="00542258" w:rsidP="00542258">
      <w:pPr>
        <w:pStyle w:val="BUListofAbbreviations"/>
      </w:pPr>
      <w:r>
        <w:t>COPD</w:t>
      </w:r>
      <w:r>
        <w:tab/>
        <w:t>chronic obstructive pulmonary disease</w:t>
      </w:r>
    </w:p>
    <w:p w14:paraId="28342BAA" w14:textId="77777777" w:rsidR="00542258" w:rsidRDefault="00542258" w:rsidP="00542258">
      <w:pPr>
        <w:pStyle w:val="BUListofAbbreviations"/>
      </w:pPr>
      <w:r>
        <w:t>CS</w:t>
      </w:r>
      <w:r>
        <w:tab/>
        <w:t>Cushing’s syndrome</w:t>
      </w:r>
    </w:p>
    <w:p w14:paraId="75B4F2D6" w14:textId="77777777" w:rsidR="00542258" w:rsidRDefault="00542258" w:rsidP="00542258">
      <w:pPr>
        <w:pStyle w:val="BUListofAbbreviations"/>
      </w:pPr>
      <w:r>
        <w:lastRenderedPageBreak/>
        <w:t>CSA</w:t>
      </w:r>
      <w:r>
        <w:tab/>
        <w:t>cross-sectional area</w:t>
      </w:r>
    </w:p>
    <w:p w14:paraId="62AB6BAC" w14:textId="77777777" w:rsidR="00542258" w:rsidRDefault="00542258" w:rsidP="00542258">
      <w:pPr>
        <w:pStyle w:val="BUListofAbbreviations"/>
      </w:pPr>
      <w:r>
        <w:t>CT</w:t>
      </w:r>
      <w:r>
        <w:tab/>
        <w:t>computed tomography</w:t>
      </w:r>
    </w:p>
    <w:p w14:paraId="4AA66344" w14:textId="77777777" w:rsidR="00542258" w:rsidRDefault="00542258" w:rsidP="00542258">
      <w:pPr>
        <w:pStyle w:val="BUListofAbbreviations"/>
      </w:pPr>
      <w:r>
        <w:t>Ct</w:t>
      </w:r>
      <w:r>
        <w:tab/>
        <w:t>cycle threshold</w:t>
      </w:r>
    </w:p>
    <w:p w14:paraId="25D87125" w14:textId="77777777" w:rsidR="00542258" w:rsidRDefault="00542258" w:rsidP="00542258">
      <w:pPr>
        <w:pStyle w:val="BUListofAbbreviations"/>
      </w:pPr>
      <w:r>
        <w:t>D</w:t>
      </w:r>
      <w:r>
        <w:tab/>
        <w:t>dexamethasone-only group</w:t>
      </w:r>
    </w:p>
    <w:p w14:paraId="48F0BD7D" w14:textId="77777777" w:rsidR="00542258" w:rsidRPr="00542258" w:rsidRDefault="00542258" w:rsidP="00542258">
      <w:pPr>
        <w:pStyle w:val="BUListofAbbreviations"/>
        <w:rPr>
          <w:lang w:val="it-IT"/>
        </w:rPr>
      </w:pPr>
      <w:r w:rsidRPr="00542258">
        <w:rPr>
          <w:lang w:val="it-IT"/>
        </w:rPr>
        <w:t>Dexa</w:t>
      </w:r>
      <w:r w:rsidRPr="00542258">
        <w:rPr>
          <w:lang w:val="it-IT"/>
        </w:rPr>
        <w:tab/>
        <w:t>dexamethasone</w:t>
      </w:r>
    </w:p>
    <w:p w14:paraId="21E2C2CB" w14:textId="77777777" w:rsidR="004C665B" w:rsidRDefault="004C665B" w:rsidP="00542258">
      <w:pPr>
        <w:pStyle w:val="BUListofAbbreviations"/>
        <w:rPr>
          <w:lang w:val="it-IT"/>
        </w:rPr>
      </w:pPr>
      <w:r>
        <w:rPr>
          <w:lang w:val="it-IT"/>
        </w:rPr>
        <w:t>DHEA</w:t>
      </w:r>
      <w:r>
        <w:rPr>
          <w:lang w:val="it-IT"/>
        </w:rPr>
        <w:tab/>
        <w:t>dehydroepiandrosterone</w:t>
      </w:r>
    </w:p>
    <w:p w14:paraId="5162AF9D" w14:textId="77777777" w:rsidR="004C665B" w:rsidRDefault="00542258" w:rsidP="00542258">
      <w:pPr>
        <w:pStyle w:val="BUListofAbbreviations"/>
        <w:rPr>
          <w:lang w:val="it-IT"/>
        </w:rPr>
      </w:pPr>
      <w:r w:rsidRPr="00542258">
        <w:rPr>
          <w:lang w:val="it-IT"/>
        </w:rPr>
        <w:t>DHEAS</w:t>
      </w:r>
      <w:r w:rsidR="004C665B">
        <w:rPr>
          <w:lang w:val="it-IT"/>
        </w:rPr>
        <w:tab/>
        <w:t>dehydroepiandrosterone sulfate</w:t>
      </w:r>
    </w:p>
    <w:p w14:paraId="022087E1" w14:textId="51F7FCDD" w:rsidR="00542258" w:rsidRPr="00542258" w:rsidRDefault="00542258" w:rsidP="00542258">
      <w:pPr>
        <w:pStyle w:val="BUListofAbbreviations"/>
        <w:rPr>
          <w:lang w:val="it-IT"/>
        </w:rPr>
      </w:pPr>
      <w:r w:rsidRPr="00542258">
        <w:rPr>
          <w:lang w:val="it-IT"/>
        </w:rPr>
        <w:t>DHT</w:t>
      </w:r>
      <w:r w:rsidRPr="00542258">
        <w:rPr>
          <w:lang w:val="it-IT"/>
        </w:rPr>
        <w:tab/>
        <w:t>dihydrotestosterone</w:t>
      </w:r>
    </w:p>
    <w:p w14:paraId="35097C95" w14:textId="77777777" w:rsidR="00542258" w:rsidRPr="00E111EF" w:rsidRDefault="00542258" w:rsidP="00542258">
      <w:pPr>
        <w:pStyle w:val="BUListofAbbreviations"/>
        <w:rPr>
          <w:lang w:val="it-IT"/>
        </w:rPr>
      </w:pPr>
      <w:r w:rsidRPr="00E111EF">
        <w:rPr>
          <w:lang w:val="it-IT"/>
        </w:rPr>
        <w:t>DMEM</w:t>
      </w:r>
      <w:r w:rsidRPr="00E111EF">
        <w:rPr>
          <w:lang w:val="it-IT"/>
        </w:rPr>
        <w:tab/>
        <w:t>Dulbecco’s Modified Eagle Medium</w:t>
      </w:r>
    </w:p>
    <w:p w14:paraId="62D59C34" w14:textId="77777777" w:rsidR="00542258" w:rsidRPr="00E111EF" w:rsidRDefault="00542258" w:rsidP="00542258">
      <w:pPr>
        <w:pStyle w:val="BUListofAbbreviations"/>
        <w:rPr>
          <w:lang w:val="it-IT"/>
        </w:rPr>
      </w:pPr>
      <w:r w:rsidRPr="00E111EF">
        <w:rPr>
          <w:lang w:val="it-IT"/>
        </w:rPr>
        <w:t>DMSO</w:t>
      </w:r>
      <w:r w:rsidRPr="00E111EF">
        <w:rPr>
          <w:lang w:val="it-IT"/>
        </w:rPr>
        <w:tab/>
        <w:t>dimethyl sulfoxide</w:t>
      </w:r>
    </w:p>
    <w:p w14:paraId="04AF562E" w14:textId="77777777" w:rsidR="00E111EF" w:rsidRDefault="00542258" w:rsidP="00E111EF">
      <w:pPr>
        <w:pStyle w:val="BUListofAbbreviations"/>
      </w:pPr>
      <w:r>
        <w:t>DT</w:t>
      </w:r>
      <w:r>
        <w:tab/>
        <w:t>dexamet</w:t>
      </w:r>
      <w:r w:rsidR="004C665B">
        <w:t>hasone and testosterone group</w:t>
      </w:r>
    </w:p>
    <w:p w14:paraId="6D3253FE" w14:textId="24F8F4F4" w:rsidR="00E111EF" w:rsidRPr="00E111EF" w:rsidRDefault="00E111EF" w:rsidP="00E111EF">
      <w:pPr>
        <w:pStyle w:val="BUListofAbbreviations"/>
      </w:pPr>
      <w:r w:rsidRPr="00E111EF">
        <w:t>DTT</w:t>
      </w:r>
      <w:r w:rsidRPr="00E111EF">
        <w:tab/>
        <w:t>dithiothreitol</w:t>
      </w:r>
    </w:p>
    <w:p w14:paraId="55712B71" w14:textId="5D68E85D" w:rsidR="004C665B" w:rsidRDefault="00542258" w:rsidP="00542258">
      <w:pPr>
        <w:pStyle w:val="BUListofAbbreviations"/>
      </w:pPr>
      <w:r>
        <w:t>EC50</w:t>
      </w:r>
      <w:r w:rsidR="004C665B">
        <w:tab/>
      </w:r>
      <w:r>
        <w:t>half max</w:t>
      </w:r>
      <w:r w:rsidR="004C665B">
        <w:t>imal effective concentration</w:t>
      </w:r>
    </w:p>
    <w:p w14:paraId="38A10438" w14:textId="5510629C" w:rsidR="00542258" w:rsidRDefault="00542258" w:rsidP="00542258">
      <w:pPr>
        <w:pStyle w:val="BUListofAbbreviations"/>
      </w:pPr>
      <w:r>
        <w:t>EDTA</w:t>
      </w:r>
      <w:r w:rsidR="004C665B">
        <w:tab/>
      </w:r>
      <w:r>
        <w:t>ethylenediaminetetraacetate</w:t>
      </w:r>
    </w:p>
    <w:p w14:paraId="4DF2988C" w14:textId="77777777" w:rsidR="004C665B" w:rsidRDefault="00542258" w:rsidP="00542258">
      <w:pPr>
        <w:pStyle w:val="BUListofAbbreviations"/>
      </w:pPr>
      <w:r>
        <w:t>eIF2</w:t>
      </w:r>
      <w:r w:rsidR="004C665B">
        <w:tab/>
        <w:t>eukaryotic initiation factor 2</w:t>
      </w:r>
    </w:p>
    <w:p w14:paraId="53F4C3DF" w14:textId="77777777" w:rsidR="004C665B" w:rsidRDefault="00542258" w:rsidP="00542258">
      <w:pPr>
        <w:pStyle w:val="BUListofAbbreviations"/>
      </w:pPr>
      <w:r>
        <w:t>eIF2B</w:t>
      </w:r>
      <w:r>
        <w:tab/>
        <w:t>eukaryotic initiation factor 2B</w:t>
      </w:r>
    </w:p>
    <w:p w14:paraId="142BB1E3" w14:textId="700B3673" w:rsidR="00542258" w:rsidRDefault="00542258" w:rsidP="00542258">
      <w:pPr>
        <w:pStyle w:val="BUListofAbbreviations"/>
      </w:pPr>
      <w:r>
        <w:t>eIF3-f</w:t>
      </w:r>
      <w:r>
        <w:tab/>
        <w:t>eukaryotic initiation factor 3f</w:t>
      </w:r>
    </w:p>
    <w:p w14:paraId="6B540743" w14:textId="77777777" w:rsidR="00542258" w:rsidRDefault="00542258" w:rsidP="00542258">
      <w:pPr>
        <w:pStyle w:val="BUListofAbbreviations"/>
      </w:pPr>
      <w:r>
        <w:t>eIF4E</w:t>
      </w:r>
      <w:r>
        <w:tab/>
        <w:t>eukaryotic translation initiation factor 4E</w:t>
      </w:r>
    </w:p>
    <w:p w14:paraId="57913276" w14:textId="77777777" w:rsidR="00542258" w:rsidRDefault="00542258" w:rsidP="00542258">
      <w:pPr>
        <w:pStyle w:val="BUListofAbbreviations"/>
      </w:pPr>
      <w:r>
        <w:t>eNOS</w:t>
      </w:r>
      <w:r>
        <w:tab/>
        <w:t>endothelial nitric oxide synthase</w:t>
      </w:r>
    </w:p>
    <w:p w14:paraId="76647016" w14:textId="77777777" w:rsidR="00542258" w:rsidRDefault="00542258" w:rsidP="00542258">
      <w:pPr>
        <w:pStyle w:val="BUListofAbbreviations"/>
      </w:pPr>
      <w:r>
        <w:t>FBS</w:t>
      </w:r>
      <w:r>
        <w:tab/>
        <w:t>fetal bovine serum</w:t>
      </w:r>
    </w:p>
    <w:p w14:paraId="57FCD8AF" w14:textId="77777777" w:rsidR="004C665B" w:rsidRDefault="00542258" w:rsidP="00542258">
      <w:pPr>
        <w:pStyle w:val="BUListofAbbreviations"/>
      </w:pPr>
      <w:r>
        <w:t>F</w:t>
      </w:r>
      <w:r w:rsidR="004C665B">
        <w:t>DA</w:t>
      </w:r>
      <w:r w:rsidR="004C665B">
        <w:tab/>
        <w:t>Food and Drug Administration</w:t>
      </w:r>
    </w:p>
    <w:p w14:paraId="3FD2AB7B" w14:textId="77777777" w:rsidR="004C665B" w:rsidRDefault="00542258" w:rsidP="00542258">
      <w:pPr>
        <w:pStyle w:val="BUListofAbbreviations"/>
      </w:pPr>
      <w:r>
        <w:t>F</w:t>
      </w:r>
      <w:r w:rsidR="004C665B">
        <w:t>SH</w:t>
      </w:r>
      <w:r w:rsidR="004C665B">
        <w:tab/>
        <w:t>follicle stimulating hormone</w:t>
      </w:r>
    </w:p>
    <w:p w14:paraId="367AA629" w14:textId="10095684" w:rsidR="00542258" w:rsidRDefault="00542258" w:rsidP="00542258">
      <w:pPr>
        <w:pStyle w:val="BUListofAbbreviations"/>
      </w:pPr>
      <w:r>
        <w:lastRenderedPageBreak/>
        <w:t>FSR</w:t>
      </w:r>
      <w:r>
        <w:tab/>
        <w:t>fractional synthesis rate</w:t>
      </w:r>
    </w:p>
    <w:p w14:paraId="1A454432" w14:textId="77777777" w:rsidR="00542258" w:rsidRDefault="00542258" w:rsidP="00542258">
      <w:pPr>
        <w:pStyle w:val="BUListofAbbreviations"/>
      </w:pPr>
      <w:r>
        <w:t>Gadd45</w:t>
      </w:r>
      <w:r>
        <w:tab/>
        <w:t>Growth Arrest and DNA Damage 45</w:t>
      </w:r>
    </w:p>
    <w:p w14:paraId="1472E43C" w14:textId="77777777" w:rsidR="00542258" w:rsidRDefault="00542258" w:rsidP="00542258">
      <w:pPr>
        <w:pStyle w:val="BUListofAbbreviations"/>
      </w:pPr>
      <w:r>
        <w:t>GAML</w:t>
      </w:r>
      <w:r>
        <w:tab/>
        <w:t>GC-associated muscle loss</w:t>
      </w:r>
    </w:p>
    <w:p w14:paraId="5AF16F17" w14:textId="77777777" w:rsidR="00542258" w:rsidRDefault="00542258" w:rsidP="00542258">
      <w:pPr>
        <w:pStyle w:val="BUListofAbbreviations"/>
      </w:pPr>
      <w:r>
        <w:t>GC</w:t>
      </w:r>
      <w:r>
        <w:tab/>
        <w:t>glucocorticoid</w:t>
      </w:r>
    </w:p>
    <w:p w14:paraId="2832616A" w14:textId="77777777" w:rsidR="00542258" w:rsidRDefault="00542258" w:rsidP="00542258">
      <w:pPr>
        <w:pStyle w:val="BUListofAbbreviations"/>
      </w:pPr>
      <w:r>
        <w:t>GCN2</w:t>
      </w:r>
      <w:r>
        <w:tab/>
        <w:t>General Control Nonderepressible 2</w:t>
      </w:r>
    </w:p>
    <w:p w14:paraId="169F388A" w14:textId="77777777" w:rsidR="00542258" w:rsidRDefault="00542258" w:rsidP="00542258">
      <w:pPr>
        <w:pStyle w:val="BUListofAbbreviations"/>
      </w:pPr>
      <w:r>
        <w:t>GFP</w:t>
      </w:r>
      <w:r>
        <w:tab/>
        <w:t>green fluorescent protein</w:t>
      </w:r>
    </w:p>
    <w:p w14:paraId="0C126676" w14:textId="63C9C468" w:rsidR="00542258" w:rsidRDefault="00542258" w:rsidP="00542258">
      <w:pPr>
        <w:pStyle w:val="BUListofAbbreviations"/>
      </w:pPr>
      <w:r>
        <w:t>GH</w:t>
      </w:r>
      <w:r>
        <w:tab/>
        <w:t>growth hormone</w:t>
      </w:r>
    </w:p>
    <w:p w14:paraId="4646B803" w14:textId="6E126386" w:rsidR="00E111EF" w:rsidRPr="00E111EF" w:rsidRDefault="00E111EF" w:rsidP="00E111EF">
      <w:pPr>
        <w:pStyle w:val="BUListofAbbreviations"/>
      </w:pPr>
      <w:r w:rsidRPr="00E111EF">
        <w:t>GLUT</w:t>
      </w:r>
      <w:r>
        <w:tab/>
      </w:r>
      <w:r w:rsidRPr="00E111EF">
        <w:t>glucose transporter</w:t>
      </w:r>
    </w:p>
    <w:p w14:paraId="4E4A2241" w14:textId="3F0E000F" w:rsidR="00542258" w:rsidRDefault="00542258" w:rsidP="00542258">
      <w:pPr>
        <w:pStyle w:val="BUListofAbbreviations"/>
      </w:pPr>
      <w:r>
        <w:t>GnRH</w:t>
      </w:r>
      <w:r w:rsidR="004C665B">
        <w:tab/>
      </w:r>
      <w:r>
        <w:t>gonadotropin-releasing hormone</w:t>
      </w:r>
    </w:p>
    <w:p w14:paraId="32CD498E" w14:textId="01EF6419" w:rsidR="00542258" w:rsidRDefault="00542258" w:rsidP="00542258">
      <w:pPr>
        <w:pStyle w:val="BUListofAbbreviations"/>
      </w:pPr>
      <w:r>
        <w:t>GR</w:t>
      </w:r>
      <w:r w:rsidR="004C665B">
        <w:tab/>
      </w:r>
      <w:r>
        <w:t>glucocorticoid receptor</w:t>
      </w:r>
    </w:p>
    <w:p w14:paraId="7DB09B5F" w14:textId="3ED12DA0" w:rsidR="00542258" w:rsidRDefault="00542258" w:rsidP="00542258">
      <w:pPr>
        <w:pStyle w:val="BUListofAbbreviations"/>
      </w:pPr>
      <w:r>
        <w:t>Grb2</w:t>
      </w:r>
      <w:r w:rsidR="004C665B">
        <w:tab/>
      </w:r>
      <w:r>
        <w:t>Growth factor receptor-bound protein 2</w:t>
      </w:r>
    </w:p>
    <w:p w14:paraId="4C6B770F" w14:textId="3FFB4CB1" w:rsidR="00542258" w:rsidRDefault="00542258" w:rsidP="00542258">
      <w:pPr>
        <w:pStyle w:val="BUListofAbbreviations"/>
      </w:pPr>
      <w:r>
        <w:t>GRE</w:t>
      </w:r>
      <w:r w:rsidR="004C665B">
        <w:tab/>
      </w:r>
      <w:r>
        <w:t>glucocorticoid responsive-elements</w:t>
      </w:r>
    </w:p>
    <w:p w14:paraId="5B8EB695" w14:textId="4610D983" w:rsidR="00542258" w:rsidRDefault="00542258" w:rsidP="00542258">
      <w:pPr>
        <w:pStyle w:val="BUListofAbbreviations"/>
      </w:pPr>
      <w:r>
        <w:t>GSK3</w:t>
      </w:r>
      <w:r w:rsidR="004C665B">
        <w:tab/>
      </w:r>
      <w:r>
        <w:t>glycogen synthase kinase 3</w:t>
      </w:r>
    </w:p>
    <w:p w14:paraId="4034B59A" w14:textId="2200249E" w:rsidR="00542258" w:rsidRDefault="00542258" w:rsidP="00542258">
      <w:pPr>
        <w:pStyle w:val="BUListofAbbreviations"/>
      </w:pPr>
      <w:r>
        <w:t>HAT</w:t>
      </w:r>
      <w:r w:rsidR="004C665B">
        <w:tab/>
      </w:r>
      <w:r>
        <w:t>histone acetyltransferase</w:t>
      </w:r>
    </w:p>
    <w:p w14:paraId="48C197A3" w14:textId="0ADED2CE" w:rsidR="00542258" w:rsidRDefault="00542258" w:rsidP="00542258">
      <w:pPr>
        <w:pStyle w:val="BUListofAbbreviations"/>
      </w:pPr>
      <w:r>
        <w:t>HDAC</w:t>
      </w:r>
      <w:r w:rsidR="004C665B">
        <w:tab/>
      </w:r>
      <w:r>
        <w:t>histone deacetylase</w:t>
      </w:r>
    </w:p>
    <w:p w14:paraId="39972494" w14:textId="273FD5A3" w:rsidR="00542258" w:rsidRDefault="00542258" w:rsidP="00542258">
      <w:pPr>
        <w:pStyle w:val="BUListofAbbreviations"/>
      </w:pPr>
      <w:r>
        <w:t>HEPES</w:t>
      </w:r>
      <w:r w:rsidR="004C665B">
        <w:tab/>
      </w:r>
      <w:r>
        <w:t>4-(2-hydroxyethyl)-1-piperazineethanesulfonate</w:t>
      </w:r>
    </w:p>
    <w:p w14:paraId="26E1B330" w14:textId="58ABDEFC" w:rsidR="00542258" w:rsidRDefault="00542258" w:rsidP="00542258">
      <w:pPr>
        <w:pStyle w:val="BUListofAbbreviations"/>
      </w:pPr>
      <w:r>
        <w:t>HIF 1a</w:t>
      </w:r>
      <w:r w:rsidR="004C665B">
        <w:tab/>
      </w:r>
      <w:r>
        <w:t>hypoxia-induced factor 1a</w:t>
      </w:r>
    </w:p>
    <w:p w14:paraId="10C67120" w14:textId="27D14E87" w:rsidR="00542258" w:rsidRDefault="00542258" w:rsidP="00542258">
      <w:pPr>
        <w:pStyle w:val="BUListofAbbreviations"/>
      </w:pPr>
      <w:r>
        <w:t>HOMA-IR</w:t>
      </w:r>
      <w:r w:rsidR="004C665B">
        <w:tab/>
      </w:r>
      <w:r>
        <w:t>homeostatic model assessment - insulin resistance</w:t>
      </w:r>
    </w:p>
    <w:p w14:paraId="03EB5FD4" w14:textId="5B3F6FF6" w:rsidR="00542258" w:rsidRDefault="00542258" w:rsidP="00542258">
      <w:pPr>
        <w:pStyle w:val="BUListofAbbreviations"/>
      </w:pPr>
      <w:r>
        <w:t>HPA</w:t>
      </w:r>
      <w:r w:rsidR="004C665B">
        <w:tab/>
      </w:r>
      <w:r>
        <w:t>hypothalamic - pituitary - adrenal</w:t>
      </w:r>
    </w:p>
    <w:p w14:paraId="2EDD467F" w14:textId="2AD844DB" w:rsidR="00542258" w:rsidRDefault="00542258" w:rsidP="00542258">
      <w:pPr>
        <w:pStyle w:val="BUListofAbbreviations"/>
      </w:pPr>
      <w:r>
        <w:t>HS</w:t>
      </w:r>
      <w:r w:rsidR="004C665B">
        <w:tab/>
      </w:r>
      <w:r>
        <w:t>horse serum</w:t>
      </w:r>
    </w:p>
    <w:p w14:paraId="23927270" w14:textId="77777777" w:rsidR="004C665B" w:rsidRDefault="00542258" w:rsidP="00542258">
      <w:pPr>
        <w:pStyle w:val="BUListofAbbreviations"/>
      </w:pPr>
      <w:r>
        <w:t>HSD</w:t>
      </w:r>
      <w:r w:rsidR="004C665B">
        <w:tab/>
      </w:r>
      <w:r>
        <w:t>h</w:t>
      </w:r>
      <w:r w:rsidR="004C665B">
        <w:t>onest significant difference</w:t>
      </w:r>
    </w:p>
    <w:p w14:paraId="1069DCF3" w14:textId="77777777" w:rsidR="004C665B" w:rsidRDefault="00542258" w:rsidP="00542258">
      <w:pPr>
        <w:pStyle w:val="BUListofAbbreviations"/>
      </w:pPr>
      <w:r>
        <w:t>IBMX</w:t>
      </w:r>
      <w:r w:rsidR="004C665B">
        <w:tab/>
        <w:t>3-isobutyl-1-methylxanthine</w:t>
      </w:r>
    </w:p>
    <w:p w14:paraId="2034E912" w14:textId="24E58889" w:rsidR="00542258" w:rsidRDefault="00542258" w:rsidP="00542258">
      <w:pPr>
        <w:pStyle w:val="BUListofAbbreviations"/>
      </w:pPr>
      <w:r>
        <w:t>IGF-1R</w:t>
      </w:r>
      <w:r w:rsidR="004C665B">
        <w:tab/>
      </w:r>
      <w:r>
        <w:t>IGF-I receptor</w:t>
      </w:r>
    </w:p>
    <w:p w14:paraId="4B6AAF79" w14:textId="77777777" w:rsidR="004C665B" w:rsidRDefault="00542258" w:rsidP="00542258">
      <w:pPr>
        <w:pStyle w:val="BUListofAbbreviations"/>
      </w:pPr>
      <w:r>
        <w:lastRenderedPageBreak/>
        <w:t>IGF</w:t>
      </w:r>
      <w:r w:rsidR="004C665B">
        <w:t>-I</w:t>
      </w:r>
      <w:r w:rsidR="004C665B">
        <w:tab/>
        <w:t>insulin-like growth factor I</w:t>
      </w:r>
    </w:p>
    <w:p w14:paraId="28DE113C" w14:textId="56DA7FCF" w:rsidR="00542258" w:rsidRDefault="00542258" w:rsidP="00542258">
      <w:pPr>
        <w:pStyle w:val="BUListofAbbreviations"/>
      </w:pPr>
      <w:r>
        <w:t>IGF2</w:t>
      </w:r>
      <w:r>
        <w:tab/>
        <w:t>insulin-like growth factor 2</w:t>
      </w:r>
    </w:p>
    <w:p w14:paraId="6A47FF63" w14:textId="47F62969" w:rsidR="00542258" w:rsidRDefault="00542258" w:rsidP="00542258">
      <w:pPr>
        <w:pStyle w:val="BUListofAbbreviations"/>
      </w:pPr>
      <w:r>
        <w:t>IGFBP</w:t>
      </w:r>
      <w:r>
        <w:tab/>
        <w:t>IGF-I binding protein</w:t>
      </w:r>
    </w:p>
    <w:p w14:paraId="393962A4" w14:textId="0BA89397" w:rsidR="00E111EF" w:rsidRDefault="00E111EF" w:rsidP="00E111EF">
      <w:pPr>
        <w:pStyle w:val="BUListofAbbreviations"/>
      </w:pPr>
      <w:r>
        <w:t>IL-1</w:t>
      </w:r>
      <w:r>
        <w:tab/>
        <w:t>interleukin 1</w:t>
      </w:r>
    </w:p>
    <w:p w14:paraId="064C4693" w14:textId="77777777" w:rsidR="004C665B" w:rsidRDefault="00542258" w:rsidP="00542258">
      <w:pPr>
        <w:pStyle w:val="BUListofAbbreviations"/>
      </w:pPr>
      <w:r>
        <w:t>IL-1RII</w:t>
      </w:r>
      <w:r>
        <w:tab/>
        <w:t>interleukin 1 receptor type II</w:t>
      </w:r>
    </w:p>
    <w:p w14:paraId="63496832" w14:textId="373C3A30" w:rsidR="00542258" w:rsidRDefault="00542258" w:rsidP="00542258">
      <w:pPr>
        <w:pStyle w:val="BUListofAbbreviations"/>
      </w:pPr>
      <w:r>
        <w:t>IL-2</w:t>
      </w:r>
      <w:r>
        <w:tab/>
        <w:t>interleukin 2</w:t>
      </w:r>
    </w:p>
    <w:p w14:paraId="122F3523" w14:textId="77777777" w:rsidR="00542258" w:rsidRDefault="00542258" w:rsidP="00542258">
      <w:pPr>
        <w:pStyle w:val="BUListofAbbreviations"/>
      </w:pPr>
      <w:r>
        <w:t>IRS</w:t>
      </w:r>
      <w:r>
        <w:tab/>
        <w:t>insulin receptor substrate</w:t>
      </w:r>
    </w:p>
    <w:p w14:paraId="10FCFCCE" w14:textId="77777777" w:rsidR="00542258" w:rsidRDefault="00542258" w:rsidP="00542258">
      <w:pPr>
        <w:pStyle w:val="BUListofAbbreviations"/>
      </w:pPr>
      <w:r>
        <w:t>IκBα</w:t>
      </w:r>
      <w:r>
        <w:tab/>
        <w:t>inhibitory κBα</w:t>
      </w:r>
    </w:p>
    <w:p w14:paraId="04A74F48" w14:textId="77777777" w:rsidR="004C665B" w:rsidRDefault="004C665B" w:rsidP="00542258">
      <w:pPr>
        <w:pStyle w:val="BUListofAbbreviations"/>
      </w:pPr>
      <w:r>
        <w:t>Kd</w:t>
      </w:r>
      <w:r>
        <w:tab/>
        <w:t>dissociation constant</w:t>
      </w:r>
    </w:p>
    <w:p w14:paraId="6C4768B1" w14:textId="77777777" w:rsidR="004C665B" w:rsidRDefault="004C665B" w:rsidP="00542258">
      <w:pPr>
        <w:pStyle w:val="BUListofAbbreviations"/>
      </w:pPr>
      <w:r>
        <w:t>Ki</w:t>
      </w:r>
      <w:r>
        <w:tab/>
        <w:t>inhibitory constant</w:t>
      </w:r>
    </w:p>
    <w:p w14:paraId="3DCEA3E7" w14:textId="0A8839E7" w:rsidR="00542258" w:rsidRDefault="00542258" w:rsidP="00542258">
      <w:pPr>
        <w:pStyle w:val="BUListofAbbreviations"/>
      </w:pPr>
      <w:r>
        <w:t>Klf15</w:t>
      </w:r>
      <w:r>
        <w:tab/>
        <w:t>Krüppel-like factor-15</w:t>
      </w:r>
    </w:p>
    <w:p w14:paraId="3B7298CE" w14:textId="77777777" w:rsidR="00542258" w:rsidRDefault="00542258" w:rsidP="00542258">
      <w:pPr>
        <w:pStyle w:val="BUListofAbbreviations"/>
      </w:pPr>
      <w:r>
        <w:t>LC3</w:t>
      </w:r>
      <w:r>
        <w:tab/>
        <w:t>microtubule-associated protein 1 light chain 3</w:t>
      </w:r>
    </w:p>
    <w:p w14:paraId="738069FA" w14:textId="77777777" w:rsidR="00542258" w:rsidRDefault="00542258" w:rsidP="00542258">
      <w:pPr>
        <w:pStyle w:val="BUListofAbbreviations"/>
      </w:pPr>
      <w:r>
        <w:t>LH</w:t>
      </w:r>
      <w:r>
        <w:tab/>
        <w:t>luteinizing hormone</w:t>
      </w:r>
    </w:p>
    <w:p w14:paraId="2C138BAE" w14:textId="77777777" w:rsidR="00542258" w:rsidRDefault="00542258" w:rsidP="00542258">
      <w:pPr>
        <w:pStyle w:val="BUListofAbbreviations"/>
      </w:pPr>
      <w:r>
        <w:t>LKB1</w:t>
      </w:r>
      <w:r>
        <w:tab/>
        <w:t>Liver Kinase B1</w:t>
      </w:r>
    </w:p>
    <w:p w14:paraId="156780D9" w14:textId="77777777" w:rsidR="00542258" w:rsidRDefault="00542258" w:rsidP="00542258">
      <w:pPr>
        <w:pStyle w:val="BUListofAbbreviations"/>
      </w:pPr>
      <w:r>
        <w:t>MAFbx</w:t>
      </w:r>
      <w:r>
        <w:tab/>
        <w:t>muscle atrophy F-box</w:t>
      </w:r>
    </w:p>
    <w:p w14:paraId="344762A9" w14:textId="77777777" w:rsidR="00542258" w:rsidRDefault="00542258" w:rsidP="00542258">
      <w:pPr>
        <w:pStyle w:val="BUListofAbbreviations"/>
      </w:pPr>
      <w:r>
        <w:t>MAPK</w:t>
      </w:r>
      <w:r>
        <w:tab/>
        <w:t>mitogen-activated protein kinases</w:t>
      </w:r>
    </w:p>
    <w:p w14:paraId="05AE99AE" w14:textId="77777777" w:rsidR="00542258" w:rsidRDefault="00542258" w:rsidP="00542258">
      <w:pPr>
        <w:pStyle w:val="BUListofAbbreviations"/>
      </w:pPr>
      <w:r>
        <w:t>MEF2A</w:t>
      </w:r>
      <w:r>
        <w:tab/>
        <w:t>myocyte enhancer factor 2A</w:t>
      </w:r>
    </w:p>
    <w:p w14:paraId="5569264E" w14:textId="77777777" w:rsidR="00542258" w:rsidRDefault="00542258" w:rsidP="00542258">
      <w:pPr>
        <w:pStyle w:val="BUListofAbbreviations"/>
      </w:pPr>
      <w:r>
        <w:t>MNK2</w:t>
      </w:r>
      <w:r>
        <w:tab/>
        <w:t>mitogen-activated protein kinase–interacting kinase</w:t>
      </w:r>
    </w:p>
    <w:p w14:paraId="3D84645C" w14:textId="77777777" w:rsidR="004C665B" w:rsidRDefault="00542258" w:rsidP="00542258">
      <w:pPr>
        <w:pStyle w:val="BUListofAbbreviations"/>
      </w:pPr>
      <w:r>
        <w:t>MR</w:t>
      </w:r>
      <w:r>
        <w:tab/>
        <w:t>mineralocorticoid receptor</w:t>
      </w:r>
    </w:p>
    <w:p w14:paraId="50A6185E" w14:textId="77777777" w:rsidR="004C665B" w:rsidRDefault="004C665B" w:rsidP="00542258">
      <w:pPr>
        <w:pStyle w:val="BUListofAbbreviations"/>
      </w:pPr>
      <w:r>
        <w:t>MRF</w:t>
      </w:r>
      <w:r>
        <w:tab/>
        <w:t>muscle regulatory factor</w:t>
      </w:r>
    </w:p>
    <w:p w14:paraId="58D07EAB" w14:textId="5C7268A7" w:rsidR="00E111EF" w:rsidRDefault="00542258" w:rsidP="00E111EF">
      <w:pPr>
        <w:pStyle w:val="BUListofAbbreviations"/>
      </w:pPr>
      <w:r>
        <w:t>Mrf4</w:t>
      </w:r>
      <w:r>
        <w:tab/>
        <w:t>myogenic regulatory factor 4</w:t>
      </w:r>
      <w:r w:rsidR="00E111EF" w:rsidRPr="00E111EF">
        <w:t xml:space="preserve"> </w:t>
      </w:r>
    </w:p>
    <w:p w14:paraId="519857F0" w14:textId="2200A287" w:rsidR="00E111EF" w:rsidRDefault="00E111EF" w:rsidP="00E111EF">
      <w:pPr>
        <w:pStyle w:val="BUListofAbbreviations"/>
      </w:pPr>
      <w:r>
        <w:t>mTOR</w:t>
      </w:r>
      <w:r>
        <w:tab/>
      </w:r>
      <w:r w:rsidRPr="00E111EF">
        <w:t xml:space="preserve">Mechanistic Target of Rapamycin </w:t>
      </w:r>
    </w:p>
    <w:p w14:paraId="52F50C57" w14:textId="77777777" w:rsidR="00542258" w:rsidRDefault="00542258" w:rsidP="00542258">
      <w:pPr>
        <w:pStyle w:val="BUListofAbbreviations"/>
      </w:pPr>
      <w:r>
        <w:t>mTORC1</w:t>
      </w:r>
      <w:r>
        <w:tab/>
        <w:t>mTOR complex 1</w:t>
      </w:r>
    </w:p>
    <w:p w14:paraId="3B797837" w14:textId="77777777" w:rsidR="00542258" w:rsidRDefault="00542258" w:rsidP="00542258">
      <w:pPr>
        <w:pStyle w:val="BUListofAbbreviations"/>
      </w:pPr>
      <w:r>
        <w:t>MuRF1</w:t>
      </w:r>
      <w:r>
        <w:tab/>
        <w:t>muscle RING finger 1</w:t>
      </w:r>
    </w:p>
    <w:p w14:paraId="0F528671" w14:textId="77777777" w:rsidR="004C665B" w:rsidRDefault="004C665B" w:rsidP="00542258">
      <w:pPr>
        <w:pStyle w:val="BUListofAbbreviations"/>
      </w:pPr>
      <w:r>
        <w:lastRenderedPageBreak/>
        <w:t>Myf</w:t>
      </w:r>
      <w:r>
        <w:tab/>
        <w:t>myogenic factor</w:t>
      </w:r>
    </w:p>
    <w:p w14:paraId="6A5A1F40" w14:textId="77777777" w:rsidR="004C665B" w:rsidRDefault="004C665B" w:rsidP="00542258">
      <w:pPr>
        <w:pStyle w:val="BUListofAbbreviations"/>
      </w:pPr>
      <w:r>
        <w:t>MyHC</w:t>
      </w:r>
      <w:r>
        <w:tab/>
        <w:t>myosin heavy chain</w:t>
      </w:r>
    </w:p>
    <w:p w14:paraId="573C71DB" w14:textId="1E6DD2BD" w:rsidR="00542258" w:rsidRDefault="00542258" w:rsidP="00542258">
      <w:pPr>
        <w:pStyle w:val="BUListofAbbreviations"/>
      </w:pPr>
      <w:r>
        <w:t>NEFA</w:t>
      </w:r>
      <w:r>
        <w:tab/>
        <w:t>non-esterified fatty acids</w:t>
      </w:r>
    </w:p>
    <w:p w14:paraId="44E8B2B4" w14:textId="77777777" w:rsidR="00542258" w:rsidRDefault="00542258" w:rsidP="00542258">
      <w:pPr>
        <w:pStyle w:val="BUListofAbbreviations"/>
      </w:pPr>
      <w:r>
        <w:t>NF-κB</w:t>
      </w:r>
      <w:r>
        <w:tab/>
        <w:t>nuclear factor kappa - light-chain enhancer of activated B cells</w:t>
      </w:r>
    </w:p>
    <w:p w14:paraId="15E33346" w14:textId="77777777" w:rsidR="00542258" w:rsidRDefault="00542258" w:rsidP="00542258">
      <w:pPr>
        <w:pStyle w:val="BUListofAbbreviations"/>
      </w:pPr>
      <w:r>
        <w:t>NFAT</w:t>
      </w:r>
      <w:r>
        <w:tab/>
        <w:t>nuclear factor of activated T-cells</w:t>
      </w:r>
    </w:p>
    <w:p w14:paraId="4D31B68B" w14:textId="77777777" w:rsidR="00542258" w:rsidRDefault="00542258" w:rsidP="00542258">
      <w:pPr>
        <w:pStyle w:val="BUListofAbbreviations"/>
      </w:pPr>
      <w:r>
        <w:t>NMJ</w:t>
      </w:r>
      <w:r>
        <w:tab/>
        <w:t>neuro-muscular junction</w:t>
      </w:r>
    </w:p>
    <w:p w14:paraId="59DE93F0" w14:textId="77777777" w:rsidR="00542258" w:rsidRDefault="00542258" w:rsidP="00542258">
      <w:pPr>
        <w:pStyle w:val="BUListofAbbreviations"/>
      </w:pPr>
      <w:r>
        <w:t>NMR</w:t>
      </w:r>
      <w:r>
        <w:tab/>
        <w:t>nuclear magnetic resonance</w:t>
      </w:r>
    </w:p>
    <w:p w14:paraId="786B87FA" w14:textId="77777777" w:rsidR="00542258" w:rsidRDefault="00542258" w:rsidP="00542258">
      <w:pPr>
        <w:pStyle w:val="BUListofAbbreviations"/>
      </w:pPr>
      <w:r>
        <w:t>OMIM</w:t>
      </w:r>
      <w:r>
        <w:tab/>
        <w:t>Online Mendelian Inheritance in Man</w:t>
      </w:r>
    </w:p>
    <w:p w14:paraId="7E61F174" w14:textId="77777777" w:rsidR="00542258" w:rsidRDefault="00542258" w:rsidP="00542258">
      <w:pPr>
        <w:pStyle w:val="BUListofAbbreviations"/>
      </w:pPr>
      <w:r>
        <w:t>ORF</w:t>
      </w:r>
      <w:r>
        <w:tab/>
        <w:t>open reading frame</w:t>
      </w:r>
    </w:p>
    <w:p w14:paraId="36941B37" w14:textId="77777777" w:rsidR="004C665B" w:rsidRDefault="00542258" w:rsidP="00542258">
      <w:pPr>
        <w:pStyle w:val="BUListofAbbreviations"/>
      </w:pPr>
      <w:r>
        <w:t>p70-S6K</w:t>
      </w:r>
      <w:r>
        <w:tab/>
        <w:t>ribo</w:t>
      </w:r>
      <w:r w:rsidR="004C665B">
        <w:t>somal protein S6 kinase, 70 kDa</w:t>
      </w:r>
    </w:p>
    <w:p w14:paraId="5FBC4AF6" w14:textId="77777777" w:rsidR="004C665B" w:rsidRDefault="00542258" w:rsidP="00542258">
      <w:pPr>
        <w:pStyle w:val="BUListofAbbreviations"/>
      </w:pPr>
      <w:r>
        <w:t>p90-RSK</w:t>
      </w:r>
      <w:r>
        <w:tab/>
        <w:t>ribo</w:t>
      </w:r>
      <w:r w:rsidR="004C665B">
        <w:t>somal protein S6 kinase, 90 kDa</w:t>
      </w:r>
    </w:p>
    <w:p w14:paraId="09CBB86C" w14:textId="77777777" w:rsidR="004C665B" w:rsidRDefault="00542258" w:rsidP="00542258">
      <w:pPr>
        <w:pStyle w:val="BUListofAbbreviations"/>
      </w:pPr>
      <w:r>
        <w:t>PAGE</w:t>
      </w:r>
      <w:r>
        <w:tab/>
        <w:t>pol</w:t>
      </w:r>
      <w:r w:rsidR="004C665B">
        <w:t>yacrylamide gel electrophoresis</w:t>
      </w:r>
    </w:p>
    <w:p w14:paraId="506473CC" w14:textId="676EC965" w:rsidR="00542258" w:rsidRDefault="00542258" w:rsidP="00542258">
      <w:pPr>
        <w:pStyle w:val="BUListofAbbreviations"/>
      </w:pPr>
      <w:r>
        <w:t>PBS</w:t>
      </w:r>
      <w:r>
        <w:tab/>
        <w:t>phosphate buffered saline</w:t>
      </w:r>
    </w:p>
    <w:p w14:paraId="38BB47A1" w14:textId="77777777" w:rsidR="00542258" w:rsidRDefault="00542258" w:rsidP="00542258">
      <w:pPr>
        <w:pStyle w:val="BUListofAbbreviations"/>
      </w:pPr>
      <w:r>
        <w:t>PDK1</w:t>
      </w:r>
      <w:r>
        <w:tab/>
        <w:t>3-phosphoinositide-dependent protein kinase 1</w:t>
      </w:r>
    </w:p>
    <w:p w14:paraId="13745466" w14:textId="77777777" w:rsidR="00E111EF" w:rsidRDefault="00542258" w:rsidP="00E111EF">
      <w:pPr>
        <w:pStyle w:val="BUListofAbbreviations"/>
      </w:pPr>
      <w:r>
        <w:t>PGC-1</w:t>
      </w:r>
      <w:r>
        <w:tab/>
        <w:t>PPARγ coactivator 1</w:t>
      </w:r>
    </w:p>
    <w:p w14:paraId="3EAE31B4" w14:textId="70D698F4" w:rsidR="00E111EF" w:rsidRPr="00E111EF" w:rsidRDefault="00E111EF" w:rsidP="00E111EF">
      <w:pPr>
        <w:pStyle w:val="BUListofAbbreviations"/>
      </w:pPr>
      <w:r w:rsidRPr="00E111EF">
        <w:t>PI3K</w:t>
      </w:r>
      <w:r w:rsidRPr="00E111EF">
        <w:tab/>
        <w:t>phosphatidylinositol 3-kinase</w:t>
      </w:r>
    </w:p>
    <w:p w14:paraId="0A3F1ABB" w14:textId="77777777" w:rsidR="00542258" w:rsidRDefault="00542258" w:rsidP="00542258">
      <w:pPr>
        <w:pStyle w:val="BUListofAbbreviations"/>
      </w:pPr>
      <w:r>
        <w:t>Pitx</w:t>
      </w:r>
      <w:r>
        <w:tab/>
        <w:t>paired-like homeodomain</w:t>
      </w:r>
    </w:p>
    <w:p w14:paraId="7BFBB128" w14:textId="77777777" w:rsidR="004C665B" w:rsidRDefault="004C665B" w:rsidP="00542258">
      <w:pPr>
        <w:pStyle w:val="BUListofAbbreviations"/>
      </w:pPr>
      <w:r>
        <w:t>PLC</w:t>
      </w:r>
      <w:r>
        <w:tab/>
        <w:t>phospholipase C</w:t>
      </w:r>
    </w:p>
    <w:p w14:paraId="50797FC0" w14:textId="01C84272" w:rsidR="00542258" w:rsidRDefault="00542258" w:rsidP="00542258">
      <w:pPr>
        <w:pStyle w:val="BUListofAbbreviations"/>
      </w:pPr>
      <w:r>
        <w:t>POMC</w:t>
      </w:r>
      <w:r>
        <w:tab/>
        <w:t>pro-opiomelanocortin</w:t>
      </w:r>
    </w:p>
    <w:p w14:paraId="6026DBD7" w14:textId="77777777" w:rsidR="00542258" w:rsidRDefault="00542258" w:rsidP="00542258">
      <w:pPr>
        <w:pStyle w:val="BUListofAbbreviations"/>
      </w:pPr>
      <w:r>
        <w:t>PPAR</w:t>
      </w:r>
      <w:r>
        <w:tab/>
        <w:t>peroxisome proliferator-activated receptor</w:t>
      </w:r>
    </w:p>
    <w:p w14:paraId="4CDF94E2" w14:textId="77777777" w:rsidR="00542258" w:rsidRDefault="00542258" w:rsidP="00542258">
      <w:pPr>
        <w:pStyle w:val="BUListofAbbreviations"/>
      </w:pPr>
      <w:r>
        <w:t>PPP</w:t>
      </w:r>
      <w:r>
        <w:tab/>
        <w:t>picropodophyllin</w:t>
      </w:r>
    </w:p>
    <w:p w14:paraId="007AAD0C" w14:textId="77777777" w:rsidR="00542258" w:rsidRDefault="00542258" w:rsidP="00542258">
      <w:pPr>
        <w:pStyle w:val="BUListofAbbreviations"/>
      </w:pPr>
      <w:r>
        <w:t>PRAS40</w:t>
      </w:r>
      <w:r>
        <w:tab/>
        <w:t>proline-rich Akt substrate of 40-kDa</w:t>
      </w:r>
    </w:p>
    <w:p w14:paraId="45AA3829" w14:textId="5F2D64EA" w:rsidR="00542258" w:rsidRDefault="004C665B" w:rsidP="00542258">
      <w:pPr>
        <w:pStyle w:val="BUListofAbbreviations"/>
      </w:pPr>
      <w:r>
        <w:lastRenderedPageBreak/>
        <w:t>q</w:t>
      </w:r>
      <w:r w:rsidR="00542258">
        <w:t>RT-PCR</w:t>
      </w:r>
      <w:r w:rsidR="00542258">
        <w:tab/>
        <w:t>quantitative real-time polymerase chain reaction</w:t>
      </w:r>
    </w:p>
    <w:p w14:paraId="741D2B8D" w14:textId="77777777" w:rsidR="00542258" w:rsidRDefault="00542258" w:rsidP="00542258">
      <w:pPr>
        <w:pStyle w:val="BUListofAbbreviations"/>
      </w:pPr>
      <w:r>
        <w:t>REDD1</w:t>
      </w:r>
      <w:r>
        <w:tab/>
        <w:t>regulated in development and DNA damage responses-1</w:t>
      </w:r>
    </w:p>
    <w:p w14:paraId="4DF83F66" w14:textId="77777777" w:rsidR="00542258" w:rsidRDefault="00542258" w:rsidP="00542258">
      <w:pPr>
        <w:pStyle w:val="BUListofAbbreviations"/>
      </w:pPr>
      <w:r>
        <w:t>RIPA</w:t>
      </w:r>
      <w:r>
        <w:tab/>
        <w:t>radioimmunoprecipitation assay</w:t>
      </w:r>
    </w:p>
    <w:p w14:paraId="75C91841" w14:textId="77777777" w:rsidR="00542258" w:rsidRDefault="00542258" w:rsidP="00542258">
      <w:pPr>
        <w:pStyle w:val="BUListofAbbreviations"/>
      </w:pPr>
      <w:r>
        <w:t>SDS</w:t>
      </w:r>
      <w:r>
        <w:tab/>
        <w:t>sodium dodecyl sulfate</w:t>
      </w:r>
    </w:p>
    <w:p w14:paraId="4EE195AD" w14:textId="77777777" w:rsidR="00542258" w:rsidRDefault="00542258" w:rsidP="00542258">
      <w:pPr>
        <w:pStyle w:val="BUListofAbbreviations"/>
      </w:pPr>
      <w:r>
        <w:t>SGKL</w:t>
      </w:r>
      <w:r>
        <w:tab/>
        <w:t>serum and glucocorticoid-inducible kinase-like kinase</w:t>
      </w:r>
    </w:p>
    <w:p w14:paraId="5DCEA779" w14:textId="77777777" w:rsidR="00542258" w:rsidRDefault="00542258" w:rsidP="00542258">
      <w:pPr>
        <w:pStyle w:val="BUListofAbbreviations"/>
      </w:pPr>
      <w:r>
        <w:t>Shc</w:t>
      </w:r>
      <w:r>
        <w:tab/>
        <w:t>Src homology 2 domain containing</w:t>
      </w:r>
    </w:p>
    <w:p w14:paraId="5C699A63" w14:textId="77777777" w:rsidR="00542258" w:rsidRDefault="00542258" w:rsidP="00542258">
      <w:pPr>
        <w:pStyle w:val="BUListofAbbreviations"/>
      </w:pPr>
      <w:r>
        <w:t>Sos</w:t>
      </w:r>
      <w:r>
        <w:tab/>
        <w:t>Son of sevenless homolog</w:t>
      </w:r>
    </w:p>
    <w:p w14:paraId="30E0C14E" w14:textId="77777777" w:rsidR="00542258" w:rsidRDefault="00542258" w:rsidP="00542258">
      <w:pPr>
        <w:pStyle w:val="BUListofAbbreviations"/>
      </w:pPr>
      <w:r>
        <w:t>Sp1</w:t>
      </w:r>
      <w:r>
        <w:tab/>
        <w:t>SV40 promoter-specific 1</w:t>
      </w:r>
    </w:p>
    <w:p w14:paraId="614C14AD" w14:textId="77777777" w:rsidR="00542258" w:rsidRDefault="00542258" w:rsidP="00542258">
      <w:pPr>
        <w:pStyle w:val="BUListofAbbreviations"/>
      </w:pPr>
      <w:r>
        <w:t>STAT</w:t>
      </w:r>
      <w:r>
        <w:tab/>
        <w:t>Signal Transducer and Activator of Transcription</w:t>
      </w:r>
    </w:p>
    <w:p w14:paraId="25794196" w14:textId="77777777" w:rsidR="00542258" w:rsidRDefault="00542258" w:rsidP="00542258">
      <w:pPr>
        <w:pStyle w:val="BUListofAbbreviations"/>
      </w:pPr>
      <w:r>
        <w:t>T</w:t>
      </w:r>
      <w:r>
        <w:tab/>
        <w:t>testosterone-only group</w:t>
      </w:r>
    </w:p>
    <w:p w14:paraId="4F8BFF24" w14:textId="77777777" w:rsidR="00542258" w:rsidRDefault="00542258" w:rsidP="00542258">
      <w:pPr>
        <w:pStyle w:val="BUListofAbbreviations"/>
      </w:pPr>
      <w:r>
        <w:t>Tbx</w:t>
      </w:r>
      <w:r>
        <w:tab/>
        <w:t>T-box</w:t>
      </w:r>
    </w:p>
    <w:p w14:paraId="7F0A14E2" w14:textId="2B0BC909" w:rsidR="00E111EF" w:rsidRPr="00E111EF" w:rsidRDefault="00E111EF" w:rsidP="00E111EF">
      <w:pPr>
        <w:pStyle w:val="BUListofAbbreviations"/>
      </w:pPr>
      <w:r w:rsidRPr="00E111EF">
        <w:t>TCA</w:t>
      </w:r>
      <w:r w:rsidRPr="00E111EF">
        <w:tab/>
        <w:t>trichloroacetic acid</w:t>
      </w:r>
    </w:p>
    <w:p w14:paraId="4020179D" w14:textId="77777777" w:rsidR="00542258" w:rsidRDefault="00542258" w:rsidP="00542258">
      <w:pPr>
        <w:pStyle w:val="BUListofAbbreviations"/>
      </w:pPr>
      <w:r>
        <w:t>TCF4</w:t>
      </w:r>
      <w:r>
        <w:tab/>
        <w:t>transcription factor 4</w:t>
      </w:r>
    </w:p>
    <w:p w14:paraId="0529CDFD" w14:textId="77777777" w:rsidR="00542258" w:rsidRDefault="00542258" w:rsidP="00542258">
      <w:pPr>
        <w:pStyle w:val="BUListofAbbreviations"/>
      </w:pPr>
      <w:r>
        <w:t>Testo</w:t>
      </w:r>
      <w:r>
        <w:tab/>
        <w:t>testosterone</w:t>
      </w:r>
    </w:p>
    <w:p w14:paraId="4A9CF1BD" w14:textId="77777777" w:rsidR="00542258" w:rsidRDefault="00542258" w:rsidP="00542258">
      <w:pPr>
        <w:pStyle w:val="BUListofAbbreviations"/>
      </w:pPr>
      <w:r>
        <w:t>TGF-β</w:t>
      </w:r>
      <w:r>
        <w:tab/>
        <w:t>transforming growth factor-beta</w:t>
      </w:r>
    </w:p>
    <w:p w14:paraId="5B9FA7F2" w14:textId="77777777" w:rsidR="00542258" w:rsidRDefault="00542258" w:rsidP="00542258">
      <w:pPr>
        <w:pStyle w:val="BUListofAbbreviations"/>
      </w:pPr>
      <w:r>
        <w:t>Tp</w:t>
      </w:r>
      <w:r>
        <w:tab/>
        <w:t>testosterone propionate</w:t>
      </w:r>
    </w:p>
    <w:p w14:paraId="1F3BE4B0" w14:textId="77777777" w:rsidR="00542258" w:rsidRDefault="00542258" w:rsidP="00542258">
      <w:pPr>
        <w:pStyle w:val="BUListofAbbreviations"/>
      </w:pPr>
      <w:r>
        <w:t>TSC1</w:t>
      </w:r>
      <w:r>
        <w:tab/>
        <w:t>Tuberous Sclerosis Complex 1</w:t>
      </w:r>
    </w:p>
    <w:p w14:paraId="3B62FC64" w14:textId="77777777" w:rsidR="00542258" w:rsidRDefault="00542258" w:rsidP="00542258">
      <w:pPr>
        <w:pStyle w:val="BUListofAbbreviations"/>
      </w:pPr>
      <w:r>
        <w:t>TSC2</w:t>
      </w:r>
      <w:r>
        <w:tab/>
        <w:t>Tuberous Sclerosis Complex 2</w:t>
      </w:r>
    </w:p>
    <w:p w14:paraId="63371AFE" w14:textId="77777777" w:rsidR="00542258" w:rsidRDefault="00542258" w:rsidP="00542258">
      <w:pPr>
        <w:pStyle w:val="BUListofAbbreviations"/>
      </w:pPr>
      <w:r>
        <w:t>ULK1</w:t>
      </w:r>
      <w:r>
        <w:tab/>
        <w:t>UNC-51-like kinase 1</w:t>
      </w:r>
    </w:p>
    <w:p w14:paraId="2D7A9C66" w14:textId="77777777" w:rsidR="00542258" w:rsidRDefault="00542258" w:rsidP="00542258">
      <w:pPr>
        <w:pStyle w:val="BUListofAbbreviations"/>
      </w:pPr>
      <w:r>
        <w:t>V</w:t>
      </w:r>
      <w:r>
        <w:tab/>
        <w:t>Vehicle-only</w:t>
      </w:r>
    </w:p>
    <w:p w14:paraId="6CB3A860" w14:textId="77777777" w:rsidR="00542258" w:rsidRDefault="00542258" w:rsidP="00542258">
      <w:pPr>
        <w:pStyle w:val="BUListofAbbreviations"/>
      </w:pPr>
      <w:r>
        <w:t>VEGFR</w:t>
      </w:r>
      <w:r>
        <w:tab/>
        <w:t>VEGF receptor</w:t>
      </w:r>
    </w:p>
    <w:p w14:paraId="318D8392" w14:textId="377F531D" w:rsidR="00F3373D" w:rsidRPr="000C7509" w:rsidRDefault="00F3373D" w:rsidP="000C7509">
      <w:pPr>
        <w:rPr>
          <w:rFonts w:ascii="Times New Roman" w:hAnsi="Times New Roman" w:cs="Times New Roman"/>
        </w:rPr>
      </w:pPr>
      <w:r>
        <w:rPr>
          <w:rFonts w:ascii="Times New Roman" w:hAnsi="Times New Roman" w:cs="Times New Roman"/>
        </w:rPr>
        <w:br w:type="page"/>
      </w: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0833A59" w14:textId="5F414559" w:rsidR="000C7509" w:rsidRDefault="000C7509" w:rsidP="00475EB3">
      <w:pPr>
        <w:pStyle w:val="Heading1"/>
      </w:pPr>
      <w:bookmarkStart w:id="6" w:name="_Toc422950566"/>
      <w:r>
        <w:lastRenderedPageBreak/>
        <w:t>CLINICAL QUESTIONS AND EVIDENCE</w:t>
      </w:r>
      <w:bookmarkEnd w:id="6"/>
    </w:p>
    <w:p w14:paraId="34BB3048" w14:textId="77777777" w:rsidR="00475EB3" w:rsidRPr="00475EB3" w:rsidRDefault="000C7509" w:rsidP="00475EB3">
      <w:pPr>
        <w:pStyle w:val="Heading2"/>
        <w:rPr>
          <w:sz w:val="24"/>
          <w:szCs w:val="24"/>
        </w:rPr>
      </w:pPr>
      <w:bookmarkStart w:id="7" w:name="_Toc422950567"/>
      <w:r w:rsidRPr="00475EB3">
        <w:rPr>
          <w:sz w:val="24"/>
          <w:szCs w:val="24"/>
        </w:rPr>
        <w:t>Cushing’s syndrome and hints of an atrophy mechanism</w:t>
      </w:r>
      <w:bookmarkEnd w:id="7"/>
    </w:p>
    <w:p w14:paraId="53E691FA" w14:textId="0538DEF0" w:rsidR="002F069E" w:rsidRDefault="002F069E" w:rsidP="002F069E">
      <w:pPr>
        <w:pStyle w:val="BUMainText"/>
        <w:ind w:firstLine="720"/>
      </w:pPr>
      <w:r>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3EC93264" w14:textId="6BE183D5" w:rsidR="002F069E" w:rsidRDefault="002F069E" w:rsidP="002F069E">
      <w:pPr>
        <w:pStyle w:val="BUMainText"/>
        <w:ind w:firstLine="720"/>
      </w:pPr>
      <w:r>
        <w:t>Through the detailed case series written by Harvey Cushing[3], the scientific and medical community became aware of an otherwise rare disease, which bears his name. Unlike the earlier and better-studied deficiencies of the thyroid and pancreas, pituitary defects are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models[4], further proving the heterogeneous nature of pituitary secretion.</w:t>
      </w:r>
    </w:p>
    <w:p w14:paraId="479F002B" w14:textId="77777777" w:rsidR="002F069E" w:rsidRDefault="002F069E" w:rsidP="002F069E">
      <w:pPr>
        <w:pStyle w:val="BUMainText"/>
        <w:ind w:firstLine="720"/>
      </w:pPr>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65240756" w14:textId="6F2828A7" w:rsidR="002F069E" w:rsidRDefault="002F069E" w:rsidP="002F069E">
      <w:pPr>
        <w:pStyle w:val="BUMainText"/>
        <w:ind w:firstLine="720"/>
      </w:pPr>
      <w:r>
        <w:t>Twenty years later, Cushing narrowed the focus in an updated case series of combined pituitary-adrenal pathology[5].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 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323A5B90" w14:textId="77777777" w:rsidR="002F069E" w:rsidRDefault="002F069E" w:rsidP="002F069E">
      <w:pPr>
        <w:pStyle w:val="BUMainText"/>
        <w:ind w:firstLine="720"/>
      </w:pPr>
      <w:r>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pathology[7].</w:t>
      </w:r>
    </w:p>
    <w:p w14:paraId="556456C8" w14:textId="3CBB53EC" w:rsidR="002F069E" w:rsidRDefault="002F069E" w:rsidP="002F069E">
      <w:pPr>
        <w:pStyle w:val="BUMainText"/>
        <w:ind w:firstLine="720"/>
      </w:pPr>
      <w:r>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(CS)[8]. Some hypercortisolism cases, termed pseudo-Cushing’s syndrome, are ascribed to causes outside the HPA axis, such as in depression, morbid obesity, uncontrolled diabetes mellitus, and sleep apnea (reviewed in [9]).</w:t>
      </w:r>
    </w:p>
    <w:p w14:paraId="18623223" w14:textId="6DF49EBE" w:rsidR="002F069E" w:rsidRDefault="002F069E" w:rsidP="002F069E">
      <w:pPr>
        <w:pStyle w:val="BUMainText"/>
        <w:ind w:firstLine="720"/>
      </w:pPr>
      <w:r>
        <w:t>True CS cases are further classified based on the role of the 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 [10]). Cushing’s disease remains a staple of physiology textbooks, because it provides an excellent didactic example of a hormone hierarchy.</w:t>
      </w:r>
    </w:p>
    <w:p w14:paraId="0A2A3512" w14:textId="77777777" w:rsidR="002F069E" w:rsidRDefault="002F069E" w:rsidP="002F069E">
      <w:pPr>
        <w:pStyle w:val="BUMainText"/>
        <w:ind w:firstLine="720"/>
      </w:pPr>
      <w:r>
        <w:t>The remainder of CS cases consists of hypercortisolism despite low ACTH. In primary hypercortisolism, ACTH is typically suppressed by negative feedback. 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4506DB9F" w14:textId="739658A7" w:rsidR="000C7509" w:rsidRDefault="002F069E" w:rsidP="00EA5BF6">
      <w:pPr>
        <w:pStyle w:val="BUMainText"/>
        <w:ind w:firstLine="720"/>
      </w:pPr>
      <w:r>
        <w:t>Although CS may originate in various HPA pathologies, muscle impairment is one of its most common, unifying features.</w:t>
      </w:r>
    </w:p>
    <w:p w14:paraId="332448D1" w14:textId="77777777" w:rsidR="000C7509" w:rsidRPr="0005175B" w:rsidRDefault="000C7509" w:rsidP="00EA5BF6">
      <w:pPr>
        <w:pStyle w:val="Heading2"/>
        <w:rPr>
          <w:sz w:val="24"/>
        </w:rPr>
      </w:pPr>
      <w:bookmarkStart w:id="8" w:name="_Toc422950568"/>
      <w:r w:rsidRPr="0005175B">
        <w:rPr>
          <w:sz w:val="24"/>
        </w:rPr>
        <w:t>Glucocorticoid therapy</w:t>
      </w:r>
      <w:bookmarkEnd w:id="8"/>
    </w:p>
    <w:p w14:paraId="23B6844A" w14:textId="24C16501" w:rsidR="002F069E" w:rsidRDefault="000C7509" w:rsidP="002F069E">
      <w:pPr>
        <w:pStyle w:val="BUMainText"/>
        <w:ind w:firstLine="720"/>
      </w:pPr>
      <w:r>
        <w:t>A</w:t>
      </w:r>
      <w:r w:rsidR="002F069E">
        <w:t xml:space="preserve"> series of serendipitous decisions brought impressive knowledge about CS of non-pituitary etiology (reviewed in [11]).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patients[12], impressive improvements in those cases reordered priorities in corticosteroid research.</w:t>
      </w:r>
    </w:p>
    <w:p w14:paraId="2BFDD1D7" w14:textId="77777777" w:rsidR="002F069E" w:rsidRDefault="002F069E" w:rsidP="002F069E">
      <w:pPr>
        <w:pStyle w:val="BUMainText"/>
        <w:ind w:firstLine="720"/>
      </w:pPr>
      <w:r>
        <w:t>Previous work described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administration[13]. However, Hench’s observations were replicable, demonstrating the complex and vital role of the adrenal.</w:t>
      </w:r>
    </w:p>
    <w:p w14:paraId="76EE77BE" w14:textId="7C9B66F8" w:rsidR="002F069E" w:rsidRDefault="002F069E" w:rsidP="002F069E">
      <w:pPr>
        <w:pStyle w:val="BUMainText"/>
        <w:ind w:firstLine="720"/>
      </w:pPr>
      <w:r>
        <w:t>First, cortisone’s action on metabolism was accessible even to the less sophisticated clinical measurements used 60 years ago. Patients receiving cortisone gain weight. Chronic cortisone therapy leads to accumulation of adipose tissue, often in ectopic locations, such as the interscapular “buffalo hump.” Cortisone also induces hyperglycemia, and subsequent glycosuria. For this reason, cortisone and its endogenous and synthetic analogs are grouped in the glucocorticoid (GC) family.</w:t>
      </w:r>
    </w:p>
    <w:p w14:paraId="700B58D6" w14:textId="1394C02F" w:rsidR="002F069E" w:rsidRDefault="002F069E" w:rsidP="002F069E">
      <w:pPr>
        <w:pStyle w:val="BUMainText"/>
        <w:ind w:firstLine="720"/>
      </w:pPr>
      <w:r>
        <w:t>Hench and collaborators hypothesized that cortisone’s protective action is not limited to rheumatoid arthritis. In his 1950 Nobel lecture, Hench envisaged a role for alleviation of most inflammatory diseases. GCs share the ability to reduce inflammation (reviewed in [14,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(GRE)[16]. The classical effect of the GRE-GR interaction is increased transcription for neighboring target genes (transactivation), as it is the case in polymorphonucleate cells for interleukin 1 (IL-1) receptor type II (IL-1RII)[17],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(IL-2)[18]. GCs employ nongenomic mechanisms, such as mRNA stability and enzymatic activity modulations. In airway epithelia, GCs reduce the half-life of the mRNA for interleukin 8 (IL-8), the major chemoattractant for neutrophils[19]. Within minutes, GC administration induces vasodilation, through direct, nongenomic activation of endothelial phosphatidylinositol 3-kinase (PI3K) leading to activation of endothelial nitric oxide synthase (eNOS)[20].</w:t>
      </w:r>
    </w:p>
    <w:p w14:paraId="7733797D" w14:textId="3DA25790" w:rsidR="002F069E" w:rsidRDefault="002F069E" w:rsidP="002F069E">
      <w:pPr>
        <w:pStyle w:val="BUMainText"/>
        <w:ind w:firstLine="720"/>
      </w:pPr>
      <w:r>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mg/kg dose enhanced the immune skin delayed-type hypersensitivity, while a 40 mg/kg dose yielded the opposite, expected immunosuppressive response[21]. This biphasic behavior, suggestive of a U- (or inverted-U) shaped curve, poses great challenges, both to the investigative scientist, and to the clinician attempting to establish a therapeutic regimen.</w:t>
      </w:r>
    </w:p>
    <w:p w14:paraId="4B9E19AA" w14:textId="022ED1C8" w:rsidR="002F069E" w:rsidRDefault="002F069E" w:rsidP="002F069E">
      <w:pPr>
        <w:pStyle w:val="BUMainText"/>
        <w:ind w:firstLine="720"/>
      </w:pPr>
      <w:r>
        <w:t>In 1950, endogenous GCs corticosterone and cortisol, were synthesized at Merck[22], thus lowering the price and creating the opportunity for large-scale trials. The Empire Rheumatism Council organized a randomized trial comparing cortisone with acetylsalicylate, and concluded that there is no benefit in cortisone[23].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 [24]). While synthesizing esters with a better half-life, Schering chemists introduced a double bond in the A ring of cortisone, thus discovering prednisone, the first widely used oral GC[25]. Prednisone was a better anti-inflammatory than cortisone, but had a lower ability to cause edema. This was the first suggestion that the many GC effects could be separated by chemical modifications. In 1955, NIH researchers synthesized and characterized prednisone’s active metabolite, prednisolone[26]. In a trial of prednisolone versus acetylsalicylate in rheumatoid arthritis, the GC provided better functional protection to the articulations[27], thus establishing prednisolone as a standard of care and making GCs even more interesting for chemists.</w:t>
      </w:r>
    </w:p>
    <w:p w14:paraId="659CB6E6" w14:textId="05DE96E2" w:rsidR="002F069E" w:rsidRDefault="002F069E" w:rsidP="002F069E">
      <w:pPr>
        <w:pStyle w:val="BUMainText"/>
        <w:ind w:firstLine="720"/>
      </w:pPr>
      <w:r>
        <w:t>Further improvements were made at Squibb, where it was found that insertion of a halogen atom improves GCs anti-inflammatory effect[28, 29]. In 1958, Merck chemists led by Arth modified cortisol with the unsaturated A ring (Δ1 ), the fluoride addition at position 9α, and with a methyl group on the 16α position to obtain dexamethasone (Dexa)[30, 31]. Dexa is the most effective and specific therapeutic synthetic GC to date, with 170 times higher ability to inhibit the immune reaction to subcutaneous foreign bodies (granuloma) compared to cortisol[32]. The other benefit of Dexa is its virtual inability to cause edema and electrolyte imbalance.</w:t>
      </w:r>
    </w:p>
    <w:p w14:paraId="21DABC80" w14:textId="16D605A1" w:rsidR="002F069E" w:rsidRDefault="002F069E" w:rsidP="002F069E">
      <w:pPr>
        <w:pStyle w:val="BUMainText"/>
        <w:ind w:firstLine="720"/>
      </w:pPr>
      <w:r>
        <w:t>In addition to being a strong anti-inflammatory, Dexa is 52 times more potent in suppressing endogenous GC secretion, and 35 times more potent in causing hyperglycemia compared to cortisone[33, 34]. Efforts to synthesize steroids with anti-inflammatory action that do not interfere with metabolism have failed. Compounds such as A276575[35] and RU 24858[36] failed in preclinical studies. Mapracorat[37]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side effects, and, in the case of less specific GCs, with the water retention.</w:t>
      </w:r>
    </w:p>
    <w:p w14:paraId="0901071D" w14:textId="1D98FBA0" w:rsidR="002F069E" w:rsidRDefault="002F069E" w:rsidP="002F069E">
      <w:pPr>
        <w:pStyle w:val="BUMainText"/>
        <w:ind w:firstLine="720"/>
      </w:pPr>
      <w:r>
        <w:t>Edema is an example of non-specific GC effect, caused by a less typical interaction of the hormone with the mineralocorticoid receptor (MR). The GC family spans tens of active principles and thousands of formulations, from weak 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33EBC52C" w14:textId="4FC28B0B" w:rsidR="002F069E" w:rsidRDefault="002F069E" w:rsidP="002F069E">
      <w:pPr>
        <w:pStyle w:val="BUMainText"/>
        <w:ind w:firstLine="720"/>
      </w:pPr>
      <w:r>
        <w:t>Chronic GC therapy causes glucose metabolism disturbance, osteoporosis, and muscle loss, suggesting that their therapeutic use is limited. However, their efficacy makes them some of the most commonly used drugs. The trivial case for using GC therapy is in hormone replacement, such as in adrenocortical insufficiency (reviewed in [38]). In addition, many other diseases are alleviated by GCs to a degree that deleterious effects are outweighed. Based on their ability to lower white blood cell count, GC are an important adjuvant in the palliative and even etiologic treatment of leukemias and lymphomas[39, 40, 41]. On the balance of benefits and drawbacks, GCs are recommended for many life threatening or impairing immune reactions, such as polymyositis (reviewed in [42]), severe sarcoidosis (reviewed in [43]), and disseminated pulmonary tuberculosis. GCs are relatively safe in topical applications in dermatological conditions (pemphigus, psoriasis, most types of dermatitis; reviewed in [44]). Similarly, GCs are commonly used in eye inflammatory conditions[45, 46], such as diffuse posterior uveitis and optical neuritis. GC therapy is suitable for brief administration in acute immune or allergic conditions, such as seasonal rhinitis (reviewed in [38]). In chronic diseases, GCs are recommended for short-term alleviation of exacerbations. Short-term GC therapy is recommended for rheumatoid arthritis, gouty arthritis, psoriatic arthritis, ankylosing spondylitis, asthma[47, 48], ulcerative colitis[49, 50], and idiopathic nephrotic syndrome[51].</w:t>
      </w:r>
    </w:p>
    <w:p w14:paraId="1F21BD69" w14:textId="0DD9B033" w:rsidR="002F069E" w:rsidRDefault="002F069E" w:rsidP="002F069E">
      <w:pPr>
        <w:pStyle w:val="BUMainText"/>
        <w:ind w:firstLine="720"/>
      </w:pPr>
      <w:r>
        <w:t>As envisaged by Hench in his Nobel Lecture, GCs do not address disease causes, and are recommended for temporary respite. For many immune diseases, more specific therapeutic alternatives have been developed. The list of Food and Drug Administration (FDA)-approved indications for cortisone, Dexa, and prednisone is often narrowed by additional precautions, and by newly discovered drugs[52,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edema[55] and prevent acute mountain sickness[56]. These studies have been carried although earlier systematic reviews showed that, in fact, GCs worsen outcomes for acute brain trauma victims[57]. This example illustrates how strongly rooted are off-label uses of GCs.</w:t>
      </w:r>
    </w:p>
    <w:p w14:paraId="49EB9D3F" w14:textId="2C52EC41" w:rsidR="002F069E" w:rsidRDefault="002F069E" w:rsidP="002F069E">
      <w:pPr>
        <w:pStyle w:val="BUMainText"/>
        <w:ind w:firstLine="720"/>
      </w:pPr>
      <w:r>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4EA36FC1" w14:textId="090440CD" w:rsidR="004A2827" w:rsidRDefault="002F069E" w:rsidP="004A2827">
      <w:pPr>
        <w:pStyle w:val="BUMainText"/>
        <w:ind w:firstLine="720"/>
      </w:pPr>
      <w:r>
        <w:t>This wide array of uses make GCs some of the most prescribed and used drugs. Despite the low prevalence of the conditions proven to benefit from GC therapy, every year, about 1% of the Americans and British receive some form of GC[58, 59]. GCs are likely even more prescribed in the developing world, due to affordability and lack of alternatives, poor access to health care notwithstanding. Dexa and cortisol are the only drugs listed five times in the World Health Organization’s List of Essential Medicines[60]. Due to their widespread use, GCs are likely to cause covert iatrogenic CS in a large population, impairing muscle mass and quality of life to a certain and understudied degree</w:t>
      </w:r>
      <w:r w:rsidR="000C7509">
        <w:t>.</w:t>
      </w:r>
    </w:p>
    <w:p w14:paraId="742547BB" w14:textId="77777777" w:rsidR="004A2827" w:rsidRDefault="000C7509" w:rsidP="004A2827">
      <w:pPr>
        <w:pStyle w:val="Heading2"/>
      </w:pPr>
      <w:bookmarkStart w:id="9" w:name="_Toc422950569"/>
      <w:r>
        <w:t>Hypercortisolism-induced muscle loss</w:t>
      </w:r>
      <w:bookmarkEnd w:id="9"/>
    </w:p>
    <w:p w14:paraId="704ED3F4" w14:textId="76EC1B41" w:rsidR="002F069E" w:rsidRDefault="000C7509" w:rsidP="002F069E">
      <w:pPr>
        <w:pStyle w:val="BUMainText"/>
        <w:ind w:firstLine="720"/>
      </w:pPr>
      <w:r>
        <w:t>P</w:t>
      </w:r>
      <w:r w:rsidR="002F069E">
        <w:t>rimary and secondary endogenous hypercortisolism are rare diseases (1-2 cases per million and year each[61]), despite a recent boost from incidental imaging diagnoses. The symptomatology is non-specific, meaning that, even today in the developed world, an average of 6 years pass from signs onset until diagnosis is made and treatment is initiated[62]. Endogenous hypercortisolism is a life-threatening disease, with untreated patients having a median survival rate of 5 years after diagnosis[63]. Some of the changes occurring in Cushing’s disease are irreversible, especially at the level of brain, bone, adipose tissue, and liver levels (reviewed in [64]). Even after surgical adjustments of the hyperactive pituitary, the quality of life for CS patients lags behind that of the unaffected population.</w:t>
      </w:r>
    </w:p>
    <w:p w14:paraId="1B263D77" w14:textId="77777777" w:rsidR="002F069E" w:rsidRDefault="002F069E" w:rsidP="002F069E">
      <w:pPr>
        <w:pStyle w:val="BUMainText"/>
        <w:ind w:firstLine="720"/>
      </w:pPr>
      <w:r>
        <w:t>About two thirds of patients with Cushing’s syndrome acknowledge muscular problems at presentation, with similar incidence among pituitary and adrenal conditions[65]. Among patients diagnosed with endogenous CS, one fifth are referred to the endocrinologist due to muscle weakness[66]. Two fifths of those whose endogenous hypercortisolism is successfully corrected by surgery still complain of fatigue[67].</w:t>
      </w:r>
    </w:p>
    <w:p w14:paraId="33568C66" w14:textId="56E763E3" w:rsidR="002F069E" w:rsidRDefault="002F069E" w:rsidP="002F069E">
      <w:pPr>
        <w:pStyle w:val="BUMainText"/>
        <w:ind w:firstLine="720"/>
      </w:pPr>
      <w:r>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permitted[68]. In 1987, hydrocortisone creams became over-the-counter in Great Britain.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products[69]. In 2015, the Ivory Coast government made illegal skin bleaching products, due to worries about GC overdose side effects[70].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pressures[71, 72].</w:t>
      </w:r>
    </w:p>
    <w:p w14:paraId="1A54E6D8" w14:textId="77777777" w:rsidR="002F069E" w:rsidRDefault="002F069E" w:rsidP="002F069E">
      <w:pPr>
        <w:pStyle w:val="BUMainText"/>
        <w:ind w:firstLine="720"/>
      </w:pPr>
      <w:r>
        <w:t>Other, less frequent causes of iatrogenic CS include the interaction between low dose GC therapy and cytochrome P450 3A4 inhibitors, such as the antiretroviral ritonavir[73]. Other steroid drugs may interact with GR and cause CS when overdosed, as it is the case with the synthetic progestin megestrol acetate[74].</w:t>
      </w:r>
    </w:p>
    <w:p w14:paraId="49B87D35" w14:textId="7591EE87" w:rsidR="002F069E" w:rsidRDefault="002F069E" w:rsidP="002F069E">
      <w:pPr>
        <w:pStyle w:val="BUMainText"/>
        <w:ind w:firstLine="720"/>
      </w:pPr>
      <w:r>
        <w:t>Due to its insidious and erratic symptomatology, iatrogenic CS is often diagnosed years after onset or completely unrecognized[62]. The incidence of iatrogenic CS is difficult to estimate, because there is no reporting requirement. In the developed world, iatrogenic CS could be as frequent as one case per thousand and year[75].</w:t>
      </w:r>
    </w:p>
    <w:p w14:paraId="45A83631" w14:textId="77777777" w:rsidR="002F069E" w:rsidRDefault="002F069E" w:rsidP="002F069E">
      <w:pPr>
        <w:pStyle w:val="BUMainText"/>
        <w:ind w:firstLine="720"/>
      </w:pPr>
      <w:r>
        <w:t>Signs of iatrogenic CS are as varied as those of Cushing’s disease. In a cohort of patients receiving for three months more than 0.4 mg/(kg d) prednisone, the most common signs were development of ectopic adipose deposits (50%), hyperphagia (47%), and muscle cramps (32%)[76]. In the same cohort, 15% complained of muscle weakness. Patients stated that the most distressing signs of hypercortisolism were, in order, body shape changes, neuropsychiatric disorders, muscle cramps, and hand tremor. In 1982, the most common cause of iatrogenic muscle weakness was GC therapy[77].</w:t>
      </w:r>
    </w:p>
    <w:p w14:paraId="34340CA0" w14:textId="5B5308F6" w:rsidR="002F069E" w:rsidRDefault="002F069E" w:rsidP="002F069E">
      <w:pPr>
        <w:pStyle w:val="BUMainText"/>
        <w:ind w:firstLine="720"/>
      </w:pPr>
      <w:r>
        <w:t>There are differences between GC-induced cardiovascular changes, depending on the nature of the GC. Endogenous GCs, such as cortisol, have hypertensive effects, while some synthetic GCs, Dexa included, lack such non-specific</w:t>
      </w:r>
      <w:r w:rsidR="00DD7DE1">
        <w:t xml:space="preserve"> </w:t>
      </w:r>
      <w:r>
        <w:t>MR-dependent action. Nevertheless, excess exogenous and endogenous GC</w:t>
      </w:r>
      <w:r w:rsidR="00DD7DE1">
        <w:t xml:space="preserve"> </w:t>
      </w:r>
      <w:r>
        <w:t>causes the same disabling effects on muscle[78], indicating that muscle damage is mediated by GR. GCs differ quantitatively in their ability to cause myopathy. Myopathy is invariably induced in two weeks by either 0.2 mg/(kg d) Dexa[79], or by 0.5 mg/(kg d) prednisone[80]. Based on animal studies, it is likely that the catabolic potency ratio is even more tilted towards Dexa than the referenced studies indicate. Modern human pharmacodynamics and epidemiological studies are needed, in order to establish actual safety thresholds.</w:t>
      </w:r>
    </w:p>
    <w:p w14:paraId="77F12CD9" w14:textId="55FFA14F" w:rsidR="002F069E" w:rsidRDefault="002F069E" w:rsidP="002F069E">
      <w:pPr>
        <w:pStyle w:val="BUMainText"/>
        <w:ind w:firstLine="720"/>
      </w:pPr>
      <w:r>
        <w:t>In their 1958 case series, Muller and Kugelberg were the first to describe muscle changes associated with long-term Cushing’s disease[81]. In their mixed, primary and secondary, endogenous hypercortisolic cohort, they found that complaints of muscle weakness were primarily localized on the thigh. Objective</w:t>
      </w:r>
      <w:r w:rsidR="00DD7DE1">
        <w:t xml:space="preserve"> </w:t>
      </w:r>
      <w:r>
        <w:t>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that hypercortisolism is correlated with faster extinction of the action potential, which is typically caused by a reduction in the number of muscle fibers, or by fiber atrophy[82]. Based on the evidence that CS is a muscle fiber disease, they coined the phrase “steroid myopathy” (in opposition to a hypothetical “neuropathy”). Similar electromyography changes are induced by long-term GC therapy[83], making some authors reserve the term “steroid myopathy” to muscle complaints</w:t>
      </w:r>
      <w:r w:rsidR="00DD7DE1">
        <w:t xml:space="preserve"> </w:t>
      </w:r>
      <w:r>
        <w:t>of iatrogenic etiology. In 1966, D’Agostino and Chiga, confirming histological fiber changes in a rabbit model of iatrogenic CS, formulated the more precise, yet less commonly used “glucocorticoid myopathy”[84]. Owing to the fact that glucocorticoid myopathy is not a standalone disease or syndrome, terminology has never been standardized. In the present work, the human condition will be designated glucocorticoid myopathy, while its animal models will be termed</w:t>
      </w:r>
      <w:r w:rsidR="00DD7DE1">
        <w:t xml:space="preserve"> </w:t>
      </w:r>
      <w:r>
        <w:t>GC-associated muscle loss (GAML).</w:t>
      </w:r>
    </w:p>
    <w:p w14:paraId="696B8FC6" w14:textId="0848EBB2" w:rsidR="002F069E" w:rsidRDefault="002F069E" w:rsidP="002F069E">
      <w:pPr>
        <w:pStyle w:val="BUMainText"/>
        <w:ind w:firstLine="720"/>
      </w:pPr>
      <w:r>
        <w:t>In exogenous CS, GC excess can be better quantified. In a population with neurological maladies receiving long-term Dexa, the threshold for manifest glucocorticoid myopathy appears to be 50 µg/(kg d)[85]. However, the most significant predictor of clinical GAML is total dose[79, 86]. When GAML develops, the amplitude of electromyography changes (that is, the reduction in action potential duration) is proportional with the total GC dose[87]. These findings imply that glucocorticoid myopathy can be induced in shorter periods, if</w:t>
      </w:r>
      <w:r w:rsidR="00DD7DE1">
        <w:t xml:space="preserve"> </w:t>
      </w:r>
      <w:r>
        <w:t>the GC dose is extremely high. Foye and colleagues drew a distinction between “classic” or “chronic” glucocorticoid myopathy, induced “within weeks to years,” and “acute” glucocorticoid myopathy, induced in 5-7 days of high-dose GC[88]. However, their description of the two forms of GAML is almost identical, suggesting that the two clinical entities are largely overlapping.</w:t>
      </w:r>
    </w:p>
    <w:p w14:paraId="2D3D973E" w14:textId="7BE11F70" w:rsidR="002F069E" w:rsidRDefault="002F069E" w:rsidP="002F069E">
      <w:pPr>
        <w:pStyle w:val="BUMainText"/>
        <w:ind w:firstLine="720"/>
      </w:pPr>
      <w:r>
        <w:t>In a comparative study of patients receiving GC therapy for asthma, half of the patients receiving more than 0.2 mg/(kg d) prednisone exhibited a reduction in</w:t>
      </w:r>
      <w:r w:rsidR="00DD7DE1">
        <w:t xml:space="preserve"> </w:t>
      </w:r>
      <w:r>
        <w:t>hip flexor strength of 2 SD or more, compared with healthy age- and sex-matched controls[80]. In a study of adults with brain or spine cancer, 60% of the participants experienced loss of iliopsoas muscle force in response to GC therapy for cerebral edema[79]. In a small cohort, 6 months of 0.16 mg/(kg d) prednisone treatment was associated with a 20% reduction in thigh muscle force, compared to healthy controls[89]. Such findings suggest that GC-induced weakness has functional consequences.</w:t>
      </w:r>
    </w:p>
    <w:p w14:paraId="5F4F273E" w14:textId="77B70E32" w:rsidR="002F069E" w:rsidRDefault="002F069E" w:rsidP="002F069E">
      <w:pPr>
        <w:pStyle w:val="BUMainText"/>
        <w:ind w:firstLine="720"/>
      </w:pPr>
      <w:r>
        <w:t>In a post-hoc analysis of a chronic obstructive pulmonary disease (COPD) trial, the placebo arm was stratified in GC-treated and GC-naive groups[90]. The maximal inspiratory mouth pressure, a proxy measurement for respiratory muscle strength, was significantly better maintained over the 8 weeks of the trial in the GC-naive, compared to GC-treated participants. Involvement of</w:t>
      </w:r>
      <w:r w:rsidR="00DD7DE1">
        <w:t xml:space="preserve"> </w:t>
      </w:r>
      <w:r>
        <w:t>partly-involuntary muscles further proves that glucocorticoid myopathy is caused by an objective muscle disorder, and negate the alternative, neuropsychiatric etiology.</w:t>
      </w:r>
    </w:p>
    <w:p w14:paraId="09716EED" w14:textId="4AEAACDD" w:rsidR="002F069E" w:rsidRDefault="002F069E" w:rsidP="002F069E">
      <w:pPr>
        <w:pStyle w:val="BUMainText"/>
        <w:ind w:firstLine="720"/>
      </w:pPr>
      <w:r>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w:t>
      </w:r>
      <w:r w:rsidR="00DD7DE1">
        <w:t xml:space="preserve"> </w:t>
      </w:r>
      <w:r>
        <w:t>are not sensitive enough in monitoring GC-induced muscle loss, even after subtracting skin fold, because GC stimulate intramuscular adipose deposits[91]. The advent of modern imaging allowed non-invasive muscle measurements. Chronic prednisone administration causes a 20% reduction in mid-thigh muscle area measured by computed tomography, and a 36% increase in the ratio of</w:t>
      </w:r>
      <w:r w:rsidR="00DD7DE1">
        <w:t xml:space="preserve"> </w:t>
      </w:r>
      <w:r>
        <w:t>fat-to-muscle areas (CT)[92]. Psoas muscle area and density, measured by computed tomography, are inversely correlated with GC levels indicated by</w:t>
      </w:r>
      <w:r w:rsidR="00DD7DE1">
        <w:t xml:space="preserve"> </w:t>
      </w:r>
      <w:r>
        <w:t>24-hour urine cortisol (24HUC)[93].</w:t>
      </w:r>
    </w:p>
    <w:p w14:paraId="1A40887C" w14:textId="3652EFF8" w:rsidR="002F069E" w:rsidRDefault="002F069E" w:rsidP="002F069E">
      <w:pPr>
        <w:pStyle w:val="BUMainText"/>
        <w:ind w:firstLine="720"/>
      </w:pPr>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gains in the ratio fast-to-slow twitch fibers are associated with insulin resistance[94]. In contrast, aging is correlated with preferential loss of fast fibers[95]. Reports of type-specific effects of GC are inconclusive. In one study, women with CS had an increased proportion of type</w:t>
      </w:r>
      <w:r w:rsidR="00DD7DE1">
        <w:t xml:space="preserve"> </w:t>
      </w:r>
      <w:r>
        <w:t>IIx (fast twitch, glycolytic) and a lower proportion of type I (slow twitch, oxidative) fibers in their vastus lateralis muscles[96]. Renal transplant patients receiving 25 mg/(kg d) prednisone over three months had lower cross-sectional area (CSA) in type IIa (slow twitch, oxidative / glycolytic) and I fibers[97]. Others found that all types of fibers are uniformly affected by GC[98]. This hypothesis was further followed in animal studies.</w:t>
      </w:r>
    </w:p>
    <w:p w14:paraId="380FFC49" w14:textId="12BAF412" w:rsidR="002F069E" w:rsidRDefault="002F069E" w:rsidP="002F069E">
      <w:pPr>
        <w:pStyle w:val="BUMainText"/>
        <w:ind w:firstLine="720"/>
      </w:pPr>
      <w:r>
        <w:t>A set of muscle mononucleate cells, expressing the paired-box transcription factor Pax7, are presumed to support muscle development and regeneration, and are termed satellite cells (reviewed in [99]). There are no definitive studies describing the effect of GC in human satellite cells. Some or all satellite cells may</w:t>
      </w:r>
      <w:r w:rsidR="00DD7DE1">
        <w:t xml:space="preserve"> </w:t>
      </w:r>
      <w:r>
        <w:t>be activated to proliferate, thus becoming myoblasts. Many in vitro assays use proliferating cells from human muscle, at times assumed to be myoblasts. These human “myoblasts” do not proliferate in the absence of at least 1 µM Dexa([100], and personal observation; data not shown). For comparison, maximum normal concentration of endogenous cortisol in humans is 0.78 µM[101], that is, tens of times less potent. Therefore, it is impossible to conceive an experiment where human myoblasts in culture are subjected to meaningful manipulations of GC concentration. The fact that GCs are vital for in vitro human muscle development and maintenance suggests that cell lines that do not require GC may be less accurate models of human muscle.</w:t>
      </w:r>
    </w:p>
    <w:p w14:paraId="584E3B29" w14:textId="77777777" w:rsidR="002F069E" w:rsidRDefault="002F069E" w:rsidP="002F069E">
      <w:pPr>
        <w:pStyle w:val="BUMainText"/>
        <w:ind w:firstLine="720"/>
      </w:pPr>
      <w:r>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1903BF3D" w14:textId="7CBF371F" w:rsidR="002F069E" w:rsidRDefault="002F069E" w:rsidP="002F069E">
      <w:pPr>
        <w:pStyle w:val="BUMainText"/>
        <w:ind w:firstLine="720"/>
      </w:pPr>
      <w:r>
        <w:t>GC therapy induces a massive loss of nitrogen, a side effect seen from its first trial[102]. The ample increase in urinary creatine and creatinine is evidence for upregulated tissue protein breakdown. As little as 20 µg/kg cortisol infused over 8 hours increases by a quarter the rate of appearance of leucine into the bloodstream, suggestive of acute proteolysis upregulation[103]. Leucine’s rate of appearance is even higher when the GC-induced hyperinsulinemia is prevented, indicating that whole-body experiments do not capture the amplitude of the</w:t>
      </w:r>
      <w:r w:rsidR="00DD7DE1">
        <w:t xml:space="preserve"> </w:t>
      </w:r>
      <w:r>
        <w:t>GC-induced proteolysis[104]. More modern mass spectrometric methods revealed that a single dose of 1 mg/kg prednisolone cause increases in all blood amino</w:t>
      </w:r>
      <w:r w:rsidR="00DD7DE1">
        <w:t xml:space="preserve"> </w:t>
      </w:r>
      <w:r>
        <w:t>acids, presumably due to mobilization from muscle sources[105]. The same acute treatment causes an increase in 3-methylhistidine (3MH), a non-recyclable</w:t>
      </w:r>
      <w:r w:rsidR="00DD7DE1">
        <w:t xml:space="preserve"> </w:t>
      </w:r>
      <w:r>
        <w:t>degradation product specific to muscle actin and myosin[106]. Similar increases in 3MH are seen with control diet in chronic GC excess of endogenous or exogenous nature[98]. These findings demonstrate that GC-induced loss of muscle mass is mediated by stimulation of protein degradation.</w:t>
      </w:r>
    </w:p>
    <w:p w14:paraId="3FCC53BD" w14:textId="77777777" w:rsidR="002F069E" w:rsidRDefault="002F069E" w:rsidP="002F069E">
      <w:pPr>
        <w:pStyle w:val="BUMainText"/>
        <w:ind w:firstLine="720"/>
      </w:pPr>
      <w:r>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proteasome[107].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 [108]).</w:t>
      </w:r>
    </w:p>
    <w:p w14:paraId="1CB54591" w14:textId="77777777" w:rsidR="002F069E" w:rsidRDefault="002F069E" w:rsidP="002F069E">
      <w:pPr>
        <w:pStyle w:val="BUMainText"/>
        <w:ind w:firstLine="720"/>
      </w:pPr>
      <w:r>
        <w:t>Recently, pharmacological inhibitors of the proteasome became widely available. The first proteasome inhibitor, bortezomib, is recommended by the FDA for multiple myeloma and mantle cell lymphoma[109]. The second generation, irreversible proteasome blocker carfilzomib is also approved for advanced myeloma therapy[110]. In the light of data from the animal models of muscle loss, these drugs should have been useful in cachexia, but, to date, no human trials investigated their ability to prevent muscle atrophy.</w:t>
      </w:r>
    </w:p>
    <w:p w14:paraId="33622CFB" w14:textId="22BF1CEA" w:rsidR="002F069E" w:rsidRDefault="002F069E" w:rsidP="002F069E">
      <w:pPr>
        <w:pStyle w:val="BUMainText"/>
        <w:ind w:firstLine="720"/>
      </w:pPr>
      <w:r>
        <w:t>There are no trials comparing GC with the combination (GC + bortezomib). However, an indirect comparison can be made. In a trial for multiple myeloma, fatigue was a complaint of 32% of the participants receiving 40 mg Dexa,</w:t>
      </w:r>
      <w:r w:rsidR="00DD7DE1">
        <w:t xml:space="preserve"> </w:t>
      </w:r>
      <w:r>
        <w:t>compared to 42% for bortezomib[111]. In another trial, addition of 20 mg Dexa to bortezomib lowered the rate of fatigue from 57% to 25%[112].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w:t>
      </w:r>
      <w:r w:rsidR="00DD7DE1">
        <w:t xml:space="preserve"> </w:t>
      </w:r>
      <w:r>
        <w:t>implications. Even proving the opposite, that bortezomib has no protective action, will be very valuable in better understanding and eventually preventing</w:t>
      </w:r>
      <w:r w:rsidR="00DD7DE1">
        <w:t xml:space="preserve"> </w:t>
      </w:r>
      <w:r>
        <w:t>GC-induced muscle loss.</w:t>
      </w:r>
    </w:p>
    <w:p w14:paraId="4F25642E" w14:textId="577B4902" w:rsidR="002F069E" w:rsidRDefault="002F069E" w:rsidP="002F069E">
      <w:pPr>
        <w:pStyle w:val="BUMainText"/>
        <w:ind w:firstLine="720"/>
      </w:pPr>
      <w:r>
        <w:t>The inhibition of the other proteolytic system, the autophagosome, is also the focus of clinical studies. Starting with the inexpensive antimalarials chloroquine and hydroxychloroquine, autophagosome inhibitors are now the focus of phase II clinical studies in many cancers[113]. Interestingly, hydroxychloroquine is also recommended for rheumatoid arthritis, where it may be prescribed for up to six months[114].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regulation[115]. In two separate case reports,</w:t>
      </w:r>
      <w:r w:rsidR="00DD7DE1">
        <w:t xml:space="preserve"> </w:t>
      </w:r>
      <w:r>
        <w:t>co-administration of prednisone and hydroxychloroquine led to vacuolar myopathy, which could be caused by the choice of doses, or could be indicative of true epistasis[116, 117]. Potential benefits of anti-lysosome co-therapy in glucocorticoid myopathy remain the subject of speculation.</w:t>
      </w:r>
    </w:p>
    <w:p w14:paraId="1555EAC1" w14:textId="1E927C59" w:rsidR="002F069E" w:rsidRDefault="002F069E" w:rsidP="002F069E">
      <w:pPr>
        <w:pStyle w:val="BUMainText"/>
        <w:ind w:firstLine="720"/>
      </w:pPr>
      <w:r>
        <w:t>Another putative parallel mechanism for GC-induced loss of muscle is</w:t>
      </w:r>
      <w:r w:rsidR="00DD7DE1">
        <w:t xml:space="preserve"> </w:t>
      </w:r>
      <w:r>
        <w:t>downregulation of protein synthesis. Few human trials measured directly the effect of GC on protein synthesis in healthy volunteers. Brillion and colleagues[104]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suggesting</w:t>
      </w:r>
      <w:r w:rsidR="00DD7DE1">
        <w:t xml:space="preserve"> </w:t>
      </w:r>
      <w:r>
        <w:t>a biphasic response. Löfberg and colleagues[107]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w:t>
      </w:r>
      <w:r w:rsidR="00DD7DE1">
        <w:t xml:space="preserve"> </w:t>
      </w:r>
      <w:r>
        <w:t>to the circulating tracer concentration. They concluded repeatedly that, in leg muscles, 35 mg / day prednisone for 6 days “has no effect on [...] muscle protein metabolism or muscle function”[118, 119]. Some of these studies may have been underpowered (sample size n = 6-7) or may be troubled by the use of a small dose. Nevertheless, their validity is confirmed by the fact that, in each case, the expected hyperglycemic response to GC was observed.</w:t>
      </w:r>
    </w:p>
    <w:p w14:paraId="1C1BA111" w14:textId="77777777" w:rsidR="002F069E" w:rsidRDefault="002F069E" w:rsidP="002F069E">
      <w:pPr>
        <w:pStyle w:val="BUMainText"/>
        <w:ind w:firstLine="720"/>
      </w:pPr>
      <w:r>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insulin[120], branched chain amino acids[121], and exercise[122].</w:t>
      </w:r>
    </w:p>
    <w:p w14:paraId="2965FC12" w14:textId="2CA83702" w:rsidR="002F069E" w:rsidRDefault="002F069E" w:rsidP="002F069E">
      <w:pPr>
        <w:pStyle w:val="BUMainText"/>
        <w:ind w:firstLine="720"/>
      </w:pPr>
      <w:r>
        <w:t>At a molecular level, it appears that Dexa inhibits anabolic signals centered on</w:t>
      </w:r>
      <w:r w:rsidR="00DD7DE1">
        <w:t xml:space="preserve"> </w:t>
      </w:r>
      <w:r>
        <w:t>the Akt / mechanistic target of rapamycin (mTOR) axis. Rather than directly repressing this axis, GCs appear to reduce sensitivity of this axis to upstream stimuli. One study on humans described how Dexa inhibits branched chain amino acids’ ability to induce phosphorylation of mTOR substrates eukaryotic</w:t>
      </w:r>
      <w:r w:rsidR="00DD7DE1">
        <w:t xml:space="preserve"> </w:t>
      </w:r>
      <w:r>
        <w:t>translation initiation factor 4E (eIF4E) binding protein (4E-BP) and</w:t>
      </w:r>
      <w:r w:rsidR="00DD7DE1">
        <w:t xml:space="preserve"> </w:t>
      </w:r>
      <w:r>
        <w:t>p70-S6K[123]. In the same study, Dexa had no effect on another translation regulator, the α subunit of the eukaryotic initiation factor 2 (eIF2). More evidence has been obtained from animal models (discussed in a dedicated section).</w:t>
      </w:r>
    </w:p>
    <w:p w14:paraId="128C9E15" w14:textId="283677A6" w:rsidR="000443DC" w:rsidRDefault="002F069E" w:rsidP="000443DC">
      <w:pPr>
        <w:pStyle w:val="BUMainText"/>
        <w:ind w:firstLine="720"/>
      </w:pPr>
      <w:r>
        <w:t>In addition to GC excess, muscle weakness is observed with GC withdrawal[124], and by GC deficiency, illustrated by the Addisonian crisis[125]. In both hypercortisolism and hypocortisolism, effects on human muscle remain understudied. Animal models have been essential for the study of GC-induced muscle loss (discussed in the dedicated section). Human studies agree that</w:t>
      </w:r>
      <w:r w:rsidR="00DD7DE1">
        <w:t xml:space="preserve"> </w:t>
      </w:r>
      <w:r>
        <w:t>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r w:rsidR="000C7509">
        <w:t>.</w:t>
      </w:r>
    </w:p>
    <w:p w14:paraId="0D086BD2" w14:textId="77777777" w:rsidR="000443DC" w:rsidRPr="000443DC" w:rsidRDefault="000C7509" w:rsidP="000443DC">
      <w:pPr>
        <w:pStyle w:val="Heading2"/>
        <w:rPr>
          <w:sz w:val="24"/>
        </w:rPr>
      </w:pPr>
      <w:bookmarkStart w:id="10" w:name="_Toc422950570"/>
      <w:r w:rsidRPr="000443DC">
        <w:rPr>
          <w:sz w:val="24"/>
        </w:rPr>
        <w:t>Muscle protection with androgen therapy</w:t>
      </w:r>
      <w:bookmarkEnd w:id="10"/>
    </w:p>
    <w:p w14:paraId="099BCB3B" w14:textId="0028E59F" w:rsidR="00DD7DE1" w:rsidRDefault="000443DC" w:rsidP="00DD7DE1">
      <w:pPr>
        <w:pStyle w:val="BUMainText"/>
        <w:ind w:firstLine="720"/>
      </w:pPr>
      <w:r>
        <w:t>A</w:t>
      </w:r>
      <w:r w:rsidR="00DD7DE1">
        <w:t xml:space="preserve"> series of historical circumstances brought anabolic androgenic steroids (AAS) in the attention of clinicians treating hypercortisolism in muscle. The same circumstances meant that utility of AAS therapy in glucocorticoid myopathy has never been fully explored.</w:t>
      </w:r>
    </w:p>
    <w:p w14:paraId="459E311D" w14:textId="1F2F80A8" w:rsidR="00DD7DE1" w:rsidRDefault="00DD7DE1" w:rsidP="00DD7DE1">
      <w:pPr>
        <w:pStyle w:val="BUMainText"/>
        <w:ind w:firstLine="720"/>
      </w:pPr>
      <w:r>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0166E932" w14:textId="24B4AF7D" w:rsidR="00DD7DE1" w:rsidRDefault="00DD7DE1" w:rsidP="00DD7DE1">
      <w:pPr>
        <w:pStyle w:val="BUMainText"/>
        <w:ind w:firstLine="720"/>
      </w:pPr>
      <w:r>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abilities[126]. He describes how, at the age of 72, a single injection enables him stand for hours, or write longer scientific papers. Later on, he describes how testis extracts appeared to alleviate “serious affections of any kind,” including cachexia, pulmonary tuberculosis, cancer and leprosy ulcers[127]. Because the active principle in testis is made as needed, rather than stored in high-concentration depots, Brown-Séquard’s injections must have contained very little male hormones. His observations were likely caused by the placebo effect.</w:t>
      </w:r>
    </w:p>
    <w:p w14:paraId="427C9330" w14:textId="3E98927B" w:rsidR="00DD7DE1" w:rsidRDefault="00DD7DE1" w:rsidP="00DD7DE1">
      <w:pPr>
        <w:pStyle w:val="BUMainText"/>
        <w:ind w:firstLine="720"/>
      </w:pPr>
      <w:r>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 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blueprint for GC discovery.</w:t>
      </w:r>
    </w:p>
    <w:p w14:paraId="40276983" w14:textId="77777777" w:rsidR="00DD7DE1" w:rsidRDefault="00DD7DE1" w:rsidP="00DD7DE1">
      <w:pPr>
        <w:pStyle w:val="BUMainText"/>
        <w:ind w:firstLine="720"/>
      </w:pPr>
      <w:r>
        <w:t>Second, the Victorian era was an age of body rediscovery. Georgian pastimes, such as cock fighting, horse racing, or cricket, were replaced by more muscular sports, such as football, rugby, gymnastics, and swimming. Bodybuilding became fashionable, with the first professional competition selling out Royal Albert Hall in 1901. Brown-Séquard’s promise of muscle without effort made testis organotherapy a widespread, well-earning business. When Voronoff was barred from practicing in Paris and judged as fraudulent by the Royal Society of Medicine, he took his testis transplant business to Algiers, where he received patients from all over the world (reviewed in [128]). Private sponsorship led to investment in androgen research, but with a focus on commercial rather than clinical efficacy.</w:t>
      </w:r>
    </w:p>
    <w:p w14:paraId="6C60BD7D" w14:textId="0900060D" w:rsidR="00DD7DE1" w:rsidRDefault="00DD7DE1" w:rsidP="00DD7DE1">
      <w:pPr>
        <w:pStyle w:val="BUMainText"/>
        <w:ind w:firstLine="720"/>
      </w:pPr>
      <w:r>
        <w:t>Finally, Brown-Séquard’s era tolerated unscientific theories, which ignored the physical and intellectual ability of women. Brown-Séquard claimed that ovary extracts provide some benefits, but with “less power” than testis extracts[127]. Such conclusions stemmed from cultural biases rather than comparative experiments. In 1849, Berthold showed that, through testis implants, roosters regain male characteristics they lost through castration, such as aggressiveness, libido, and larger combs[129].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anabolic[130]. While ultimately proven correct, the idea that “male hormones” were simultaneously androgenic, anabolic, and ergogenic was based on a cultural construct that confounded manliness and physical force, rather than the product of direct scientific evidence.</w:t>
      </w:r>
    </w:p>
    <w:p w14:paraId="07A1D4AA" w14:textId="6D666555" w:rsidR="00DD7DE1" w:rsidRDefault="00DD7DE1" w:rsidP="00DD7DE1">
      <w:pPr>
        <w:pStyle w:val="BUMainText"/>
        <w:ind w:firstLine="720"/>
      </w:pPr>
      <w:r>
        <w:t>The belief in a male-secreted ergogenic substance inspired many commercial enterprises to sponsor research in male endocrinology, through the decades where the evidence was confined to changes in the combs of roosters. These dark ages ended in 1927, when McGee and Koch extracted a lipophilic virilizing mixture from rooster testis[131, 132]. A pure and even more androgenic chemical was extracted in 1935 from bull testis by Laqueur, working for Organon[133]. Laqueur named his discovery testosterone (Testo). Three months later, Butenandt and Ruzicka, sponsored by Schering and Ciba respectively, announced the development of manufacturing methods for synthetic testosterone, an achievement that brought them the 1939 Nobel Chemistry Prize (reviewed in [134]). The first beneficiaries of the new drug were hypogonadal men, that is, adult males with pathological decreases in circulating Testo. At the University of Chicago, Kenyon tested Testo on four eunuchoid patients of testicular and pituitary etiology. Daily injections of 25 mg testosterone propionate (Tp) caused a doubling in prostate and penis size[135] after less than two weeks, thus establishing the efficacy of Testo replacement therapy in hypogonadal men. Except for a few, narrow exceptions, this population was and remains the sole generally accepted, FDA-approved indication for Testo therapy[136, 137, 138]. Recent Testo preparations are also recommended for some breast cancers, but this indication is describes as having small, unpredictable efficacy.</w:t>
      </w:r>
    </w:p>
    <w:p w14:paraId="1B47B5A1" w14:textId="64C5DC2F" w:rsidR="00DD7DE1" w:rsidRDefault="00DD7DE1" w:rsidP="00DD7DE1">
      <w:pPr>
        <w:pStyle w:val="BUMainText"/>
        <w:ind w:firstLine="720"/>
      </w:pPr>
      <w:r>
        <w:t>Due to manufacturing costs, limited commercial target, and governments’ lack of interest, Testo therapy traversed a very long experimental stage, which could easily be called “the second dark age of androgens.” Only in 1953, did the FDA give its first approval for an androgenic therapy, a Testo enanthate injection. Then, as now, FDA’s approval was based on Testo ability to restore normal levels of androgens, rather than other, more functional or curative, outcomes[137]. However, in 18 years of life as experimental drugs, androgenic steroids have been trialed in diverse diseases, including male functional impotence[139], unwanted lactation[140], uterine bleeding and dysmenorrhea[141], or osteoporosis[142]. These early studies share the extremely small sample size, and the scarcity of controls, blinding, and objective outcomes. For example, a study found that 14-35 injections of Tp (cumulative dose 255-455 mg) caused an improvement of acne in half of the male participants[143]. Such findings are at odds with more modern trials, where weekly i.m. androgen injection lead to an increase in absolute risk of acne by 15%, in healthy males[144], and are possibly explained by the variability in the androgen arm, small sample size (n = 12), lack of blinding, and early stopping in the placebo arm. Nevertheless, these trials are, in many cases, the only source of information about the action of Testo in the normogonadal population. For example, early trials of oral methyltestosterone revealed its hepatic toxicity. Fifty years later, those limited trials are still the main factor discouraging the development of oral synthetic androgenic therapies.</w:t>
      </w:r>
    </w:p>
    <w:p w14:paraId="3C749DCB" w14:textId="48B544B6" w:rsidR="00DD7DE1" w:rsidRDefault="00DD7DE1" w:rsidP="00DD7DE1">
      <w:pPr>
        <w:pStyle w:val="BUMainText"/>
        <w:ind w:firstLine="720"/>
      </w:pPr>
      <w:r>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 despite fixed dietary intake. Other trials evidenced benefits from androgenic therapy in muscle-depleting conditions, including thyrotoxic myopathy[145] and muscular dystrophy[146]. By 1940, Kenyon confirmed that Tp caused nitrogen retention, caused by increased protein accretion, even in healthy men and women[147]. In 1942, Samuels and colleagues concluded that Testo does not change grip strength in healthy males[148]. According to a meta-analysis[149] and my literature search, no other test of androgens’ effect on muscle strength was published until 1968. Despite the lack of evidence, androgens were used as ergogenics in healthy people, starting with Olympic athletes around 1954[150].</w:t>
      </w:r>
    </w:p>
    <w:p w14:paraId="555C3AA5" w14:textId="4453A585" w:rsidR="00DD7DE1" w:rsidRDefault="00DD7DE1" w:rsidP="00DD7DE1">
      <w:pPr>
        <w:pStyle w:val="BUMainText"/>
        <w:ind w:firstLine="720"/>
      </w:pPr>
      <w:r>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disease[151]. Similarly, in 1950, the Mayo Clinic team who discovered cortisone remarked that, in one case, 25 mg Tp daily injections reduced urinary nitrogen losses caused by 200 mg cortisone administration[13]. Some of the aforementioned researchers publish similar case reports, sharing the small sample size and the use of</w:t>
      </w:r>
      <w:r w:rsidR="004514EC">
        <w:t xml:space="preserve"> </w:t>
      </w:r>
      <w:r>
        <w:t>surrogate outcomes[152]. These shortcomings do not prevent each investigator from subjective claims of improvements in physical function.</w:t>
      </w:r>
    </w:p>
    <w:p w14:paraId="11804D3B" w14:textId="2C7BA050" w:rsidR="00DD7DE1" w:rsidRDefault="00DD7DE1" w:rsidP="00DD7DE1">
      <w:pPr>
        <w:pStyle w:val="BUMainText"/>
        <w:ind w:firstLine="720"/>
      </w:pPr>
      <w:r>
        <w:t>During the 1950’s, AAS became part of the standard of care for endogenous hypercortisolism during the gap between diagnosis and curative surgery. However, this gap narrowed to a few weeks, due to improvements in differential diagnosis. Today, development of accurate cortisol assays allowed the measurement of its changes in response to Dexa, thus discriminating conditions where feedback mechanisms fail (mainly endocrine neoplasms) from</w:t>
      </w:r>
      <w:r w:rsidR="004514EC">
        <w:t xml:space="preserve"> </w:t>
      </w:r>
      <w:r>
        <w:t>cortisol-stimulating non-endocrine conditions. ACTH assays differentiate</w:t>
      </w:r>
      <w:r w:rsidR="004514EC">
        <w:t xml:space="preserve"> </w:t>
      </w:r>
      <w:r>
        <w:t>ACTH-independent cases (typically adrenal tumors) from the ACTH-dependent ones (usually localized in the pituitary). Modern imaging, including computed tomography of the adrenal and magnetic resonance imaging of the pituitary, rapidly identify the target for surgery. AAS therapy is now confined to inoperable cases, including unidentified ectopic sources of ACTH or cortisone. Even these cases benefit from more targeted interventions (see Table 1).</w:t>
      </w:r>
    </w:p>
    <w:tbl>
      <w:tblPr>
        <w:tblStyle w:val="TableGrid"/>
        <w:tblW w:w="0" w:type="auto"/>
        <w:tblInd w:w="108" w:type="dxa"/>
        <w:tblLook w:val="04A0" w:firstRow="1" w:lastRow="0" w:firstColumn="1" w:lastColumn="0" w:noHBand="0" w:noVBand="1"/>
        <w:tblCaption w:val="My First Table"/>
      </w:tblPr>
      <w:tblGrid>
        <w:gridCol w:w="3600"/>
        <w:gridCol w:w="5004"/>
      </w:tblGrid>
      <w:tr w:rsidR="004514EC" w14:paraId="7EE16B88" w14:textId="77777777" w:rsidTr="000332A2">
        <w:trPr>
          <w:cantSplit/>
        </w:trPr>
        <w:tc>
          <w:tcPr>
            <w:tcW w:w="3600" w:type="dxa"/>
          </w:tcPr>
          <w:p w14:paraId="39C03A1C" w14:textId="1B2509DF" w:rsidR="004514EC" w:rsidRDefault="004514EC" w:rsidP="004514EC">
            <w:pPr>
              <w:pStyle w:val="BUMainText"/>
              <w:keepNext/>
              <w:keepLines/>
            </w:pPr>
            <w:bookmarkStart w:id="11" w:name="Table1"/>
            <w:r w:rsidRPr="004514EC">
              <w:t>Class</w:t>
            </w:r>
          </w:p>
        </w:tc>
        <w:tc>
          <w:tcPr>
            <w:tcW w:w="5004" w:type="dxa"/>
          </w:tcPr>
          <w:p w14:paraId="7F33BCDD" w14:textId="7109AB41" w:rsidR="004514EC" w:rsidRDefault="004514EC" w:rsidP="004514EC">
            <w:pPr>
              <w:pStyle w:val="BUMainText"/>
              <w:keepNext/>
              <w:keepLines/>
            </w:pPr>
            <w:r w:rsidRPr="004514EC">
              <w:t>Medications</w:t>
            </w:r>
          </w:p>
        </w:tc>
      </w:tr>
      <w:tr w:rsidR="004514EC" w14:paraId="16BCFAD5" w14:textId="77777777" w:rsidTr="000332A2">
        <w:trPr>
          <w:cantSplit/>
        </w:trPr>
        <w:tc>
          <w:tcPr>
            <w:tcW w:w="3600" w:type="dxa"/>
          </w:tcPr>
          <w:p w14:paraId="47F12C6A" w14:textId="7A4C4100" w:rsidR="004514EC" w:rsidRDefault="004514EC" w:rsidP="004514EC">
            <w:pPr>
              <w:pStyle w:val="BUMainText"/>
              <w:keepNext/>
              <w:keepLines/>
            </w:pPr>
            <w:r>
              <w:t>ACTH inhibitors</w:t>
            </w:r>
          </w:p>
        </w:tc>
        <w:tc>
          <w:tcPr>
            <w:tcW w:w="5004" w:type="dxa"/>
          </w:tcPr>
          <w:p w14:paraId="0F162AEE" w14:textId="77777777" w:rsidR="004514EC" w:rsidRDefault="004514EC" w:rsidP="004514EC">
            <w:pPr>
              <w:pStyle w:val="BUMainText"/>
              <w:keepNext/>
              <w:keepLines/>
              <w:numPr>
                <w:ilvl w:val="0"/>
                <w:numId w:val="1"/>
              </w:numPr>
            </w:pPr>
            <w:r>
              <w:t>Subtype 5 somatostatin receptor agonists: pasireotide (FDA-approved)[153]</w:t>
            </w:r>
          </w:p>
          <w:p w14:paraId="0A41BB59" w14:textId="5B181DFA" w:rsidR="004514EC" w:rsidRDefault="004514EC" w:rsidP="004514EC">
            <w:pPr>
              <w:pStyle w:val="BUMainText"/>
              <w:keepNext/>
              <w:keepLines/>
              <w:numPr>
                <w:ilvl w:val="0"/>
                <w:numId w:val="1"/>
              </w:numPr>
            </w:pPr>
            <w:r>
              <w:t>Dopamine D2 receptor blockers: cabergoline</w:t>
            </w:r>
          </w:p>
        </w:tc>
      </w:tr>
      <w:tr w:rsidR="004514EC" w14:paraId="2B2C6033" w14:textId="77777777" w:rsidTr="000332A2">
        <w:trPr>
          <w:cantSplit/>
        </w:trPr>
        <w:tc>
          <w:tcPr>
            <w:tcW w:w="3600" w:type="dxa"/>
          </w:tcPr>
          <w:p w14:paraId="7DDEB7F6" w14:textId="4C519F53" w:rsidR="004514EC" w:rsidRDefault="004514EC" w:rsidP="004514EC">
            <w:pPr>
              <w:pStyle w:val="BUMainText"/>
              <w:keepNext/>
              <w:keepLines/>
            </w:pPr>
            <w:r>
              <w:t>11-β hydroxylase inhibitors</w:t>
            </w:r>
          </w:p>
        </w:tc>
        <w:tc>
          <w:tcPr>
            <w:tcW w:w="5004" w:type="dxa"/>
          </w:tcPr>
          <w:p w14:paraId="64444C34" w14:textId="24F20294" w:rsidR="004514EC" w:rsidRDefault="004514EC" w:rsidP="004514EC">
            <w:pPr>
              <w:pStyle w:val="BUMainText"/>
              <w:keepNext/>
              <w:keepLines/>
            </w:pPr>
            <w:r>
              <w:t>Metyrapone, mitotane, ketoconazole.</w:t>
            </w:r>
          </w:p>
        </w:tc>
      </w:tr>
      <w:tr w:rsidR="004514EC" w14:paraId="63F63159" w14:textId="77777777" w:rsidTr="000332A2">
        <w:trPr>
          <w:cantSplit/>
        </w:trPr>
        <w:tc>
          <w:tcPr>
            <w:tcW w:w="3600" w:type="dxa"/>
          </w:tcPr>
          <w:p w14:paraId="485CE471" w14:textId="0BE7501D" w:rsidR="004514EC" w:rsidRDefault="004514EC" w:rsidP="000332A2">
            <w:pPr>
              <w:pStyle w:val="BUMainText"/>
              <w:keepNext/>
              <w:keepLines/>
            </w:pPr>
            <w:r>
              <w:t>Inhibitor of 3 β-hydroxysteroid dehydrogenase</w:t>
            </w:r>
          </w:p>
        </w:tc>
        <w:tc>
          <w:tcPr>
            <w:tcW w:w="5004" w:type="dxa"/>
          </w:tcPr>
          <w:p w14:paraId="2EB4AA4E" w14:textId="60EF0F42" w:rsidR="004514EC" w:rsidRDefault="004514EC" w:rsidP="004514EC">
            <w:pPr>
              <w:pStyle w:val="BUMainText"/>
              <w:keepNext/>
              <w:keepLines/>
            </w:pPr>
            <w:r w:rsidRPr="004514EC">
              <w:t>Trilostane (EMA-approved, FDA-withdrawn)[154]</w:t>
            </w:r>
          </w:p>
        </w:tc>
      </w:tr>
      <w:tr w:rsidR="004514EC" w14:paraId="1866F4BC" w14:textId="77777777" w:rsidTr="000332A2">
        <w:trPr>
          <w:cantSplit/>
        </w:trPr>
        <w:tc>
          <w:tcPr>
            <w:tcW w:w="3600" w:type="dxa"/>
          </w:tcPr>
          <w:p w14:paraId="1DE64BD6" w14:textId="7AEB0962" w:rsidR="004514EC" w:rsidRDefault="004514EC" w:rsidP="000332A2">
            <w:pPr>
              <w:pStyle w:val="BUMainText"/>
              <w:keepNext/>
              <w:keepLines/>
            </w:pPr>
            <w:r>
              <w:t>Inhibitor of the</w:t>
            </w:r>
            <w:r w:rsidR="000332A2">
              <w:t xml:space="preserve"> </w:t>
            </w:r>
            <w:r>
              <w:t>cholesterol side-chain cleavage enzyme</w:t>
            </w:r>
          </w:p>
        </w:tc>
        <w:tc>
          <w:tcPr>
            <w:tcW w:w="5004" w:type="dxa"/>
          </w:tcPr>
          <w:p w14:paraId="26F82317" w14:textId="24B448C1" w:rsidR="004514EC" w:rsidRDefault="004514EC" w:rsidP="004514EC">
            <w:pPr>
              <w:pStyle w:val="BUMainText"/>
              <w:keepNext/>
              <w:keepLines/>
            </w:pPr>
            <w:r w:rsidRPr="004514EC">
              <w:t>Aminoglutethimide</w:t>
            </w:r>
          </w:p>
        </w:tc>
      </w:tr>
      <w:tr w:rsidR="004514EC" w14:paraId="7CB30B01" w14:textId="77777777" w:rsidTr="000332A2">
        <w:trPr>
          <w:cantSplit/>
        </w:trPr>
        <w:tc>
          <w:tcPr>
            <w:tcW w:w="3600" w:type="dxa"/>
          </w:tcPr>
          <w:p w14:paraId="28E74D59" w14:textId="2A3BFD39" w:rsidR="004514EC" w:rsidRDefault="004514EC" w:rsidP="004514EC">
            <w:pPr>
              <w:pStyle w:val="BUMainText"/>
              <w:keepNext/>
              <w:keepLines/>
            </w:pPr>
            <w:r w:rsidRPr="004514EC">
              <w:t>GR antagonist</w:t>
            </w:r>
          </w:p>
        </w:tc>
        <w:tc>
          <w:tcPr>
            <w:tcW w:w="5004" w:type="dxa"/>
          </w:tcPr>
          <w:p w14:paraId="2942A4A5" w14:textId="41C46FB3" w:rsidR="004514EC" w:rsidRDefault="004514EC" w:rsidP="004514EC">
            <w:pPr>
              <w:pStyle w:val="BUMainText"/>
              <w:keepNext/>
              <w:keepLines/>
            </w:pPr>
            <w:r w:rsidRPr="004514EC">
              <w:t>Mifepristone (FDA-approved)[155]</w:t>
            </w:r>
          </w:p>
        </w:tc>
      </w:tr>
    </w:tbl>
    <w:p w14:paraId="4A9F3A76" w14:textId="38323F1B" w:rsidR="00F3373D" w:rsidRPr="000A05E4" w:rsidRDefault="00F3373D" w:rsidP="009B2F28">
      <w:pPr>
        <w:pStyle w:val="BUTableCaption"/>
        <w:rPr>
          <w:sz w:val="20"/>
          <w:szCs w:val="20"/>
        </w:rPr>
      </w:pPr>
      <w:bookmarkStart w:id="12" w:name="_Toc238869198"/>
      <w:bookmarkStart w:id="13" w:name="_Toc238880543"/>
      <w:bookmarkStart w:id="14" w:name="_Toc422950577"/>
      <w:bookmarkEnd w:id="11"/>
      <w:r w:rsidRPr="000A05E4">
        <w:rPr>
          <w:sz w:val="20"/>
          <w:szCs w:val="20"/>
        </w:rPr>
        <w:t xml:space="preserve">Table </w:t>
      </w:r>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r w:rsidRPr="000A05E4">
        <w:rPr>
          <w:sz w:val="20"/>
          <w:szCs w:val="20"/>
        </w:rPr>
        <w:t>.</w:t>
      </w:r>
      <w:r w:rsidR="004514EC">
        <w:rPr>
          <w:sz w:val="20"/>
          <w:szCs w:val="20"/>
        </w:rPr>
        <w:t xml:space="preserve"> </w:t>
      </w:r>
      <w:r w:rsidR="004514EC" w:rsidRPr="004514EC">
        <w:rPr>
          <w:sz w:val="20"/>
          <w:szCs w:val="20"/>
        </w:rPr>
        <w:t>Pharmacological agents used in Cushing’s disease of unidentified ectopic, or diffuse localization (reviewed in [1, 2])</w:t>
      </w:r>
      <w:bookmarkEnd w:id="12"/>
      <w:bookmarkEnd w:id="13"/>
      <w:bookmarkEnd w:id="14"/>
    </w:p>
    <w:p w14:paraId="67CB199F" w14:textId="77777777" w:rsidR="000332A2" w:rsidRDefault="000332A2" w:rsidP="000332A2">
      <w:pPr>
        <w:pStyle w:val="BUMainText"/>
        <w:ind w:firstLine="720"/>
      </w:pPr>
      <w:r>
        <w:t>Similarly, the opportunities for AAS as adjuvant to GC therapy are very limited. Many of the diseases previously treated by high-dose GC are now treated with higher-specificity drugs. As practitioners became more accustomed with the risks 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component[124]. By mid-1970’s, it became common advice that “prescriptions for [glucocorticoid] steroids should not be refillable”[156]. By the time modern trials with AAS began, the incidence of overt hypercortisolism decreased significantly. Despite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23F52BD1" w14:textId="77777777" w:rsidR="000332A2" w:rsidRDefault="000332A2" w:rsidP="000332A2">
      <w:pPr>
        <w:pStyle w:val="BUMainText"/>
        <w:ind w:firstLine="720"/>
      </w:pPr>
      <w:r>
        <w:t>An unblinded trial observed AAS-induced increases in lean body mass and appendicular muscle mass, in men already receiving an average of 6 mg prednisone a day over 9 years[157]. Another, randomized, blinded, placebo-controlled trial by Crawford and colleagues tested the benefits of testosterone or nandrolone decanoate as an adjuvant to chronic GC therapy for diverse pathologies[158]. The exposure to GC was an average of 12 mg prednisone a day, over more than 8 years, and was already causing osteopenia, hyperlipidemia, hypercholesterolemia, and a reduction in quality of life compared to historical controls[159].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6D85542A" w14:textId="5948B936" w:rsidR="00EA4B26" w:rsidRDefault="000332A2" w:rsidP="000332A2">
      <w:pPr>
        <w:pStyle w:val="BUMainText"/>
        <w:ind w:firstLine="720"/>
      </w:pPr>
      <w:r>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r w:rsidR="00F3373D">
        <w:t>.</w:t>
      </w:r>
    </w:p>
    <w:p w14:paraId="588CC8A6" w14:textId="7BEC7292" w:rsidR="00EA4B26" w:rsidRPr="00FE328A" w:rsidRDefault="00FE328A" w:rsidP="00EA4B26">
      <w:pPr>
        <w:pStyle w:val="Heading2"/>
        <w:rPr>
          <w:sz w:val="24"/>
        </w:rPr>
      </w:pPr>
      <w:r w:rsidRPr="00FE328A">
        <w:rPr>
          <w:sz w:val="24"/>
        </w:rPr>
        <w:t>Hypercortisolism-induced changes in endogenous androgens levels</w:t>
      </w:r>
    </w:p>
    <w:p w14:paraId="02E5F00D" w14:textId="77777777" w:rsidR="00FE328A" w:rsidRDefault="00FE328A" w:rsidP="00FE328A">
      <w:pPr>
        <w:pStyle w:val="BUMainText"/>
        <w:ind w:firstLine="720"/>
      </w:pPr>
      <w:r>
        <w:t>AAS therapy does not change circulating cortisol levels[160].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1937E7C3" w14:textId="77777777" w:rsidR="00FE328A" w:rsidRDefault="00FE328A" w:rsidP="00FE328A">
      <w:pPr>
        <w:pStyle w:val="BUMainText"/>
        <w:ind w:firstLine="720"/>
      </w:pPr>
      <w:r>
        <w:t>A series of trials observed the effect of short-term (hours or days) hypercortisolism in healthy volunteers. Experimental acute hypercortisolism represses circulating levels of Testo, in a reversible manner, in males and, to a lesser degree, in females[161, 162]. The mechanisms through which acute hypercortisolism causes Testo downregulation, also termed hypoandrogenism, are debated. Some studies suggested that acute hypercortisolism downregulates the pituitary-secreted, T-upregulating, luteinizing hormone (LH)[163, 164, 165].</w:t>
      </w:r>
      <w:r>
        <w:t xml:space="preserve"> </w:t>
      </w:r>
      <w:r>
        <w:t>Others found that GC induce hypoandrogenism even when LH is unchanged, thus locating the repression at gonad level[166]. Another hypothesis is that the negative feedback loop repressing ACTH in hypercortisolism has a side effect of</w:t>
      </w:r>
      <w:r>
        <w:t xml:space="preserve"> </w:t>
      </w:r>
      <w:r>
        <w:t>androgen suppression[167]. A few groups have even hypothesized the existence of another, still unknown hormone, synthesized from ACTH precursor,</w:t>
      </w:r>
      <w:r>
        <w:t xml:space="preserve"> </w:t>
      </w:r>
      <w:r>
        <w:t>pro-opiomelanocortin (POMC), with the ability to stimulate androstenedione synthesis and secretion[168, 169]. GC-induced repression of POMC would also repress this unknown androgen-stimulating hormone, but its existence was never proven.</w:t>
      </w:r>
    </w:p>
    <w:p w14:paraId="7B283798" w14:textId="77777777" w:rsidR="00FE328A" w:rsidRDefault="00FE328A" w:rsidP="00FE328A">
      <w:pPr>
        <w:pStyle w:val="BUMainText"/>
        <w:ind w:firstLine="720"/>
      </w:pPr>
      <w:r>
        <w:t>In males, chronic hypercortisolism is also associated with hypoandrogenism. Long-term prednisone therapy reduces circulating Testo levels[170]. Similar observations have been made in endogenous CS, where exposure is longer and, depending on etiology, ACTH may be higher than normal. As with acute studies,</w:t>
      </w:r>
      <w:r>
        <w:t xml:space="preserve"> </w:t>
      </w:r>
      <w:r>
        <w:t>multiple competing explanations were suggested. A study found that hypercortisolism impairs hypothalamic GnRH secretion of</w:t>
      </w:r>
      <w:r>
        <w:t xml:space="preserve"> </w:t>
      </w:r>
      <w:r>
        <w:t>gonadotropin-releasing hormone (GnRH), the main regulator of LH[171]. Others found that that CS is correlated with pathologically low levels of LH and of the other gonad-stimulating pituitary hormone, follicle stimulating hormone (FSH), despite normal GnRH secretion[172, 173]. This scenario suggests that hypercortisolism reduces pituitary’s GnRH responsiveness. Finally, a small study found that male asthma patients receiving long-term prednisone have lower circulating Testo levels despite increases in LH and FSH, and concluded that prednisone has a direct inhibitory action on the testes[174]. Despite disagreeing on the mechanism, all these studies agree that chronic hypercortisolism represses testicular androgen secretion.</w:t>
      </w:r>
    </w:p>
    <w:p w14:paraId="7F3CC3F0" w14:textId="77777777" w:rsidR="00FE328A" w:rsidRDefault="00FE328A" w:rsidP="00FE328A">
      <w:pPr>
        <w:pStyle w:val="BUMainText"/>
        <w:ind w:firstLine="720"/>
      </w:pPr>
      <w:r>
        <w:t>In adult women, the regulation of AAS is more complex. During reproductive age and a few years afterwards, the main source of androgenic stimulation is the ovary[175], where Testo is an intermediate product in the synthesis of estrogens (reviewed in [176]). A feedback loop links LH and estrogens levels, with LH directly stimulating synthesis and secretion of estrogens from the developing and atretic follicles[177]. The reverse link is more complex, with estrogens inhibiting LH for most of the menstrual cycle[178], with the possible exception of ovulation. In the direct link, LH must stimulate ovarian Testo synthesis in order to achieve estrogen upregulation, but a reverse link, where Testo directly inhibits LH, is absent in women[179, 180]. Although measurement methods and normal ranges are still to be perfected, it appears that circulating Testo level in women are reflecting the menstruation-related cyclical interplay of estrogen and LH, rather than being independently controlled[181, 182].</w:t>
      </w:r>
    </w:p>
    <w:p w14:paraId="6AA8AF04" w14:textId="77777777" w:rsidR="00FE328A" w:rsidRDefault="00FE328A" w:rsidP="00FE328A">
      <w:pPr>
        <w:pStyle w:val="BUMainText"/>
        <w:ind w:firstLine="720"/>
      </w:pPr>
      <w:r>
        <w:t>This sexual dimorphism differentiates male and female AAS response to</w:t>
      </w:r>
      <w:r>
        <w:t xml:space="preserve"> </w:t>
      </w:r>
      <w:r>
        <w:t>chronic hypercortisolism. Women with CS have lower muscle mass compared to general population[183]. Decreased libido, a sign of hypoandrogenism in both genders, is reported by 40% of female CS patients[65]. However, in contrast to males, females with CS have normal or even increased AAS synthesis and levels, compared to healthy controls[184, 185]. Four fifths of women with CS have menstrual irregularities, which has been attributed to hyperandrogenism, direct cortisol action, or depletion of LH or estradiol[171]. More than 75% of CS cases present with hirsutism, that is, male-patterned body and face hair growth in female patients, and a clear sign of hyperandrogenism[1, 65]. Women with</w:t>
      </w:r>
      <w:r>
        <w:t xml:space="preserve"> </w:t>
      </w:r>
      <w:r>
        <w:t>CS-related hirsutism have androgen levels higher than healthy controls[186]. Other signs of hyperandrogenism, such as voice changes or acne, are rare in female CS.</w:t>
      </w:r>
    </w:p>
    <w:p w14:paraId="3F5E79C9" w14:textId="77777777" w:rsidR="00FE328A" w:rsidRDefault="00FE328A" w:rsidP="00FE328A">
      <w:pPr>
        <w:pStyle w:val="BUMainText"/>
        <w:ind w:firstLine="720"/>
      </w:pPr>
      <w:r>
        <w:t>Indirect evidence suggests that apparent hyperandrogenism is also present in children with hypercortisolism. In pediatric hypercortisolism, virilization signs such as change in voice, penile or clitoridian overgrowth, and hirsutism are common[187, 188]. Published studies do not describe muscle changes in these children, possibly due to difficulties in assessment and scarcity of cases.</w:t>
      </w:r>
    </w:p>
    <w:p w14:paraId="31E84664" w14:textId="77777777" w:rsidR="00FE328A" w:rsidRDefault="00FE328A" w:rsidP="00FE328A">
      <w:pPr>
        <w:pStyle w:val="BUMainText"/>
        <w:ind w:firstLine="720"/>
      </w:pPr>
      <w:r>
        <w:t>In adult female CS, muscle catabolism increase contrasts with virilization and circulating androgens changes. This suggests that relative hyperandrogenism in some tissues is coincident with relative hypoandrogenism in others. For example, it has been shown that in cultured prostate cells excess GC improves the</w:t>
      </w:r>
      <w:r>
        <w:t xml:space="preserve"> </w:t>
      </w:r>
      <w:r>
        <w:t>sensitivity of the androgen receptor (AR)[189], the nuclear receptor mediating the action of AAS. In contrast, in women’s muscle, short-term Dexa inhibits AR expression [190]. It may be the case that GCs interfere with Testo signals in a tissue- or sex-specific manner.</w:t>
      </w:r>
    </w:p>
    <w:p w14:paraId="21B8B557" w14:textId="77777777" w:rsidR="00FE328A" w:rsidRDefault="00FE328A" w:rsidP="00FE328A">
      <w:pPr>
        <w:pStyle w:val="BUMainText"/>
        <w:ind w:firstLine="720"/>
      </w:pPr>
      <w:r>
        <w:t>In both sexes, the most concentrated circulating steroids are</w:t>
      </w:r>
      <w:r>
        <w:t xml:space="preserve"> </w:t>
      </w:r>
      <w:r>
        <w:t>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might be an AAS. Recent studies indicate that, in human female tissue, DHEA may in fact be a partial agonist, hindering the action of T[191]. DHEA and DHEAS, now termed adrenal androgen precursors (AAP), are upregulated by ACTH, through increased synthesis of DHEA in the adrenal and rapid bidirectional interconversion[192, 193]. Therefore, Cushing’s disease and other conditions associated with increases in ACTH will present with increases in AAPs, while primary hypercortisolism will be associated with ACTH repression and consequent AAP decrease[194, 195, 168, 196]. Both types of hypercortisolism</w:t>
      </w:r>
      <w:r>
        <w:t xml:space="preserve"> </w:t>
      </w:r>
      <w:r>
        <w:t>are associated with GAML, despite opposite effects on AAPs, suggesting that AAPs changes do not cause GAML directly. Understanding causality in the case of simultaneous muscle loss and hirsutism is complicated by dose- and</w:t>
      </w:r>
      <w:r>
        <w:t xml:space="preserve"> </w:t>
      </w:r>
      <w:r>
        <w:t>compound-dependent crossconversion of GCs to AAS and interference of GCs in</w:t>
      </w:r>
      <w:r>
        <w:t xml:space="preserve"> </w:t>
      </w:r>
      <w:r>
        <w:t>AAS synthesis and degradation.</w:t>
      </w:r>
    </w:p>
    <w:p w14:paraId="5BF2BEB8" w14:textId="445BA1F2" w:rsidR="001A02FD" w:rsidRDefault="00FE328A" w:rsidP="00FE328A">
      <w:pPr>
        <w:pStyle w:val="BUMainText"/>
        <w:ind w:firstLine="720"/>
      </w:pPr>
      <w:r>
        <w:t>Loss of endogenous AAS is associated with loss of muscle mass and strength[197, 198]. Perhaps for this reason, muscle wasting is more common in males than in females with endogenous CS[199].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w:t>
      </w:r>
      <w:r>
        <w:t xml:space="preserve"> </w:t>
      </w:r>
      <w:r>
        <w:t>low-normal circulating Testo[158]. Androgen therapy for muscle protection in CS</w:t>
      </w:r>
      <w:r>
        <w:t xml:space="preserve"> </w:t>
      </w:r>
      <w:r>
        <w:t>is predicted to benefit adult males, especially in the frequent cases of patent</w:t>
      </w:r>
      <w:r>
        <w:t xml:space="preserve"> </w:t>
      </w:r>
      <w:r>
        <w:t>hypogonadism</w:t>
      </w:r>
      <w:r>
        <w:t>.</w:t>
      </w:r>
    </w:p>
    <w:p w14:paraId="3F957B3E" w14:textId="77777777" w:rsidR="00FE328A" w:rsidRPr="00FE328A" w:rsidRDefault="00FE328A" w:rsidP="00FE328A">
      <w:pPr>
        <w:pStyle w:val="Heading2"/>
        <w:rPr>
          <w:sz w:val="24"/>
        </w:rPr>
      </w:pPr>
      <w:r w:rsidRPr="00FE328A">
        <w:rPr>
          <w:sz w:val="24"/>
        </w:rPr>
        <w:t>Molecular mechanisms of androgenic myoprotection in humans</w:t>
      </w:r>
    </w:p>
    <w:p w14:paraId="26245787" w14:textId="77777777" w:rsidR="00FE328A" w:rsidRDefault="00FE328A" w:rsidP="00FE328A">
      <w:pPr>
        <w:pStyle w:val="BUMainText"/>
        <w:ind w:firstLine="720"/>
      </w:pPr>
      <w:r>
        <w:t>GAML is a well-studied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42CC01BE" w14:textId="77777777" w:rsidR="00FE328A" w:rsidRDefault="00FE328A" w:rsidP="00FE328A">
      <w:pPr>
        <w:pStyle w:val="BUMainText"/>
        <w:ind w:firstLine="720"/>
      </w:pPr>
      <w:r>
        <w:t>Most commonly, studies of AAS on muscle are carried on hypogonadal men. In male primary hypogonadism, rates of cortisol synthesis and degradation are typically normal[200]. In this population, AAS therapy, even with low, “replacement” doses, causes an increase in muscle mass and force[201, 202]. The gain in muscle mass is caused mainly by an increase in protein synthesis, as evidenced by increased nonoxidative uptake of labeled leucine[202].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122D5989" w14:textId="77777777" w:rsidR="00FE328A" w:rsidRDefault="00FE328A" w:rsidP="00FE328A">
      <w:pPr>
        <w:pStyle w:val="BUMainText"/>
        <w:ind w:firstLine="720"/>
      </w:pPr>
      <w:r>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patients[203, 204]. This form of chemical castration causes decreases in both</w:t>
      </w:r>
      <w:r>
        <w:t xml:space="preserve"> </w:t>
      </w:r>
      <w:r>
        <w:t>protein synthesis and degradation[205], indicating that loss of muscle is caused by translation changes. In the prostate cancer study, correction of</w:t>
      </w:r>
      <w:r>
        <w:t xml:space="preserve"> </w:t>
      </w:r>
      <w:r>
        <w:t>leuprolide-induced hypoandrogenism by co-administration of Testo reversed most of the muscle mass losses, although mechanisms were not studied.</w:t>
      </w:r>
    </w:p>
    <w:p w14:paraId="4BA3C800" w14:textId="77777777" w:rsidR="00FE328A" w:rsidRDefault="00FE328A" w:rsidP="00FE328A">
      <w:pPr>
        <w:pStyle w:val="BUMainText"/>
        <w:ind w:firstLine="720"/>
      </w:pPr>
      <w:r>
        <w:t>The protective action of AAS therapy in iatrogenic hypoandrogenism is not affected by co-administration of an aromatase inhibitor such as anastrozole[206]. Aromatase converts Testo in estradiol. The continuing muscle protection when Testo cannot be converted to estrogens demonstrates that muscle protection is an intrinsic ability of Testo. A more plausible mediator for AAS is the insulin-like growth factor I (IGF-I), whose muscle expression is decreased by iatrogenic hypogonadism[205].</w:t>
      </w:r>
    </w:p>
    <w:p w14:paraId="02EDA5EB" w14:textId="77777777" w:rsidR="00FE328A" w:rsidRDefault="00FE328A" w:rsidP="00FE328A">
      <w:pPr>
        <w:pStyle w:val="BUMainText"/>
        <w:ind w:firstLine="720"/>
      </w:pPr>
      <w:r>
        <w:t>Another well-studies group comprises older men, whose Testo levels and muscle mass are naturally declining[207, 208]. An argument has been made about benefits of Testo replacement therapy in this population. Multiple clinical studies tested this hypothesis. In older men with low bioavailable Testo, muscle</w:t>
      </w:r>
      <w:r>
        <w:t xml:space="preserve"> </w:t>
      </w:r>
      <w:r>
        <w:t>mass and strength is improved by 200 mg Testo every other week[209, 210]. As in hypogonadal men, muscle recovery can be localized to the contractile cells, as indicated by increases in the CSA of fast- and slow-twitching fibers[211]. No evidence of fiber type switching or fiber type-specific effects in response to AAS therapy has been seen. Instead, histological studies reveal that elderly treated</w:t>
      </w:r>
      <w:r>
        <w:t xml:space="preserve"> </w:t>
      </w:r>
      <w:r>
        <w:t>with AAS have significantly more satellite cells[211].</w:t>
      </w:r>
    </w:p>
    <w:p w14:paraId="1F9BAC8E" w14:textId="77777777" w:rsidR="00FE328A" w:rsidRDefault="00FE328A" w:rsidP="00FE328A">
      <w:pPr>
        <w:pStyle w:val="BUMainText"/>
        <w:ind w:firstLine="720"/>
      </w:pPr>
      <w:r>
        <w:t>Testo improves the net balance between protein synthesis and degradation at muscle level[212]. The cause of protein accretion is an increase in protein synthesis, as shown by an augmentation of mixed-muscle FSR[213]. The increase in muscle fiber protein is correlated with an upregulation of circulating</w:t>
      </w:r>
      <w:r>
        <w:t xml:space="preserve"> </w:t>
      </w:r>
      <w:r>
        <w:t>N-terminal propeptide of type III procollagen[214], indicating that cellular</w:t>
      </w:r>
      <w:r>
        <w:t xml:space="preserve"> </w:t>
      </w:r>
      <w:r>
        <w:t>hypertrophy is paralleled by extracellular matrix remodeling.</w:t>
      </w:r>
    </w:p>
    <w:p w14:paraId="54D13463" w14:textId="77777777" w:rsidR="00FE328A" w:rsidRDefault="00FE328A" w:rsidP="00FE328A">
      <w:pPr>
        <w:pStyle w:val="BUMainText"/>
        <w:ind w:firstLine="720"/>
      </w:pPr>
      <w:r>
        <w:t>Ferrando and colleagues made the case for an anti-catabolic action of AAS in older men[215].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proteasome enzymatic activity following Testo therapy. The same group found a similar pattern of net gain in muscle protein, correlated with reduced catabolism and unchanged protein synthesis, in a short-term trial of Testo on men with</w:t>
      </w:r>
      <w:r>
        <w:t xml:space="preserve"> </w:t>
      </w:r>
      <w:r>
        <w:t>severe burns[216]. It is unclear why the anti-catabolic action of Testo did not garner more attention. The hypothesis that Testo inhibits protein degradation remains tempting, but better studies are needed.</w:t>
      </w:r>
    </w:p>
    <w:p w14:paraId="14A2D71A" w14:textId="77777777" w:rsidR="00FE328A" w:rsidRDefault="00FE328A" w:rsidP="00FE328A">
      <w:pPr>
        <w:pStyle w:val="BUMainText"/>
        <w:ind w:firstLine="720"/>
      </w:pPr>
      <w:r>
        <w:t>Perhaps provocatively, the protection of muscle force provided by Testo to the older hypogonadal men is not hindered by co-administration of finasteride, an inhibitor of 5α-reductase, which causes the transformation of Testo to</w:t>
      </w:r>
      <w:r>
        <w:t xml:space="preserve"> </w:t>
      </w:r>
      <w:r>
        <w:t>5α-dihydrotestosterone (DHT)[217]. Similarly, Testo muscle protection was present when another 5α-reductase inhibitor, dutasteride, was co-administered to a younger, possibly less hypoandrogenic cohort[218]. In human males,</w:t>
      </w:r>
      <w:r>
        <w:t xml:space="preserve"> </w:t>
      </w:r>
      <w:r>
        <w:t>conversion to DHT is not required or T’s regulation of muscle mass. Once more, a more plausible mediator of AAS is IGF-I, the peptide hormone upregulated by Testo in the muscle and in the serum of the older men[212, 219].</w:t>
      </w:r>
    </w:p>
    <w:p w14:paraId="6696B902" w14:textId="77777777" w:rsidR="00FE328A" w:rsidRDefault="00FE328A" w:rsidP="00FE328A">
      <w:pPr>
        <w:pStyle w:val="BUMainText"/>
        <w:ind w:firstLine="720"/>
      </w:pPr>
      <w:r>
        <w:t>There is no agreement on the balance of benefits and deleterious effects of Testo therapy for women[220, 221]. There is no FDA-approved Testo preparation for women. Therefore, the action of Testo in women remains an area of research</w:t>
      </w:r>
      <w:r>
        <w:t xml:space="preserve"> </w:t>
      </w:r>
      <w:r>
        <w:t>requiring further investigation.</w:t>
      </w:r>
    </w:p>
    <w:p w14:paraId="6AF0510F" w14:textId="77777777" w:rsidR="00FE328A" w:rsidRDefault="00FE328A" w:rsidP="00FE328A">
      <w:pPr>
        <w:pStyle w:val="BUMainText"/>
        <w:ind w:firstLine="720"/>
      </w:pPr>
      <w:r>
        <w:t>The best molecular observations on the action of Testo on muscle loss have been obtained from studies of HIV-positive men, who have significantly lower circulating Testo levels[222]. AAS delays loss of muscle mass in AIDS wasting syndrome, leading to better quality of life[223]. Microarray analysis indicated that T-treated muscle upregulated expression of genes from the IGF-I- and</w:t>
      </w:r>
      <w:r>
        <w:t xml:space="preserve"> </w:t>
      </w:r>
      <w:r>
        <w:t>AR-stimulated signaling pathways[224]. Immunoblot confirmatory studies indicated that Testo caused the activation of a key component of the IGF-I signaling pathway, the protein kinase B, also known as Akt, by increasing its Ser-473 phosphorylation. Other genes upregulated by Testo are muscle</w:t>
      </w:r>
      <w:r>
        <w:t xml:space="preserve"> </w:t>
      </w:r>
      <w:r>
        <w:t>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 (described in [225, 226]), or of the two E3 ligases typically associated with muscle loss, MAFbx and MuRF-1 (described in [227, 228]).</w:t>
      </w:r>
    </w:p>
    <w:p w14:paraId="29F3BA21" w14:textId="77777777" w:rsidR="00FE328A" w:rsidRDefault="00FE328A" w:rsidP="00FE328A">
      <w:pPr>
        <w:pStyle w:val="BUMainText"/>
        <w:ind w:firstLine="720"/>
      </w:pPr>
      <w:r>
        <w:t>The histological and molecular findings from hypogonadal and HIV-positive males receiving AAS have been confirmed in many other pathologies that cause loss of muscle. AAS therapy improves muscle mass and strength in males with chronic kidney disease and liver cirrhosis[229, 230]. In men with COPD, 100 mg Testo enanthate injected weekly led to improvements in muscle mass and strength, potentially augmenting quality of life[231]. These improvements are</w:t>
      </w:r>
      <w:r>
        <w:t xml:space="preserve"> </w:t>
      </w:r>
      <w:r>
        <w:t>caused by an increase in fiber CSA, regardless of fiber type, and by an upregulation of the IGF-I mRNA isoforms IGF-IEa and IGF-IEc[232]. In both COPD and</w:t>
      </w:r>
      <w:r>
        <w:t xml:space="preserve"> </w:t>
      </w:r>
      <w:r>
        <w:t>HIV-positive men, Testo upregulated isoform 3, also known as embryonic, MyHC.</w:t>
      </w:r>
    </w:p>
    <w:p w14:paraId="75EAE780" w14:textId="77777777" w:rsidR="00FE328A" w:rsidRDefault="00FE328A" w:rsidP="00FE328A">
      <w:pPr>
        <w:pStyle w:val="BUMainText"/>
        <w:ind w:firstLine="720"/>
      </w:pPr>
      <w:r>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damage[233]. A randomized trial showed that heart failure patients improve their muscle force</w:t>
      </w:r>
      <w:r>
        <w:t xml:space="preserve"> </w:t>
      </w:r>
      <w:r>
        <w:t>with AAS therapy[234, 235]. However, a series of recent studies found deleterious cardiovascular effects of AAS[236, 237],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4AA1E396" w14:textId="77777777" w:rsidR="00FE328A" w:rsidRDefault="00FE328A" w:rsidP="00FE328A">
      <w:pPr>
        <w:pStyle w:val="BUMainText"/>
        <w:ind w:firstLine="720"/>
      </w:pPr>
      <w:r>
        <w:t>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In their absence, our insights into glucocorticoid myopathy and AAS muscle protection come from animal and in vitro experiments, discussed in the next section.</w:t>
      </w:r>
    </w:p>
    <w:p w14:paraId="75FE2041" w14:textId="77777777" w:rsidR="002112A0" w:rsidRDefault="002112A0" w:rsidP="002112A0">
      <w:pPr>
        <w:pStyle w:val="BUMainText"/>
        <w:ind w:firstLine="720"/>
        <w:sectPr w:rsidR="002112A0"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2E7FFF44" w14:textId="77777777" w:rsidR="00FE328A" w:rsidRDefault="00FE328A" w:rsidP="00FE328A">
      <w:pPr>
        <w:pStyle w:val="Heading1"/>
      </w:pPr>
      <w:r>
        <w:t>BIOLOGICAL PREMISES</w:t>
      </w:r>
    </w:p>
    <w:p w14:paraId="31B9AB03" w14:textId="20D29E44" w:rsidR="00FE328A" w:rsidRPr="00FE328A" w:rsidRDefault="00FE328A" w:rsidP="00FE328A">
      <w:pPr>
        <w:pStyle w:val="Heading2"/>
        <w:rPr>
          <w:sz w:val="24"/>
          <w:szCs w:val="24"/>
        </w:rPr>
      </w:pPr>
      <w:r w:rsidRPr="00FE328A">
        <w:rPr>
          <w:sz w:val="24"/>
          <w:szCs w:val="24"/>
        </w:rPr>
        <w:t>Skeletal muscle histology</w:t>
      </w:r>
    </w:p>
    <w:p w14:paraId="799389DB" w14:textId="77777777" w:rsidR="00FE328A" w:rsidRDefault="00FE328A" w:rsidP="00FE328A">
      <w:pPr>
        <w:pStyle w:val="BUMainText"/>
        <w:ind w:firstLine="720"/>
      </w:pPr>
      <w:r>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women[238]. Three fifths of the human body’s protein is confined to the muscle contractile and support structures[239].</w:t>
      </w:r>
    </w:p>
    <w:p w14:paraId="0A81737B" w14:textId="63E75055" w:rsidR="00FE328A" w:rsidRDefault="00FE328A" w:rsidP="00FE328A">
      <w:pPr>
        <w:pStyle w:val="BUMainText"/>
        <w:ind w:firstLine="720"/>
      </w:pPr>
      <w:r>
        <w:t>For the most part, the skeletal muscles confer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 proteinic auxiliary structures. The largest of these structures, tendons and aponeuroses, attach the muscle to other body structures (reviewed in [240]).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multinucleate, elongated cell (termed myofiber). The connective tissue inside the muscle provides mechanical anchoring between fibers, longitudinally, laterally</w:t>
      </w:r>
      <w:r>
        <w:t xml:space="preserve"> </w:t>
      </w:r>
      <w:r>
        <w:t>and with the tendons. This is particularly true of perimysium, which is almost acellular, at 95% collagen content[241]. Intramuscular connective structures carry terminal branches of the nervous, circulatory and lymphatic systems. In addition, muscles include adipose and immune cells. Muscle mass changes require</w:t>
      </w:r>
      <w:r>
        <w:t xml:space="preserve"> </w:t>
      </w:r>
      <w:r>
        <w:t>remodeling of all these connective structures, and may confound in vivo studies. For example, collagen synthesis or macrophage proliferation may misleadingly increase during slow muscle atrophy.</w:t>
      </w:r>
    </w:p>
    <w:p w14:paraId="4007E2F4" w14:textId="77777777" w:rsidR="00FE328A" w:rsidRDefault="00FE328A" w:rsidP="00FE328A">
      <w:pPr>
        <w:pStyle w:val="BUMainText"/>
        <w:ind w:firstLine="720"/>
      </w:pPr>
      <w:r>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protein[242].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For example, in rat muscles atrophying due to streptozotocin-induced acute diabetes, an actin degradation fragment becomes upregulated to detectable levels [243]. Therefore, in atrophy studies, normalization to actin may misleadingly reduce the apparent rate of depletion for other proteins. Similar issues govern the use of 3MH as a marker for myofibril protein catabolism. Given that the main correlate of urinary 3MH is muscle mass[244], 3MH measurement may lack sensitivity when used as an indicator for muscle catabolic rate. On one hand, increased catabolism is expected to cause increased 3MH output, but on the other, an atrophic muscle has less 3MH to release.</w:t>
      </w:r>
    </w:p>
    <w:p w14:paraId="0E7C1505" w14:textId="77777777" w:rsidR="00FE328A" w:rsidRDefault="00FE328A" w:rsidP="00FE328A">
      <w:pPr>
        <w:pStyle w:val="BUMainText"/>
        <w:ind w:firstLine="720"/>
      </w:pPr>
      <w:r>
        <w:t>Myofibers acquire nuclei by fusion with surrounding proliferative mononucleate cells, or with neighboring myofibers. Two classes of mononucleate cells are relevant for muscle structure and development. Satellite cells are</w:t>
      </w:r>
      <w:r>
        <w:t xml:space="preserve"> </w:t>
      </w:r>
      <w:r>
        <w:t>Pax7-positive, mononuclear, nearly devoid of cytosol, sitting in close proximity to the fiber, under the proteinic external lamina (reviewed in [245]).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muscle[246]. The transformation of quiescent satellite cells into proliferating myoblast is regulated by the interplay of growth factors, external lamina, and contact with myofibers[247]. Alternate</w:t>
      </w:r>
      <w:r>
        <w:t xml:space="preserve"> </w:t>
      </w:r>
      <w:r>
        <w:t>extra-muscular sources of nuclei in the myofiber are subject of ongoing research, but their relative importance is expected to be minor at best (reviewed in [248]).</w:t>
      </w:r>
    </w:p>
    <w:p w14:paraId="0364F6B3" w14:textId="77777777" w:rsidR="00FE328A" w:rsidRDefault="00FE328A" w:rsidP="00FE328A">
      <w:pPr>
        <w:pStyle w:val="BUMainText"/>
        <w:ind w:firstLine="720"/>
      </w:pPr>
      <w:r>
        <w:t>Experimentally, α7 integrin is an effective marker for selecting proliferative precursors from muscle[249].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750AE825" w14:textId="77777777" w:rsidR="00FE328A" w:rsidRDefault="00FE328A" w:rsidP="00FE328A">
      <w:pPr>
        <w:pStyle w:val="BUMainText"/>
        <w:ind w:firstLine="720"/>
      </w:pPr>
      <w:r>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changes[250, 251], suggesting hypertrophy of existing fibers, but not additional cell division. Quail muscles depleted of proliferating cells by irradiation still undergo hypertrophy in response to stretch-overload[252]. These examples of amitotic hypertrophy demonstrate that, in some circumstances, the number of nuclei is not limiting muscle growth. Conversely, it is plausible that a moderate</w:t>
      </w:r>
      <w:r>
        <w:t xml:space="preserve"> </w:t>
      </w:r>
      <w:r>
        <w:t>degree of muscle atrophy occurs without loss of nuclei.</w:t>
      </w:r>
    </w:p>
    <w:p w14:paraId="2B1F7DAC" w14:textId="77777777" w:rsidR="00FE328A" w:rsidRDefault="00FE328A" w:rsidP="00FE328A">
      <w:pPr>
        <w:pStyle w:val="BUMainText"/>
        <w:ind w:firstLine="720"/>
      </w:pPr>
      <w:r>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71C9ACE6" w14:textId="77777777" w:rsidR="00FE328A" w:rsidRPr="00FE328A" w:rsidRDefault="00FE328A" w:rsidP="00FE328A">
      <w:pPr>
        <w:pStyle w:val="Heading2"/>
        <w:rPr>
          <w:sz w:val="24"/>
          <w:szCs w:val="24"/>
        </w:rPr>
      </w:pPr>
      <w:r w:rsidRPr="00FE328A">
        <w:rPr>
          <w:sz w:val="24"/>
          <w:szCs w:val="24"/>
        </w:rPr>
        <w:t>Pre-adult muscle development</w:t>
      </w:r>
    </w:p>
    <w:p w14:paraId="4F1E3C69" w14:textId="77777777" w:rsidR="00FE328A" w:rsidRDefault="00FE328A" w:rsidP="00FE328A">
      <w:pPr>
        <w:pStyle w:val="BUMainText"/>
        <w:ind w:firstLine="720"/>
      </w:pPr>
      <w:r>
        <w:t>In humans, immediately after birth, the number of satellite cells is much higher than in the adult, but drops by an order of magnitude between birth and 10 years[253]. This decay carries on throughout the lifetime at a slower rate. In mice, muscle growth at puberty is associated with a massive shift of nuclei from the satellite cells to the myofibers[254]. Perinatal Pax7 knockout reduces muscle ability to regenerate, while its genetic depletion in utero or at adulthood does not exhibit pathological traits[255], suggesting that juvenile muscle growth is distinct from muscle development at other ages.</w:t>
      </w:r>
    </w:p>
    <w:p w14:paraId="78178C5C" w14:textId="77777777" w:rsidR="00FE328A" w:rsidRDefault="00FE328A" w:rsidP="00FE328A">
      <w:pPr>
        <w:pStyle w:val="BUMainText"/>
        <w:ind w:firstLine="720"/>
      </w:pPr>
      <w:r>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 [256]). The latter contain the earliest cells expressing muscle regulatory factors (MRF). These embryonic epaxial and hypaxial muscles develop into trunk and limb muscles. Early on, limb muscle</w:t>
      </w:r>
      <w:r>
        <w:t xml:space="preserve"> </w:t>
      </w:r>
      <w:r>
        <w:t>precursors express myogenic factor (Myf) 5, due to stimulation from the transcription factor Pax3[257, 258]. Myf5 is a strong inductor of the muscle phenotype, with the ability to convert embryonic fibroblasts to myosin-containing syncytia[259]. Cranial muscle formation is coordinated in a slightly different manner, through the transcription factors T-box (Tbx) 1 and paired-like homeodomain (Pitx) 2 (reviewed in [260]). Once this early stage is completed, later fetal muscle progenitors converge to a phenotype remarkable for the expression of the MRF MyoD, due to stimulation by the transcription factor Pax7[261]. MyoD knockout mice are normal, with Myf5 supplanting its absence[262]. In the Online Mendelian Inheritance in Man (OMIM) database, there is no reported case of human mutation of Myf5 or MyoD, further supporting the idea of duplicate function.</w:t>
      </w:r>
    </w:p>
    <w:p w14:paraId="781FC9EA" w14:textId="77777777" w:rsidR="00FE328A" w:rsidRDefault="00FE328A" w:rsidP="00FE328A">
      <w:pPr>
        <w:pStyle w:val="BUMainText"/>
        <w:ind w:firstLine="720"/>
      </w:pPr>
      <w:r>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cycle[263]. Subsequent changes include expression of muscle-specific enzymes and contractile proteins[264], of a fourth MRF, the myogenic regulatory factor 4 (Mrf4)[265], and, finally, acquisition of fusogenic abilities. In humans, by the seventh week of gestation, the initial wave of myoblast fusion slows down, and a second proliferative stage starts. The latter tapers off, leading to formation of secondary myotubes within the same laminar sheath with</w:t>
      </w:r>
      <w:r>
        <w:t xml:space="preserve"> </w:t>
      </w:r>
      <w:r>
        <w:t>a primary myotube. Around the seventeenth week, some secondary myotubes migrate to form independent centers of coalescence for a third set of myotubes[266].</w:t>
      </w:r>
    </w:p>
    <w:p w14:paraId="16726CAF" w14:textId="77777777" w:rsidR="00FE328A" w:rsidRDefault="00FE328A" w:rsidP="00FE328A">
      <w:pPr>
        <w:pStyle w:val="BUMainText"/>
        <w:ind w:firstLine="720"/>
      </w:pPr>
      <w:r>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cells[267]. Phenotypic differences between myostatin-null and wild-type mice develop by the second week of embryogenesis, prior to the moment when differences in protein synthesis would become relevant[268]. Similarly, the few reports of viable human mutations in the myostatin gene concern newborns with unusually large muscles[269]. Because myostatin defects cause even ampler increases in muscle mass after</w:t>
      </w:r>
      <w:r>
        <w:t xml:space="preserve"> </w:t>
      </w:r>
      <w:r>
        <w:t>birth[270, 269], it is possible that myostatin acts through parallel, mitotic and non-mitotic, mechanisms.</w:t>
      </w:r>
    </w:p>
    <w:p w14:paraId="3131315A" w14:textId="77777777" w:rsidR="00FE328A" w:rsidRDefault="00FE328A" w:rsidP="00FE328A">
      <w:pPr>
        <w:pStyle w:val="BUMainText"/>
        <w:ind w:firstLine="720"/>
      </w:pPr>
      <w:r>
        <w:t>IGF-I has a similar composite effect. In chick embryos, overexpression of IGF-I induces a rapid increase in the ratio of myoblast to myofiber nuclei, while fiber density is unchanged[271]. In addition to the hyperplastic effect, IGF-I stimulates protein anabolism in prenatal muscle[272]. Defects in IGF-1R signaling determine low birth weight and subsequent growth retardation in humans and transgenic mice[273, 274]. As in myostatin’s case, it is difficult to separate mitotic and non-mitotic effects of IGF-I.</w:t>
      </w:r>
    </w:p>
    <w:p w14:paraId="13665F6A" w14:textId="77777777" w:rsidR="00FE328A" w:rsidRDefault="00FE328A" w:rsidP="00FE328A">
      <w:pPr>
        <w:pStyle w:val="BUMainText"/>
        <w:ind w:firstLine="720"/>
      </w:pPr>
      <w:r>
        <w:t>The adult satellite cells are derived from a subset of fetal Pax3+ Pax7+ cells.</w:t>
      </w:r>
      <w:r>
        <w:t xml:space="preserve"> </w:t>
      </w:r>
      <w:r>
        <w:t>Because some cells, such as bone marrow stem cells and pericytes, have the ability to fuse with myotubes in vitro, the muscle stem cell population was hypothesized to include extra-muscular self-renewing cells[275, 276]. However, after the age of</w:t>
      </w:r>
      <w:r>
        <w:t xml:space="preserve"> </w:t>
      </w:r>
      <w:r>
        <w:t>20, human muscle nuclei maintain an almost constant length of telomeres, suggesting that mitosis and recruitment of extramuscular cells are rare phenomena[277]. Moreover, the proportion of resident satellite cells with</w:t>
      </w:r>
      <w:r>
        <w:t xml:space="preserve"> </w:t>
      </w:r>
      <w:r>
        <w:t>proliferating abilities decreases with age, as more of them approach the Hayflick limit[278]. As evidenced by studies such as the New Mexico Elder Health Survey,</w:t>
      </w:r>
      <w:r>
        <w:t xml:space="preserve"> </w:t>
      </w:r>
      <w:r>
        <w:t>1993-1995, aging is associated with accelerated loss of muscle mass[279].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6C6AE97F" w14:textId="77777777" w:rsidR="00FE328A" w:rsidRPr="00FE328A" w:rsidRDefault="00FE328A" w:rsidP="00FE328A">
      <w:pPr>
        <w:pStyle w:val="Heading2"/>
        <w:rPr>
          <w:sz w:val="24"/>
          <w:szCs w:val="24"/>
        </w:rPr>
      </w:pPr>
      <w:r w:rsidRPr="00FE328A">
        <w:rPr>
          <w:sz w:val="24"/>
          <w:szCs w:val="24"/>
        </w:rPr>
        <w:t>Physiological muscle metabolism</w:t>
      </w:r>
    </w:p>
    <w:p w14:paraId="64CAE2E7" w14:textId="77777777" w:rsidR="00FE328A" w:rsidRDefault="00FE328A" w:rsidP="00FE328A">
      <w:pPr>
        <w:pStyle w:val="BUMainText"/>
        <w:ind w:firstLine="720"/>
      </w:pPr>
      <w:r>
        <w:t>Muscle is a major energy user in the body, with a skewed use of fat during rest and glucose during exercise (reviewed in [280, 281]).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muscle[282].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triglycerides[283]. Ongoing studies suggest that muscle oxidative (catabolic) uptake of NEFA is upregulated by peroxisome proliferator-activated receptor (PPAR) β/δ, which stimulates expression of the lipolysis rate-limiting enzyme, carnitine palmitoyltransferase I[284, 285]. This hypothesis is supported by fast- and exercise-induced upregulation of muscle PPAR δ[286, 287]. Moreover, PPAR δ overexpression leads to increase in type I fibers and</w:t>
      </w:r>
      <w:r>
        <w:t xml:space="preserve"> </w:t>
      </w:r>
      <w:r>
        <w:t>subsequent resistance to high-fat diet[284]. Organ-level studies are impaired by the existence of nontrivial intramuscular adipose tissue.</w:t>
      </w:r>
    </w:p>
    <w:p w14:paraId="0BF58627" w14:textId="77777777" w:rsidR="00FE328A" w:rsidRDefault="00FE328A" w:rsidP="00FE328A">
      <w:pPr>
        <w:pStyle w:val="BUMainText"/>
        <w:ind w:firstLine="720"/>
      </w:pPr>
      <w:r>
        <w:t>The work described in this dissertation relies extensively on the C2C12 cell line, an immortalized female mouse muscle progenitor line obtained from a muscle recovering after mechanical injury. Treatment of confluent C2C12 cells with Dexa and 3-isobutyl-1-methylxanthine (IBMX) causes their differentiation into adipocytes[288]. Some pre-adipocyte traits, such as upregulation of PPAR γ, Krüppel-like factor-15 (Klf15), and CCAAT-enhancer-binding protein (C/EBP) β and δ ([289]; reviewed in [290]), may surface in cell culture experiments where muscle differentiation did not complete, and residual potential for adipogenesis remains (see, for example, [291]). An in vitro shift to a more adipose-like phenotype may be associated with diminished cell fusion ability, lower protein synthesis, and lower mitochondrial content, which may be misinterpreted as muscle atrophy.</w:t>
      </w:r>
    </w:p>
    <w:p w14:paraId="1C540926" w14:textId="77777777" w:rsidR="00FE328A" w:rsidRDefault="00FE328A" w:rsidP="00FE328A">
      <w:pPr>
        <w:pStyle w:val="BUMainText"/>
        <w:ind w:firstLine="720"/>
      </w:pPr>
      <w:r>
        <w:t>In humans, up to 90% of the glucose absorbed after a meal is removed from circulation by the skeletal muscles[292, 293], meaning that muscles should have a paramount role in the development of insulin resistance and eventually diabetes mellitus. After normal feeding, muscle builds polysaccharides reserves, in part because it can synthesize and deposit the largest glycogen stores in the body, and because it cannot release glucose.</w:t>
      </w:r>
    </w:p>
    <w:p w14:paraId="320C3B75" w14:textId="77777777" w:rsidR="00FE328A" w:rsidRDefault="00FE328A" w:rsidP="00FE328A">
      <w:pPr>
        <w:pStyle w:val="BUMainText"/>
        <w:ind w:firstLine="720"/>
      </w:pPr>
      <w:r>
        <w:t>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gluconeogenetic</w:t>
      </w:r>
      <w:r>
        <w:t xml:space="preserve"> </w:t>
      </w:r>
      <w:r>
        <w:t>mechanism employs the intramuscular transamination of excess pyruvate to the amino acid alanine. Muscle-released alanine is converted by liver to glucose, especially at times when dietary carbohydrate intake is inadequate.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acids[294].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102779D0" w14:textId="77777777" w:rsidR="00FE328A" w:rsidRDefault="00FE328A" w:rsidP="00FE328A">
      <w:pPr>
        <w:pStyle w:val="BUMainText"/>
        <w:ind w:firstLine="720"/>
      </w:pPr>
      <w:r>
        <w:t>Among the amino acids with a trend for release between meals, isoleucine, leucine, methionine, phenylalanine, threonine, and valine cannot be synthesized by humans. Their net release indicates that, at rest, basal level of protein degradation slightly surpasses protein synthesis. Conversely, for a steady muscle mass, there must be net protein synthesis in the fed state. Muscle protein synthesis is stimulated by feeding in multiple ways. One of these mechanisms employs effects of branched-chain amino acids (BCAA), that is, valine, isoleucine, and leucine. BCAA stimulate protein accretion in muscle through a complex mechanism. Some studies show that BCAA ingestion or infusion increase protein synthesis rate[295], while others claim that BCAA solely reduce protein degradation[296]. The effect of BCAA supplementation is three-fold, combining increased caloric intake, reflex hyperinsulinemia, and an autonomous,</w:t>
      </w:r>
      <w:r>
        <w:t xml:space="preserve"> </w:t>
      </w:r>
      <w:r>
        <w:t>insulin-independent effect. One study investigated the molecular effects of BCAA</w:t>
      </w:r>
      <w:r>
        <w:t xml:space="preserve"> </w:t>
      </w:r>
      <w:r>
        <w:t>at clamped normal insulin levels[297]. In young, healthy men, BCAA alone were</w:t>
      </w:r>
      <w:r>
        <w:t xml:space="preserve"> </w:t>
      </w:r>
      <w:r>
        <w:t>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 [298]). Hyperphosphorylation of 4E-BP is the canonical way by which mTORC1 stimulates protein synthesis, by abolishing the former’s ability to bind and inhibit the mandatory translation initiation factor eIF4E. The activation of p70-S6K leads to the activation of a feedback phosphorylation of mTOR at Ser 2448[299]. Some of these three posttranslational modifications are paradoxically found in acute atrophy settings, when BCAA sudden release increases their circulating levels.</w:t>
      </w:r>
    </w:p>
    <w:p w14:paraId="6282E059" w14:textId="77777777" w:rsidR="002B6DC5" w:rsidRDefault="00FE328A" w:rsidP="00FE328A">
      <w:pPr>
        <w:pStyle w:val="BUMainText"/>
        <w:ind w:firstLine="720"/>
      </w:pPr>
      <w:r>
        <w:t>In vivo, BCAA are used by muscle as protein precursors, signaling molecules, and energetic substrates, when preferred energetic substrates are not available[300]. In studies that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effect[301, 302].</w:t>
      </w:r>
    </w:p>
    <w:p w14:paraId="6BDC71D1" w14:textId="77777777" w:rsidR="002B6DC5" w:rsidRPr="002B6DC5" w:rsidRDefault="00FE328A" w:rsidP="002B6DC5">
      <w:pPr>
        <w:pStyle w:val="Heading2"/>
        <w:rPr>
          <w:sz w:val="24"/>
          <w:szCs w:val="24"/>
        </w:rPr>
      </w:pPr>
      <w:r w:rsidRPr="002B6DC5">
        <w:rPr>
          <w:sz w:val="24"/>
          <w:szCs w:val="24"/>
        </w:rPr>
        <w:t>Adult muscle remodeling</w:t>
      </w:r>
    </w:p>
    <w:p w14:paraId="0E14B420" w14:textId="77777777" w:rsidR="002B6DC5" w:rsidRDefault="00FE328A" w:rsidP="00FE328A">
      <w:pPr>
        <w:pStyle w:val="BUMainText"/>
        <w:ind w:firstLine="720"/>
      </w:pPr>
      <w:r>
        <w:t>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exercise and injury.</w:t>
      </w:r>
    </w:p>
    <w:p w14:paraId="32E190F3" w14:textId="77777777" w:rsidR="002B6DC5" w:rsidRDefault="00FE328A" w:rsidP="00FE328A">
      <w:pPr>
        <w:pStyle w:val="BUMainText"/>
        <w:ind w:firstLine="720"/>
      </w:pPr>
      <w:r>
        <w:t>Humans achieve muscle mass growth following exercise. Some forms of exercise are more suitable at increasing strength or resistance than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IL-6[303, 304, 305]. These signals are associated with increased proliferation of satellite cells and recruitment of neutrophils to the muscle[306, 307]. In the acute phase, the satellite cells co-localize with IGF-I[303]. The negative muscle regulator</w:t>
      </w:r>
      <w:r w:rsidR="002B6DC5">
        <w:t xml:space="preserve"> </w:t>
      </w:r>
      <w:r>
        <w:t>myostatin is not correlated with the phenotype, that is, it is not decreased by acute exercise[307, 308]. Acute exercise increases the fractional protein synthesis rate</w:t>
      </w:r>
      <w:r w:rsidR="002B6DC5">
        <w:t xml:space="preserve"> </w:t>
      </w:r>
      <w:r>
        <w:t>in muscle[309, 310]. Interestingly, a single bout of exercise during fast leads to increases circulating cortisol levels and the release of 3-MH, indicative of increased stimulation of protein degradation[311]. Concomitant amino acid feeding counters GC and catabolic response to exercise. Variations in regimens of exercise and timing and composition of diet have led to a plethora of studies. Just as most of the short-term exercise routines do not lead to muscle hypertrophy, literature is rich with examples of short exercise studies, where molecular changes have not been detected (reviewed in [312]). An important future direction in exercise science is establishing what distinguishes an effective brief exercise routine from an ineffective one. In this context, GCs may be interesting noninvasive markers.</w:t>
      </w:r>
    </w:p>
    <w:p w14:paraId="6EC807BF" w14:textId="77777777" w:rsidR="002B6DC5" w:rsidRDefault="00FE328A" w:rsidP="00FE328A">
      <w:pPr>
        <w:pStyle w:val="BUMainText"/>
        <w:ind w:firstLine="720"/>
      </w:pPr>
      <w:r>
        <w:t>In the long term, exercise increases fiber CSA, density of satellite cells, and the number of myofiber nuclei, while the level of intramuscular MyoD and IGF-I return to normal[313]. On the other hand, long-term exercise induces the</w:t>
      </w:r>
      <w:r w:rsidR="002B6DC5">
        <w:t xml:space="preserve"> </w:t>
      </w:r>
      <w:r>
        <w:t>expression of catabolic markers, such as the E3 ligases MAFbx and MuRF-1[314].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7883BC72" w14:textId="77777777" w:rsidR="002B6DC5" w:rsidRDefault="00FE328A" w:rsidP="00FE328A">
      <w:pPr>
        <w:pStyle w:val="BUMainText"/>
        <w:ind w:firstLine="720"/>
      </w:pPr>
      <w:r>
        <w:t>A similar biphasic response is yielded by injury. In the immediate stage after injury, the muscle is infiltrated by pro-inflammatory M1 macrophages, while at later stage, anti-inflammatory (M2) subclass dominates (reviewed in [315]). Although the studies are rather incomplete, it appears that, similar to exercise adaptations, injury triggers a burst of growth factors, probably including IGF-I, basic fibroblast growth factor (bFGF), and transforming growth factor-beta</w:t>
      </w:r>
      <w:r w:rsidR="002B6DC5">
        <w:t xml:space="preserve"> </w:t>
      </w:r>
      <w:r>
        <w:t>(TGF-β)[316].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factors[317].</w:t>
      </w:r>
    </w:p>
    <w:p w14:paraId="3F25279E" w14:textId="77777777" w:rsidR="002B6DC5" w:rsidRDefault="00FE328A" w:rsidP="00FE328A">
      <w:pPr>
        <w:pStyle w:val="BUMainText"/>
        <w:ind w:firstLine="720"/>
      </w:pPr>
      <w:r>
        <w:t>Less than half of the C2C12 cells in their proliferating, undifferentiated, form express MyoD or Pax7[318]. Limited evidence suggests these myoblast-like cells do not express Pax3 either[319]. Therefore, the C2C12 line is an incomplete model of hyperplastic muscle accretion.</w:t>
      </w:r>
    </w:p>
    <w:p w14:paraId="3BB0DF21" w14:textId="77777777" w:rsidR="002B6DC5" w:rsidRDefault="00FE328A" w:rsidP="00FE328A">
      <w:pPr>
        <w:pStyle w:val="BUMainText"/>
        <w:ind w:firstLine="720"/>
      </w:pPr>
      <w:r>
        <w:t>Generation and regeneration of muscle in common scenarios, such as development and adaptation, remain an object of study, due to their complexity. The variable importance of the immune cells, of MRFs, and of IGF-I, and concurring redundancy remain to be fully worked out to identify a common pattern for muscle hypertrophy.</w:t>
      </w:r>
    </w:p>
    <w:p w14:paraId="32CCF466" w14:textId="77777777" w:rsidR="002B6DC5" w:rsidRPr="002B6DC5" w:rsidRDefault="00FE328A" w:rsidP="002B6DC5">
      <w:pPr>
        <w:pStyle w:val="Heading2"/>
        <w:rPr>
          <w:sz w:val="24"/>
          <w:szCs w:val="24"/>
        </w:rPr>
      </w:pPr>
      <w:r w:rsidRPr="002B6DC5">
        <w:rPr>
          <w:sz w:val="24"/>
          <w:szCs w:val="24"/>
        </w:rPr>
        <w:t>Hormonal control of muscle mass</w:t>
      </w:r>
    </w:p>
    <w:p w14:paraId="32EA5EF5" w14:textId="77777777" w:rsidR="002B6DC5" w:rsidRDefault="00FE328A" w:rsidP="00FE328A">
      <w:pPr>
        <w:pStyle w:val="BUMainText"/>
        <w:ind w:firstLine="720"/>
      </w:pPr>
      <w:r>
        <w:t>The variability of muscle mass within population is reflective of the variable needs for muscle strength. Muscle mass and strength are adjusted to the needs of the organism mainly through hormonal mechanisms. Multiple classical hormones regulate muscle mass. The acute phase of insulin response poses a conundrum, with some studies showing it stimulates protein synthesis in human muscle[320], while others demonstrating that its effect is limited to anti-catabolism[321]. In male rat muscle, 30 minutes in 30 nM insulin or IGF-I are equally able to stimulate protein synthesis and to inhibit protein degradation[322].</w:t>
      </w:r>
    </w:p>
    <w:p w14:paraId="27A8B058" w14:textId="77777777" w:rsidR="002B6DC5" w:rsidRDefault="00FE328A" w:rsidP="00FE328A">
      <w:pPr>
        <w:pStyle w:val="BUMainText"/>
        <w:ind w:firstLine="720"/>
      </w:pPr>
      <w:r>
        <w:t>Insulin and IGF-I pathways overlap to some degree. For both hormones, physiological concentrations are tens of times higher than the half-maximal effective concentration (EC50) for their receptor, suggesting that physiological fluctuations cause marginal effects downstream[323, 324]. On the other hand, insulin has the ability to bind and activate IGF-I receptor (IGF-1R), with an EC50 of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fully supplant the absence of hepatic</w:t>
      </w:r>
      <w:r w:rsidR="002B6DC5">
        <w:t xml:space="preserve"> </w:t>
      </w:r>
      <w:r>
        <w:t>IGF-I in adult conditional knockout mice[325].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w:t>
      </w:r>
      <w:r w:rsidR="002B6DC5">
        <w:t xml:space="preserve"> </w:t>
      </w:r>
      <w:r>
        <w:t>nutrients alone are its sole modulators (reviewed in [326]).</w:t>
      </w:r>
    </w:p>
    <w:p w14:paraId="52FEBD9D" w14:textId="77777777" w:rsidR="002B6DC5" w:rsidRDefault="00FE328A" w:rsidP="00FE328A">
      <w:pPr>
        <w:pStyle w:val="BUMainText"/>
        <w:ind w:firstLine="720"/>
      </w:pPr>
      <w:r>
        <w:t>The levels of bioavailable IGF-I are under complex regulation (reviewed in [327, 328]). IGF-I may be sequestered by IGF-I binding proteins (IGFBP), which are secreted by muscle under IGF-I stimulation[329].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signals[330]. IGF2 plays other, independent roles, suggested by the lethality of its knockout[331].</w:t>
      </w:r>
    </w:p>
    <w:p w14:paraId="6B6F60F2" w14:textId="77777777" w:rsidR="002B6DC5" w:rsidRDefault="00FE328A" w:rsidP="00FE328A">
      <w:pPr>
        <w:pStyle w:val="BUMainText"/>
        <w:ind w:firstLine="720"/>
      </w:pPr>
      <w:r>
        <w:t>There is no consensus concerning the ability of GH to stimulate muscular secretion of IGF-I. Multiple studies found an upregulation of IGF-I mRNA in response to GH stimulation[332, 333], but protein data are lacking. Medium conditioned by GH-stimulated C2C12 cells fails to elicit hypertrophy in other C2C12 myotubes[334], suggesting that IGF-I is not secreted in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knockout[335]. In the context of pituitary pathology associated with Cushing’s disease, the associated GH perturbations may contribute to loss of muscle.</w:t>
      </w:r>
    </w:p>
    <w:p w14:paraId="1F9D9181" w14:textId="77777777" w:rsidR="002B6DC5" w:rsidRDefault="00FE328A" w:rsidP="00FE328A">
      <w:pPr>
        <w:pStyle w:val="BUMainText"/>
        <w:ind w:firstLine="720"/>
      </w:pPr>
      <w:r>
        <w:t>Hypothyroidism is often associated with muscle weakness and pseudohypertrophy[336]. Other hormones, such as the parathormone, have small effects on muscle protein metabolism, essentially irrelevant outside their</w:t>
      </w:r>
      <w:r w:rsidR="002B6DC5">
        <w:t xml:space="preserve"> r</w:t>
      </w:r>
      <w:r>
        <w:t>espective pathologies[337].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6979FBF0" w14:textId="77777777" w:rsidR="002B6DC5" w:rsidRPr="002B6DC5" w:rsidRDefault="00FE328A" w:rsidP="002B6DC5">
      <w:pPr>
        <w:pStyle w:val="Heading2"/>
        <w:rPr>
          <w:sz w:val="24"/>
          <w:szCs w:val="24"/>
        </w:rPr>
      </w:pPr>
      <w:r w:rsidRPr="002B6DC5">
        <w:rPr>
          <w:sz w:val="24"/>
          <w:szCs w:val="24"/>
        </w:rPr>
        <w:t>Interaction of muscle mass and vascularization</w:t>
      </w:r>
    </w:p>
    <w:p w14:paraId="62EDDEFF" w14:textId="77777777" w:rsidR="002B6DC5" w:rsidRDefault="00FE328A" w:rsidP="00FE328A">
      <w:pPr>
        <w:pStyle w:val="BUMainText"/>
        <w:ind w:firstLine="720"/>
      </w:pPr>
      <w:r>
        <w:t>Muscle vascularization is a modulator of muscle mass and contractility. Mice whose muscle VEGF-A secretion was genetically depleted still express a tenth of the muscle VEGF-A protein, but have only half of the capillaries per muscle fiber, compared to their Cre-/- siblings[338]. The muscle-restricted VEGF-A-depleted mice have 12% lighter gastrocnemii, although the muscle loss disappears when muscle mass is normalized to total body weight. The loss does not affect specific fiber types. Therefore, the muscle depleted of VEGF-A is less able of endurance effort (80% shorter time to exhaustion on the inclined treadmill) and of brief anaerobic exercise (34% lower maximal running speed).</w:t>
      </w:r>
    </w:p>
    <w:p w14:paraId="79DCBEEC" w14:textId="77777777" w:rsidR="002B6DC5" w:rsidRDefault="00FE328A" w:rsidP="00FE328A">
      <w:pPr>
        <w:pStyle w:val="BUMainText"/>
        <w:ind w:firstLine="720"/>
      </w:pPr>
      <w:r>
        <w:t>Conversely, murine muscles injected with VEGF-A-expressing retroviruses display a higher proportion of hypertrophic fibers than those expressing bacterial β-galactosidase[339].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654DA626" w14:textId="77777777" w:rsidR="002B6DC5" w:rsidRDefault="00FE328A" w:rsidP="00FE328A">
      <w:pPr>
        <w:pStyle w:val="BUMainText"/>
        <w:ind w:firstLine="720"/>
      </w:pPr>
      <w:r>
        <w:t>It has been suggested that the most direct effect of VEGF-A depletion is partial segregation of muscle from blood-carried endocrine signals. For example, VEGF-A-depleted muscle has lower glucose uptake, a defect that is reversed by</w:t>
      </w:r>
      <w:r w:rsidR="002B6DC5">
        <w:t xml:space="preserve"> </w:t>
      </w:r>
      <w:r>
        <w:t>explantation[340]. In addition, vascularization defects may induce relative intramuscular hypoxia, which is an independent atrophying, pro-proteolytic factor[341].</w:t>
      </w:r>
    </w:p>
    <w:p w14:paraId="59E4300E" w14:textId="77777777" w:rsidR="002B6DC5" w:rsidRDefault="00FE328A" w:rsidP="00FE328A">
      <w:pPr>
        <w:pStyle w:val="BUMainText"/>
        <w:ind w:firstLine="720"/>
      </w:pPr>
      <w:r>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VEGF[342]. Development of vasculature in growing muscle may be a physiologically meaningful way to ensure vasculature remains competent upon increase circulatory demands. Second, although the canonical positive regulator of VEGF is hypoxia-induced factor 1α (HIF 1a), muscle VEGF is also stimulated by PPAR γ coactivator 1</w:t>
      </w:r>
      <w:r w:rsidR="002B6DC5">
        <w:t xml:space="preserve"> </w:t>
      </w:r>
      <w:r>
        <w:t>(PGC-1)[343, 344]. Even in the absence of VEGF, PGC-1 coactivators facilitate mitochondria biosynthesis, leading to oxidative fiber hypertrophy and improvements in endurance capacity[345]. Therefore, it is difficult to distinguish VEGF-induced muscle changes from the common muscle remodeling program. Finally, VEGFR activation has multiple effects, including phosphorylation of Src family proteins[346], of phospholipase C (PLC) γ[347], and, indirectly, of regulatory subunits of PI3K[348] and of the Signal Transducers and Activators of Transcription (STAT) STAT3 and STAT5[349].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 factors.</w:t>
      </w:r>
    </w:p>
    <w:p w14:paraId="7B82D802" w14:textId="77777777" w:rsidR="002B6DC5" w:rsidRPr="002B6DC5" w:rsidRDefault="00FE328A" w:rsidP="002B6DC5">
      <w:pPr>
        <w:pStyle w:val="Heading2"/>
        <w:rPr>
          <w:sz w:val="24"/>
          <w:szCs w:val="24"/>
        </w:rPr>
      </w:pPr>
      <w:r w:rsidRPr="002B6DC5">
        <w:rPr>
          <w:sz w:val="24"/>
          <w:szCs w:val="24"/>
        </w:rPr>
        <w:t>Control of muscle mass through innervation</w:t>
      </w:r>
    </w:p>
    <w:p w14:paraId="229051DF" w14:textId="77777777" w:rsidR="002B6DC5" w:rsidRDefault="00FE328A" w:rsidP="00FE328A">
      <w:pPr>
        <w:pStyle w:val="BUMainText"/>
        <w:ind w:firstLine="720"/>
      </w:pPr>
      <w:r>
        <w:t>Current understanding and future directions for the study of GAML are guided, to a large extend,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3C5C873D" w14:textId="77777777" w:rsidR="002B6DC5" w:rsidRDefault="00FE328A" w:rsidP="00FE328A">
      <w:pPr>
        <w:pStyle w:val="BUMainText"/>
        <w:ind w:firstLine="720"/>
      </w:pPr>
      <w:r>
        <w:t>Limb and trunk muscles are controlled by the lower (alpha) motor neuron, located in the ventral horn of the spinal cord. Their main point of contact is a chemical synapse, the neuro-muscular junction (NMJ). In addition to the direct synaptic activity, muscles and lower motor neurons are involved in a mutually beneficial life-long interaction.</w:t>
      </w:r>
    </w:p>
    <w:p w14:paraId="3D2E2304" w14:textId="77777777" w:rsidR="002B6DC5" w:rsidRDefault="00FE328A" w:rsidP="00FE328A">
      <w:pPr>
        <w:pStyle w:val="BUMainText"/>
        <w:ind w:firstLine="720"/>
      </w:pPr>
      <w:r>
        <w:t>Motor neuron precursors from the embryo spinal cord degenerate and die if they cannot engage in significant interactions with myofibers[350]. Eliminated motor neurons include neurons whose axons fail to reach myotubes, and neurons that eventually fail to maintain contact with myotubes, due to synapse elimination. The latter is a selective, competitive process, whose molecular basis is still unknown, and which ensures injectivity of the correspondence between lower motor neurons and myofibers (reviewed in [351]). For a few days after birth, rat motor neurons go into a particularly sensitive state, when axotomy determines motor neuron death[352]. Thence, axotomy elicits the reprogramming of the neuron into a less differentiated state, followed by axonal regrowth (reviewed in [353, 354]). The re-establishment of contact between the motor neuron and muscle causes the reverse molecular changes, suggesting the existence of muscle-secreted neurotrophic factors. The NMJ loses functionality with aging, although it is not clear whether NMJ cause or are caused by</w:t>
      </w:r>
      <w:r w:rsidR="002B6DC5">
        <w:t xml:space="preserve"> </w:t>
      </w:r>
      <w:r>
        <w:t>aging-related muscle loss[355]. Factors that improve muscle’s ability to exercise or even mimic exercise, such as IGF-I or androgens, have been shown to benefit NMJ recovery or to slow down its degradation during aging[356, 357, 358].</w:t>
      </w:r>
    </w:p>
    <w:p w14:paraId="4506FB72" w14:textId="77777777" w:rsidR="002B6DC5" w:rsidRDefault="00FE328A" w:rsidP="00FE328A">
      <w:pPr>
        <w:pStyle w:val="BUMainText"/>
        <w:ind w:firstLine="720"/>
      </w:pPr>
      <w:r>
        <w:t>The loss of contact with the lower motor neuron elicits similar detrimental changes in muscle, with clinical relevance in the understanding and treatment of spinal cord injury and spinal muscular atrophy. Conceptually, denervation is distinct from disuse, such as that induced by damage to the upper motor neuron. Clinically, the latter manifests differently, through a syndrome termed pyramidal weakness, which mainly affects muscles opposing gravity[359]. In humans, after upper motor neuron damage, disuse response occurs in a few days after injury, and leads to exaggerated spasticity[360]. Understandably, literature does not describe any animal model of disuse by experimental damage to the upper motor neuron. In fact, literature contains multiple examples where “disuse” is taken to mean “absence of action potentials, due to denervation”, “lack of work, due to denervation, unloading, immobilization”, or even both (see for example [361]). Consequently, there are no experimental attempts to disentangle</w:t>
      </w:r>
      <w:r w:rsidR="002B6DC5">
        <w:t xml:space="preserve"> </w:t>
      </w:r>
      <w:r>
        <w:t>muscle-maintaining effects of work, of the NMJ transmitter, acetylcholine, and of any other musculotrophic neuron-released factor.</w:t>
      </w:r>
    </w:p>
    <w:p w14:paraId="09B591F3" w14:textId="77777777" w:rsidR="002B6DC5" w:rsidRDefault="00FE328A" w:rsidP="00FE328A">
      <w:pPr>
        <w:pStyle w:val="BUMainText"/>
        <w:ind w:firstLine="720"/>
      </w:pPr>
      <w:r>
        <w:t>In utero, experimental destruction of motor neurons with bungarotoxin abolishes formation of secondary myotubes, although it has limited effect on the formation of primary fibers[362].</w:t>
      </w:r>
    </w:p>
    <w:p w14:paraId="632FD7C9" w14:textId="77777777" w:rsidR="002B6DC5" w:rsidRDefault="00FE328A" w:rsidP="00FE328A">
      <w:pPr>
        <w:pStyle w:val="BUMainText"/>
        <w:ind w:firstLine="720"/>
      </w:pPr>
      <w:r>
        <w:t>Experimental denervation causes rapid and ample loss of muscle mass. For example, three weeks after sciatic nerve removal, the tibialis anterior muscle halves in weight[363]. Fewer than one in 7,000 myofiber nuclei undergo apoptosis in this time[364], demonstrating how atrophy can occur without changes in nuclei density.</w:t>
      </w:r>
    </w:p>
    <w:p w14:paraId="745C793E" w14:textId="77777777" w:rsidR="002B6DC5" w:rsidRDefault="00FE328A" w:rsidP="00FE328A">
      <w:pPr>
        <w:pStyle w:val="BUMainText"/>
        <w:ind w:firstLine="720"/>
      </w:pPr>
      <w:r>
        <w:t>In a seminal study, Goldberg demonstrated that denervation leads to increased loss of prelabeled muscle protein, proving that denervation upregulates protein degradation[365]. Moreover, denervation increases urinary 3MH, indicating activation of myofibril catabolism[366]. The rate of muscle loss in denervated muscle is halved by the proteasome inhibitor bortezomib[367]. Denervation stimulates persistently proteasome enzymatic activity[368], and upregulates all the ubiquitin-proteasome pathway components, including ubiquitin, the E3 ligases MuRF-1 and MAFbx, and the proteasome subunit A1 [369, 227]. The upregulation of the E3 ligases is induced by multiple independent transcription factors, including myogenin and the Foxo class[370, 371, 372, 373].</w:t>
      </w:r>
    </w:p>
    <w:p w14:paraId="13E147C2" w14:textId="77777777" w:rsidR="002B6DC5" w:rsidRDefault="00FE328A" w:rsidP="00FE328A">
      <w:pPr>
        <w:pStyle w:val="BUMainText"/>
        <w:ind w:firstLine="720"/>
      </w:pPr>
      <w:r>
        <w:t>The temporal evolution of muscle loss following denervation comprises two stages. In the first few days of denervation, the atrophic response is correlated with myogenin upregulation by histone deacetylase (HDAC) 4[374]. After the first week, Foxo activation is attributed to the downregulation of its negative regulator, Akt[372, 375].</w:t>
      </w:r>
    </w:p>
    <w:p w14:paraId="3F3F148A" w14:textId="77777777" w:rsidR="002B6DC5" w:rsidRDefault="00FE328A" w:rsidP="00FE328A">
      <w:pPr>
        <w:pStyle w:val="BUMainText"/>
        <w:ind w:firstLine="720"/>
      </w:pPr>
      <w:r>
        <w:t>Because the mTOR inhibitor rapamycin prevents fiber hypertrophy that normally follows in vivo injections with a plasmid coding constitutively active Akt[375], the scientific community assumed, since the beginning of century, that atrophy is a mere reverse of hypertrophy. Commonly, reviews still state that atrophy, including denervation, requires Akt inactivation, followed by loss of downstream mTOR-mediated effects (for example, [376, 377]). Recent studies contradicted this paradigm. In 2013, Quy and colleagues found that denervation increased Thr 389 phosphorylation and catalytic activity of p70-S6K, indicating that denervation causes in fact activation of mTORC1[378]. In 2014, Tang and colleagues proved that rapamycin, an inhibitor of mTORC1, which lacks intrinsic anabolic properties, abolishes denervation-induced loss of muscle mass[372].</w:t>
      </w:r>
      <w:r w:rsidR="002B6DC5">
        <w:t xml:space="preserve"> </w:t>
      </w:r>
      <w:r>
        <w:t>These experiments prove that mTORC1 should be activated for</w:t>
      </w:r>
      <w:r w:rsidR="002B6DC5">
        <w:t xml:space="preserve"> </w:t>
      </w:r>
      <w:r>
        <w:t>denervation-associated muscle atrophy to proceed in its later stage. Tang showed that denervation causes phosphorylation of insulin receptor substrate (IRS) 1, proving that, in denervation, activated mTORC1 inhibits Akt through a p70-S6K - IRS 1-mediated negative feedback loop. Quy found that mTORC1 activation is lost upon proteasome inhibition with bortezomib. One can hypothesize the existence of an mTOR negative regulator, which is specifically targeted by the</w:t>
      </w:r>
      <w:r w:rsidR="002B6DC5">
        <w:t xml:space="preserve"> </w:t>
      </w:r>
      <w:r>
        <w:t>ubiquitin-proteasome system during denervation. Alternatively, mTORC1 activation may be caused by the preceding upregulation of proteasome, which is stimulating BCAA release. The mechanism by which mTORC1 is stimulated by denervation remains to be established, but its consequences, including activation of p70-S6K, phosphorylation of IRS1, inhibition of Akt, and increased Foxo activity, appear well-supported by evidence.</w:t>
      </w:r>
    </w:p>
    <w:p w14:paraId="1A9A9AAC" w14:textId="77777777" w:rsidR="002B6DC5" w:rsidRDefault="00FE328A" w:rsidP="00FE328A">
      <w:pPr>
        <w:pStyle w:val="BUMainText"/>
        <w:ind w:firstLine="720"/>
      </w:pPr>
      <w:r>
        <w:t>Establishing the role for mTORC1 in denervation-induced loss of muscle mass is crucial. In the conceptual frame before Quy and Tang experiments, mTORC1 inhibition was intuitively attractive, as it would simultaneously downregulate protein synthesis, and remove a restriction on autophagy. In particular, denervation-induced autophagy appealed to the muscle biologists of the 2000’s. For example, one group claimed that the lysosome inhibitor chloroquine prevents denervation-induced muscle loss[379]. Others showed that denervation upregulates lysosome enzyme cathepsin L[380]. A third group claimed that denervation causes buildup of the autophagosome marker,</w:t>
      </w:r>
      <w:r w:rsidR="002B6DC5">
        <w:t xml:space="preserve"> </w:t>
      </w:r>
      <w:r>
        <w:t>microtubule-associated protein 1 light chain 3 (LC3)[381]. These studies were published even as others clearly refuted the role of autophagy in denervation. The lysosome inhibitors leupeptin, methylamine, and E64-c have minimal effects on the release of free tyrosine from denervated muscle[366]. Transgenic mice</w:t>
      </w:r>
      <w:r w:rsidR="002B6DC5">
        <w:t xml:space="preserve"> </w:t>
      </w:r>
      <w:r>
        <w:t>expressing LC3 fused with green fluorescent protein (GFP) exhibit a loss of autophagosomes in denervated muscles[378]. The example of denervation illustrates the barriers in the study of autophagy, a challenge equally present in GAML study.</w:t>
      </w:r>
    </w:p>
    <w:p w14:paraId="083F0396" w14:textId="77777777" w:rsidR="002B6DC5" w:rsidRDefault="00FE328A" w:rsidP="00FE328A">
      <w:pPr>
        <w:pStyle w:val="BUMainText"/>
        <w:ind w:firstLine="720"/>
      </w:pPr>
      <w:r>
        <w:t>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reused in new protein. More recent functional studies, including some from Goldberg’s group, found that denervation stimulates</w:t>
      </w:r>
      <w:r w:rsidR="002B6DC5">
        <w:t xml:space="preserve"> </w:t>
      </w:r>
      <w:r>
        <w:t>translation[382, 378, 368, 383, 366].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2E6832A" w14:textId="77777777" w:rsidR="002B6DC5" w:rsidRDefault="00FE328A" w:rsidP="00FE328A">
      <w:pPr>
        <w:pStyle w:val="BUMainText"/>
        <w:ind w:firstLine="720"/>
      </w:pPr>
      <w:r>
        <w:t>Given that rapamycin has essentially no effect on adult muscle mass, it may be that mTOR is not the crucial effector of denervation-induced muscle atrophy once thought. Current evidence suggests that it is activated in late stages of</w:t>
      </w:r>
      <w:r w:rsidR="002B6DC5">
        <w:t xml:space="preserve"> </w:t>
      </w:r>
      <w:r>
        <w:t>denervation, with inconsequential, or perhaps compensatory, downstream</w:t>
      </w:r>
      <w:r w:rsidR="002B6DC5">
        <w:t xml:space="preserve"> </w:t>
      </w:r>
      <w:r>
        <w:t>activation of protein synthesis and inhibition of autophagy. In contrast, denervation-induced muscle loss is correlated systematically, and requires, the activation of ubiquitin-proteasome system. The predicaments of denervation research epitomize similar dilemmas in the study of muscle atrophy due to other, less studied etiologies, including GAML.</w:t>
      </w:r>
    </w:p>
    <w:p w14:paraId="42DECD75" w14:textId="77777777" w:rsidR="002B6DC5" w:rsidRPr="002B6DC5" w:rsidRDefault="00FE328A" w:rsidP="002B6DC5">
      <w:pPr>
        <w:pStyle w:val="Heading2"/>
        <w:rPr>
          <w:sz w:val="24"/>
          <w:szCs w:val="24"/>
        </w:rPr>
      </w:pPr>
      <w:r w:rsidRPr="002B6DC5">
        <w:rPr>
          <w:sz w:val="24"/>
          <w:szCs w:val="24"/>
        </w:rPr>
        <w:t>Animal models of glucocorticoid myopathy</w:t>
      </w:r>
    </w:p>
    <w:p w14:paraId="0C15B86A" w14:textId="77777777" w:rsidR="00283331" w:rsidRDefault="00FE328A" w:rsidP="00FE328A">
      <w:pPr>
        <w:pStyle w:val="BUMainText"/>
        <w:ind w:firstLine="720"/>
      </w:pPr>
      <w:r>
        <w:t>In the 75 years since the discovery of iatrogenic glucocorticoid myopathy, scientists attempted, with variable success, to develop multiple animal models. In dogs, seven days of 0.44 mg/(kg d) prednisone increased nitrogen excretion[384]. In horses, the action of Dexa on glycogen regulating pathways was replicated, but muscle mass was not measured[385]. In cows, GAML is undetectable at macroscopic level. Any putative change in myofibers is compensated by bovines’ unusually rich intramuscular adipose component, further hypertrophied by Dexa[386]. In rabbits, four days of 1 mg/(kg d) did not change muscle mass and reduced urinary 3MH, despite the upregulation of some catabolic markers[387].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2BED2CB9" w14:textId="77777777" w:rsidR="00283331" w:rsidRDefault="00FE328A" w:rsidP="00FE328A">
      <w:pPr>
        <w:pStyle w:val="BUMainText"/>
        <w:ind w:firstLine="720"/>
      </w:pPr>
      <w:r>
        <w:t>In the era of genome sequencing, studies of GAML focused on mice and rats. The first study of mouse GAML was published in 1964[388]. However, for a long</w:t>
      </w:r>
      <w:r w:rsidR="002B6DC5">
        <w:t xml:space="preserve"> </w:t>
      </w:r>
      <w:r>
        <w:t>time, rats were the preferred model. Muscle mass in mice is smaller, making dissection harder and changes closer to detection threshold, compared to rats. In terms of glucose metabolism, mice are more GC-resistant than rats[389]. Mice studies became interesting with the advent of transgenic studies, starting with the MuRF-1 and MAFbx knockouts created by Bodine and colleagues[227]. To my knowledge, at the start of this work, there was no published account of muscle atrophy in mouse, which showed changes in individual muscle mass, and which stated the effective Dexa dose.</w:t>
      </w:r>
    </w:p>
    <w:p w14:paraId="78DA6976" w14:textId="77777777" w:rsidR="00283331" w:rsidRDefault="00FE328A" w:rsidP="00FE328A">
      <w:pPr>
        <w:pStyle w:val="BUMainText"/>
        <w:ind w:firstLine="720"/>
      </w:pPr>
      <w:r>
        <w:t>Myofiber-restricted knockout of GR abolishes GAML, while having no effect on denervation atrophy[390]. In rat muscle, chronic Dexa treatment upregulates expression of the NMJ essential component, muscle-specific nicotinic acetylcholine receptor, and resistance to NMJ-specific non-depolarizing muscle relaxants[391]. GAML appears associated with an improved NMJ, excluding the role of neurons, and confirming the phenotype that led to the “myopathy” designation in humans.</w:t>
      </w:r>
    </w:p>
    <w:p w14:paraId="3C1C8814" w14:textId="77777777" w:rsidR="00283331" w:rsidRDefault="00FE328A" w:rsidP="00FE328A">
      <w:pPr>
        <w:pStyle w:val="BUMainText"/>
        <w:ind w:firstLine="720"/>
      </w:pPr>
      <w:r>
        <w:t>There is no evidence of satellite cell dysfunction in GAML. In one report, Dong and colleagues hypothesize a “glucocorticoid-induced satellite cell dysfunction,” but describe solely that Dexa reduces the number of satellite cells in a post-injury regenerating muscle[392]. In conclusion, GAML is the direct effect of Dexa on myofibers.</w:t>
      </w:r>
    </w:p>
    <w:p w14:paraId="6C3B3FB6" w14:textId="77777777" w:rsidR="00283331" w:rsidRDefault="00FE328A" w:rsidP="00FE328A">
      <w:pPr>
        <w:pStyle w:val="BUMainText"/>
        <w:ind w:firstLine="720"/>
      </w:pPr>
      <w:r>
        <w:t>The perception that myotubes response to Dexa is a complete model of GAML inspired many reductionist in vitro models. Many published studies document the effect of Dexa on the mouse cell line C2C12 and</w:t>
      </w:r>
      <w:r w:rsidR="00283331">
        <w:t xml:space="preserve"> the rat cell line L6. However, </w:t>
      </w:r>
      <w:r>
        <w:t>these and other myogenic cell lines have significant limitations, which may cause divergence between in vitro models and the glucocorticoid myopathy they aim to describe. As mentioned earlier, in the case of primary cells, experiments with</w:t>
      </w:r>
      <w:r w:rsidR="00283331">
        <w:t xml:space="preserve"> </w:t>
      </w:r>
      <w:r>
        <w:t>Dexa are outright impossible, because primary cell survival is GC-dependent. Moreover, Dexa has hyperplastic and hypertrophic effects on myogenic cell lines. Commonly tested doses of Dexa, in the range of tens of nM, have been shown to synergize with IGF-I[393] and even to act directly towards improved proliferation of L6 myoblasts[394, 395]. C2C12 fusion is more efficient when Dexa is added to IGF-I[90].</w:t>
      </w:r>
    </w:p>
    <w:p w14:paraId="50DB34D4" w14:textId="77777777" w:rsidR="00283331" w:rsidRDefault="00FE328A" w:rsidP="00FE328A">
      <w:pPr>
        <w:pStyle w:val="BUMainText"/>
        <w:ind w:firstLine="720"/>
      </w:pPr>
      <w:r>
        <w:t>Until the end of the 1990s, Dexa was a common ingredient in myogenic culture media[396]. Even contemporary standard proliferation media, containing</w:t>
      </w:r>
      <w:r w:rsidR="00283331">
        <w:t xml:space="preserve"> </w:t>
      </w:r>
      <w:r>
        <w:t>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(REDD1)[90]. Conversely, the synergy with Dexa amplifies some of insulin and IGF-I effects, such as Akt phosphorylation on Ser 473[396]. In addition to myotubes, C2C12 may differentiate into adipose-like or osteoblast-like cells. To avoid histological ambiguities, this chapter will refer mainly to in vivo studies.</w:t>
      </w:r>
    </w:p>
    <w:p w14:paraId="369D8AC3" w14:textId="77777777" w:rsidR="00283331" w:rsidRDefault="00FE328A" w:rsidP="00FE328A">
      <w:pPr>
        <w:pStyle w:val="BUMainText"/>
        <w:ind w:firstLine="720"/>
      </w:pPr>
      <w:r>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nM[397]. Evidence from in vitro studies on</w:t>
      </w:r>
      <w:r w:rsidR="00283331">
        <w:t xml:space="preserve"> </w:t>
      </w:r>
      <w:r>
        <w:t>myogenic cell lines will be used in this chapter, but will be limited to studies where multi-nucleate myotubes were obtained and myoblasts were depleted.</w:t>
      </w:r>
    </w:p>
    <w:p w14:paraId="30234E9A" w14:textId="77777777" w:rsidR="00283331" w:rsidRDefault="00FE328A" w:rsidP="00FE328A">
      <w:pPr>
        <w:pStyle w:val="BUMainText"/>
        <w:ind w:firstLine="720"/>
      </w:pPr>
      <w:r>
        <w:t>The effects of 7-day, 5 mg/(kg d) treatment on rats allow the classification of</w:t>
      </w:r>
      <w:r w:rsidR="00283331">
        <w:t xml:space="preserve"> </w:t>
      </w:r>
      <w:r>
        <w:t>GCs in two subsets[398].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force[399]. GAML is an organized process, lacking the microscopic features of necrosis[400]. Although Dexa temporarily reduces food intake, possibly through stimulation of leptin secretion[401], pair-feeding experiments demonstrated that the GAML is not the effect of appetite changes[402, 403]. In response to Dexa, rat myofibers undergo reductions in CSA, to an ampler degree in fast twitch fibers[404, 405]. Dexa-induced loss of muscle mass is present, although less manifest, in female rats, possibly because, in males, hypercortisolism is compounded by a reduction in circulating Testo levels[404].</w:t>
      </w:r>
    </w:p>
    <w:p w14:paraId="3595C8F1" w14:textId="77777777" w:rsidR="00283331" w:rsidRDefault="00FE328A" w:rsidP="00FE328A">
      <w:pPr>
        <w:pStyle w:val="BUMainText"/>
        <w:ind w:firstLine="720"/>
      </w:pPr>
      <w:r>
        <w:t>In rats, the nitrogen imbalance induced by Dexa slows down by the third day, and is compensated around the seventh day of treatment[406, 407].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0.5 mg/(kg d) Dexa, more than twice the muscle-impairing dose in humans. Illustrating the higher resistance to Dexa, recently published mouse experiments used even higher doses (3 mg/(kg d) to 10 mg/(kg d)[408, 409]).</w:t>
      </w:r>
    </w:p>
    <w:p w14:paraId="6CF4438B" w14:textId="77777777" w:rsidR="00283331" w:rsidRDefault="00FE328A" w:rsidP="00FE328A">
      <w:pPr>
        <w:pStyle w:val="BUMainText"/>
        <w:ind w:firstLine="720"/>
      </w:pPr>
      <w:r>
        <w:t>Unless specified, the next sections refer to studies with chronic (5-10 days) Dexa on adult (not aged) male rodents, which are the best model from human</w:t>
      </w:r>
      <w:r w:rsidR="00283331">
        <w:t xml:space="preserve"> </w:t>
      </w:r>
      <w:r>
        <w:t>male glucocorticoid myopathy.</w:t>
      </w:r>
    </w:p>
    <w:p w14:paraId="52199CF5" w14:textId="77777777" w:rsidR="00283331" w:rsidRPr="00F3504A" w:rsidRDefault="00FE328A" w:rsidP="00F3504A">
      <w:pPr>
        <w:pStyle w:val="Heading2"/>
        <w:rPr>
          <w:sz w:val="24"/>
          <w:szCs w:val="24"/>
        </w:rPr>
      </w:pPr>
      <w:r w:rsidRPr="00F3504A">
        <w:rPr>
          <w:sz w:val="24"/>
          <w:szCs w:val="24"/>
        </w:rPr>
        <w:t>Glucocorticoid stimulation of ubiquitin-proteasome system</w:t>
      </w:r>
    </w:p>
    <w:p w14:paraId="50AC2531" w14:textId="77777777" w:rsidR="00283331" w:rsidRDefault="00FE328A" w:rsidP="00FE328A">
      <w:pPr>
        <w:pStyle w:val="BUMainText"/>
        <w:ind w:firstLine="720"/>
      </w:pPr>
      <w:r>
        <w:t>The loss of muscle in the Dexa-treated adult rat is mainly the result of an increase in protein degradation. The 1969 Goldberg study on atrophy revealed that cortisone induced an even ampler upregulation of proteolysis than denervation[365]. His comparison of “fast-twitch” plantaris and “slow-twitch”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06C7D9C3" w14:textId="77777777" w:rsidR="00283331" w:rsidRDefault="00FE328A" w:rsidP="00FE328A">
      <w:pPr>
        <w:pStyle w:val="BUMainText"/>
        <w:ind w:firstLine="720"/>
      </w:pPr>
      <w:r>
        <w:t>In rats receiving 0.5 mg/(kg d) Dexa for six days, epitrochlearis muscle</w:t>
      </w:r>
      <w:r w:rsidR="00283331">
        <w:t xml:space="preserve"> </w:t>
      </w:r>
      <w:r>
        <w:t>proteolysis rate increased by 50%, while protein synthesis was essentially unchanged[402]. Dexa-stimulated proteolysis affects the contractile apparatus, as indicated by the doubling of urinary 3-MH output[410]. The upregulation of proteolysis occurs even when explants, rather than animals, are treated with</w:t>
      </w:r>
      <w:r w:rsidR="00283331">
        <w:t xml:space="preserve"> </w:t>
      </w:r>
      <w:r>
        <w:t>Dexa, suggesting that GAML does not require extramuscular inputs[411].</w:t>
      </w:r>
    </w:p>
    <w:p w14:paraId="2EAA0332" w14:textId="77777777" w:rsidR="00283331" w:rsidRDefault="00FE328A" w:rsidP="00FE328A">
      <w:pPr>
        <w:pStyle w:val="BUMainText"/>
        <w:ind w:firstLine="720"/>
      </w:pPr>
      <w:r>
        <w:t>In vivo GAML is best correlated with an upregulation of the</w:t>
      </w:r>
      <w:r w:rsidR="00283331">
        <w:t xml:space="preserve"> </w:t>
      </w:r>
      <w:r>
        <w:t>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MG132[412], or depleted of ATP by a combination of the mitochondrial decoupling agent dinitrophenol and the unlysable glucose homologue,</w:t>
      </w:r>
      <w:r w:rsidR="00283331">
        <w:t xml:space="preserve"> </w:t>
      </w:r>
      <w:r>
        <w:t>2-deoxyglucose[413]. Proteasome chymotrypsin-like catalytic activity is doubled</w:t>
      </w:r>
      <w:r w:rsidR="00283331">
        <w:t xml:space="preserve"> </w:t>
      </w:r>
      <w:r>
        <w:t>by Dexa[414]. Dexa upregulates proteasome subunits such as C1, C2, C4, C5 [402, 412].</w:t>
      </w:r>
    </w:p>
    <w:p w14:paraId="0B5D572C" w14:textId="77777777" w:rsidR="0009126D" w:rsidRDefault="00FE328A" w:rsidP="00FE328A">
      <w:pPr>
        <w:pStyle w:val="BUMainText"/>
        <w:ind w:firstLine="720"/>
      </w:pPr>
      <w:r>
        <w:t>In cultured myotubes treated with 100 nM to 1000 nM Dexa, the loss of diameter is reliably correlated with a 20% increase in protein degradation rate[415, 397]. Between 78% and 95% of the Dexa-induced proteolysis augmentation is lost, when proteasome inhibitors, such as beta-lactone or</w:t>
      </w:r>
      <w:r w:rsidR="0009126D">
        <w:t xml:space="preserve"> </w:t>
      </w:r>
      <w:r>
        <w:t>MG-132, are co-administered[415, 416]. Demonstrating proteasome’s primacy, MG-132 has this overriding effect even co-administered as an addition to a cocktail of lysosome and calpain inhibitors[412]. Co-administration of dinitrophenol essentially abolishes Dexa-induced proteolysis[415]. GAML dependence on ATP reinforces the idea that GC-stimulated proteolysis takes place in the proteasome. In contrast, lysosome inhibitors had no effect, while E-64 has minimal effect[415].</w:t>
      </w:r>
    </w:p>
    <w:p w14:paraId="2850AB85" w14:textId="77777777" w:rsidR="0009126D" w:rsidRDefault="00FE328A" w:rsidP="00FE328A">
      <w:pPr>
        <w:pStyle w:val="BUMainText"/>
        <w:ind w:firstLine="720"/>
      </w:pPr>
      <w:r>
        <w:t>In L6 myotubes, Dexa causes increased expression of the ubiquitin gene UbC, through a putative SV40 promoter-specific 1 (Sp1) response element[417]. In vivo, upregulation of UbC was confirmed only for acute Dexa treatment[411] and in diabetic rats[418].</w:t>
      </w:r>
    </w:p>
    <w:p w14:paraId="4F001765" w14:textId="77777777" w:rsidR="0009126D" w:rsidRDefault="00FE328A" w:rsidP="00FE328A">
      <w:pPr>
        <w:pStyle w:val="BUMainText"/>
        <w:ind w:firstLine="720"/>
      </w:pPr>
      <w:r>
        <w:t>One of the most tempting hypotheses attributed a role to nuclear factor kappa light-chain enhancer of activated B cells (NF-κB), a mediator of muscle loss in conditions such as cancer cachexia (reviewed in [419]), and a regulator of multiple inflammatory genes (reviewed in [420]). However, the few published reports are contradictory. In L6 myotubes, Dexa stimulates acetylation and nuclear translocation of the translational activator p65[421], seemingly paralleling cancer cachexia. In contradiction to such parallels, Dexa was shown to inhibit NF-κB signals by upregulating inhibitory κBα (IκBα)[422]. Moreover, Dexa’s inhibition</w:t>
      </w:r>
      <w:r w:rsidR="0009126D">
        <w:t xml:space="preserve"> </w:t>
      </w:r>
      <w:r>
        <w:t>of NF-κB was shown to be necessary for proteasome subunit C3 upregulation in the same L6 cells[423].</w:t>
      </w:r>
    </w:p>
    <w:p w14:paraId="068F6942" w14:textId="77777777" w:rsidR="0009126D" w:rsidRDefault="00FE328A" w:rsidP="00FE328A">
      <w:pPr>
        <w:pStyle w:val="BUMainText"/>
        <w:ind w:firstLine="720"/>
      </w:pPr>
      <w:r>
        <w:t>Unbiased searches in atrophying mouse muscles revealed two upregulated genes, termed atrogenes, MAFbx and MuRF-1[227]. Both are E3 ligases, pointing to an important role for the proteasome-ubiquitin system in muscle atrophy. Studies on cultured myotubes confirmed that GCs induce the two atrogenes directly, without a third-party organ mediation[424]. In contrast to other muscle atrophy models, GAML is associated with stronger reliance on MuRF-1 than on MAFbx. Indicating a lower amplitude and / or higher variability in MAFbx, some unbiased searches in rat GAML failed to identify MAFbx as a target of Dexa[425]. While genetic depletion of either atrogene leads to muscle sparing in the denervation model[227], only MuRF-1, but not MAFbx genetic depletion spares muscle treated with Dexa[426]. The incomplete sparing of the MuRF-1 knockout indicates genetic redundancy. The main candidates for supplanting MuRF-1 are homologs MuRF-2 and MuRF-3, rather than MAFbx.</w:t>
      </w:r>
    </w:p>
    <w:p w14:paraId="227B1B2F" w14:textId="77777777" w:rsidR="0009126D" w:rsidRDefault="00FE328A" w:rsidP="00FE328A">
      <w:pPr>
        <w:pStyle w:val="BUMainText"/>
        <w:ind w:firstLine="720"/>
      </w:pPr>
      <w:r>
        <w:t>One distinction between the two atrogenes is set by their promoters. MuRF-1 promoter includes a GC response element, which MAFbx promoter appears to lack[427, 428]. In contrast, MAFbx promoter is activated by myogenin[371], a MRF involved in muscle regeneration. In C2C12 cells, MAFbx is upregulated by differentiation[429]. MAFbx is induced in muscle during hypertrophy from reloading[430]. Moreover, MAFbx knockout abolishes hypertrophy of loading[431]. Denervation leads to a stronger myogenin upregulation compared to GAML[432]. It is possible that GAML represses regeneration to a higher degree, thus leading to a less ample activation of the myogenin - MAFbx axis.</w:t>
      </w:r>
    </w:p>
    <w:p w14:paraId="37F1A337" w14:textId="4F868D5C" w:rsidR="0009126D" w:rsidRDefault="00FE328A" w:rsidP="00FE328A">
      <w:pPr>
        <w:pStyle w:val="BUMainText"/>
        <w:ind w:firstLine="720"/>
      </w:pPr>
      <w:r>
        <w:t>Substrate specificity is also distinguishing the two ligases. The only two known MAFbx ubiquitination substrates are MyoD and the eukaryotic initiation factor 3f (eIF3-f), identified in C2C12 ([433, 434], reviewed in [108]). This suggests that MAFbx may be an initiator, neutralizing a few specific</w:t>
      </w:r>
      <w:r w:rsidR="00F3504A">
        <w:t xml:space="preserve"> </w:t>
      </w:r>
      <w:r w:rsidR="00F3504A" w:rsidRPr="00F3504A">
        <w:t>muscle-protecting factors, belonging to multiple metabolic pathways. Because</w:t>
      </w:r>
      <w:r w:rsidR="00F3504A">
        <w:t xml:space="preserve"> </w:t>
      </w:r>
      <w:r>
        <w:t>MAFbx neutralizes a translation initiation factor, it has been suggested that MAFbx relative importance is augmented in conditions where muscle loss relies more on loss of protein synthesis.</w:t>
      </w:r>
    </w:p>
    <w:p w14:paraId="02909D32" w14:textId="77777777" w:rsidR="0009126D" w:rsidRDefault="00FE328A" w:rsidP="00FE328A">
      <w:pPr>
        <w:pStyle w:val="BUMainText"/>
        <w:ind w:firstLine="720"/>
      </w:pPr>
      <w:r>
        <w:t>Two-yeast hybrid experiments revealed two classes of putative MuRF-1 substrates[435].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 proteins from the second class were downregulated[436]. In vitro, MuRF-1 ubiquitinates myosin heavy chains[437] and actin[438]. MuRF-1 is therefore a more plausible effector of bulk protein degradation, as it is a better fit for the “undiscriminating” proteolytic machine postulated by Goldberg.</w:t>
      </w:r>
    </w:p>
    <w:p w14:paraId="702635D6" w14:textId="77777777" w:rsidR="0009126D" w:rsidRDefault="00FE328A" w:rsidP="00FE328A">
      <w:pPr>
        <w:pStyle w:val="BUMainText"/>
        <w:ind w:firstLine="720"/>
      </w:pPr>
      <w:r>
        <w:t>The mechanisms by which MuRF-1 is induced are still under study. Transgenic mice with a defective GR still exhibit upregulated atrogenes in denervation and fasting, thus demonstrating the multiplicity of</w:t>
      </w:r>
      <w:r w:rsidR="0009126D">
        <w:t xml:space="preserve"> </w:t>
      </w:r>
      <w:r>
        <w:t>atrogene-stimulating mechanisms. A sizable body of indirect evidence suggests that the main positive regulators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upregulation[439].</w:t>
      </w:r>
    </w:p>
    <w:p w14:paraId="4101181E" w14:textId="77777777" w:rsidR="0009126D" w:rsidRDefault="00FE328A" w:rsidP="00FE328A">
      <w:pPr>
        <w:pStyle w:val="BUMainText"/>
        <w:ind w:firstLine="720"/>
      </w:pPr>
      <w:r>
        <w:t>In cultured cells, Dexa upregulates the nuclear cofactor p300[440]. Dexa also</w:t>
      </w:r>
      <w:r w:rsidR="0009126D">
        <w:t xml:space="preserve"> </w:t>
      </w:r>
      <w:r>
        <w:t>upregulates acetylation and nuclear translocation of C/EBP β, in a p300 dependent-manner[421]. Because atrogenes promoters contain putative binding sites for C/EBP transcription factors, p300 was hypothesized to be yet another mechanism by which GCs stimulate atrogenes. Interestingly, p300 is a histone acetyltransferase (HAT). Dexa increases HAT activity and reduces HDAC activity in muscle[441]. Because HDAC 3 and 6 are repressed by Dexa and because trichostatin A, an HDAC inhibitor, upregulates MAFbx, it has been hypothesized that Dexa acts by increased histone acetylation. The importance of histone acetylation in in vivo GAML and the specific genes affected by epigenetic mechanisms are still to be determined. Therefore, the hypothesis that</w:t>
      </w:r>
      <w:r w:rsidR="0009126D">
        <w:t xml:space="preserve"> </w:t>
      </w:r>
      <w:r>
        <w:t>Dexa-induced histone acetylation stimulates MuRF-1 remains a speculation.</w:t>
      </w:r>
    </w:p>
    <w:p w14:paraId="6506A1BB" w14:textId="77777777" w:rsidR="00F3504A" w:rsidRDefault="00FE328A" w:rsidP="00FE328A">
      <w:pPr>
        <w:pStyle w:val="BUMainText"/>
        <w:ind w:firstLine="720"/>
      </w:pPr>
      <w:r>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localization[108]. Next sections will describe the various pathways that are hypothesized to upregulate the</w:t>
      </w:r>
      <w:r w:rsidR="0009126D">
        <w:t xml:space="preserve"> </w:t>
      </w:r>
      <w:r>
        <w:t>ubiquitin-proteasome system. Each of them has proteasome-unrelated side effects, including activation of other proteolytic and anti-translational pathways.</w:t>
      </w:r>
    </w:p>
    <w:p w14:paraId="1645EF67" w14:textId="77777777" w:rsidR="00F3504A" w:rsidRPr="00317593" w:rsidRDefault="00FE328A" w:rsidP="00F3504A">
      <w:pPr>
        <w:pStyle w:val="Heading2"/>
        <w:rPr>
          <w:sz w:val="24"/>
          <w:szCs w:val="24"/>
        </w:rPr>
      </w:pPr>
      <w:r w:rsidRPr="00317593">
        <w:rPr>
          <w:sz w:val="24"/>
          <w:szCs w:val="24"/>
        </w:rPr>
        <w:t>Glucocorticoid-induced loss of sensitivity on the IRS - Akt axis</w:t>
      </w:r>
    </w:p>
    <w:p w14:paraId="128462F5" w14:textId="77777777" w:rsidR="00F3504A" w:rsidRDefault="00FE328A" w:rsidP="00FE328A">
      <w:pPr>
        <w:pStyle w:val="BUMainText"/>
        <w:ind w:firstLine="720"/>
      </w:pPr>
      <w:r>
        <w:t>Surprisingly, the most comprehensive account on GC-induced changes on protein metabolic regulation comes from the study of glucose metabolism</w:t>
      </w:r>
      <w:r w:rsidR="0009126D">
        <w:t xml:space="preserve"> </w:t>
      </w:r>
      <w:r>
        <w:t>changes. The latter is more easily measured in muscle, because it comprises only catabolic, but no anabolic, components (detailed in the dedicated section).</w:t>
      </w:r>
    </w:p>
    <w:p w14:paraId="4F58937C" w14:textId="77777777" w:rsidR="00F3504A" w:rsidRDefault="00FE328A" w:rsidP="00FE328A">
      <w:pPr>
        <w:pStyle w:val="BUMainText"/>
        <w:ind w:firstLine="720"/>
      </w:pPr>
      <w:r>
        <w:t>Dexa causes systemic insulin resistance, manifested as uncompensated hyperglycemia[403]. Dexa induces concerted catabolic changes, which eventually</w:t>
      </w:r>
      <w:r w:rsidR="00F3504A">
        <w:t xml:space="preserve"> </w:t>
      </w:r>
      <w:r>
        <w:t>converge to hyperglycemia, and consequent hyperinsulinemia. Together, these yield a higher index of homeostatic model assessment - insulin resistance (HOMA-IR)[442]. However, Dexa overrides insulin to reduce muscle glucose</w:t>
      </w:r>
      <w:r w:rsidR="00F3504A">
        <w:t xml:space="preserve"> </w:t>
      </w:r>
      <w:r>
        <w:t>uptake[443, 322, 444]. Dexa does not alter expression and activity of hexokinase, and of glucose transporter (GLUT) 4 expression[445], but inhibits GLUT4 recruitment to the cell membrane[443, 445]. Because translocation of GLUT4 in response to insulin is critically dependent on Akt[446],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w:t>
      </w:r>
      <w:r w:rsidR="00F3504A">
        <w:t xml:space="preserve"> </w:t>
      </w:r>
      <w:r>
        <w:t>multi-step process.</w:t>
      </w:r>
    </w:p>
    <w:p w14:paraId="5900ECA1" w14:textId="77777777" w:rsidR="00F3504A" w:rsidRDefault="00FE328A" w:rsidP="00FE328A">
      <w:pPr>
        <w:pStyle w:val="BUMainText"/>
        <w:ind w:firstLine="720"/>
      </w:pPr>
      <w:r>
        <w:t>The inhibition of Akt as result of Dexa interference was the subject of debates in the 2000’s. Proving Akt inactivation by Dexa is a complex endeavor, due to the extremely low Akt activation in basal state. Insulin or IGF-I, in concentrations close to the physiological levels, increase glucose uptake about 10-fold in muscle explants [443]. The fact that there is significant leeway for amplification of anabolic pathways demonstrates that, at basal state, muscle Akt-mediated signals are far below maximum. In immunoblots, active, that is, phosphorylated Akt is often below detection threshold in basal state[402]. Unsurprisingly, observations on basal state muscle frequently failed to identify further repression of Akt by Dexa. Many studies misinterpreted this failure to detect as an actual absence of effect.</w:t>
      </w:r>
    </w:p>
    <w:p w14:paraId="060EFC3D" w14:textId="77777777" w:rsidR="00F3504A" w:rsidRDefault="00FE328A" w:rsidP="00FE328A">
      <w:pPr>
        <w:pStyle w:val="BUMainText"/>
        <w:ind w:firstLine="720"/>
      </w:pPr>
      <w:r>
        <w:t>The opposite situation may also be true. Experimental studies on the Akt pathway are conceptually challenged by its extremely low basal activity. In a molecular biology experiment, in order to prove causality by inhibition, one must</w:t>
      </w:r>
      <w:r w:rsidR="00F3504A">
        <w:t xml:space="preserve"> </w:t>
      </w:r>
      <w:r>
        <w:t>reverse the inhibition, and observe that the final effect is lost. In the case of a putative inhibition of Akt by Dexa, genetic reversal of inhibition will never be able to merely reverse the inhibition. Most often, overexpression of IGF-I, IGF-1R,</w:t>
      </w:r>
      <w:r w:rsidR="00F3504A">
        <w:t xml:space="preserve"> </w:t>
      </w:r>
      <w:r>
        <w:t>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3DB5CC94" w14:textId="77777777" w:rsidR="00F3504A" w:rsidRDefault="00FE328A" w:rsidP="00FE328A">
      <w:pPr>
        <w:pStyle w:val="BUMainText"/>
        <w:ind w:firstLine="720"/>
      </w:pPr>
      <w:r>
        <w:t>Dexa interference on the Akt pathway begins at IRS 1. Dexa treatment does not change basal levels of autophosphorylated insulin receptor in absolute or stoichiometric terms[442, 447, 448]. Similarly, Dexa alone does not appear to change the basal level of phosphorylated IRS. However, in response to insulin, mice treated for 5 days with 1 mg/(kg d) Dexa exhibit only a third of the IRS 1 and</w:t>
      </w:r>
      <w:r w:rsidR="00F3504A">
        <w:t xml:space="preserve"> </w:t>
      </w:r>
      <w:r>
        <w:t>2 phosphorylation, compared to untreated animals[449]. The mechanism by which Dexa interferes with IRS 1 is unknown. Based on observational studies, the interference was attributed to an improved protection of IRS by calmodulin[450], to an inhibitory phosphorylation on another residue, possibly by PKC[451, 448], or to the upregulated phosphatase C1-Ten[452]. In C2C12 myotubes, Dexa may downregulate IRS through caveolin repression[409].</w:t>
      </w:r>
    </w:p>
    <w:p w14:paraId="53661048" w14:textId="77777777" w:rsidR="00F3504A" w:rsidRDefault="00FE328A" w:rsidP="00FE328A">
      <w:pPr>
        <w:pStyle w:val="BUMainText"/>
        <w:ind w:firstLine="720"/>
      </w:pPr>
      <w:r>
        <w:t>The notion that Dexa interferes with IGF-I signaling suggested that GAML also attenuates downstream, IRS-independent, MAPK response (reviewed in [453]).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Grb2[454]. Paralleling the findings in sugar metabolism, Dexa has no detectable effect in basal state.</w:t>
      </w:r>
      <w:r w:rsidR="00F3504A">
        <w:t xml:space="preserve"> </w:t>
      </w:r>
      <w:r>
        <w:t>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rats[418]. Others describe increased Erk phosphorylation in</w:t>
      </w:r>
      <w:r w:rsidR="00F3504A">
        <w:t xml:space="preserve"> </w:t>
      </w:r>
      <w:r>
        <w:t>L6 myotubes during acute Dexa[455]. No reports describe such changes in wild-type healthy animals. Measurements of changes in activation of another MAPK, p38, are contradictory[456, 457].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5F774BCF" w14:textId="77777777" w:rsidR="00F3504A" w:rsidRDefault="00FE328A" w:rsidP="00FE328A">
      <w:pPr>
        <w:pStyle w:val="BUMainText"/>
        <w:ind w:firstLine="720"/>
      </w:pPr>
      <w:r>
        <w:t>Next interference by Dexa occurs at the level of PI3K, whose recruitment to the membrane complex containing insulin receptor and IRS1 is</w:t>
      </w:r>
      <w:r w:rsidR="00F3504A">
        <w:t xml:space="preserve"> </w:t>
      </w:r>
      <w:r>
        <w:t>hindered[442, 449]. One PI3K-inhibiting mechanism is based on transcriptional effects, with Dexa upregulating transcription of the PI3K regulatory subunit p85 α[425]. It was hypothesized that p85 α sequesters PI3K catalytic subunit, p110, in the cytosol, and away from the IRS-containing membrane complex</w:t>
      </w:r>
      <w:r w:rsidR="00F3504A">
        <w:t xml:space="preserve"> </w:t>
      </w:r>
      <w:r>
        <w:t>[442, 458, 459]. Another putative mechanism contends that activated GR binds p85 in a competitive manner, thus displacing it from IRS1[460]. This</w:t>
      </w:r>
      <w:r w:rsidR="00F3504A">
        <w:t xml:space="preserve"> </w:t>
      </w:r>
      <w:r>
        <w:t>non-transcriptional effect has not been fully explored in GAML in vivo, but is supported by the unusual persistence of IRS1-PI3K complexes during diabetes in GR knockout mice muscle[460].</w:t>
      </w:r>
    </w:p>
    <w:p w14:paraId="0469045C" w14:textId="77777777" w:rsidR="00F3504A" w:rsidRDefault="00FE328A" w:rsidP="00FE328A">
      <w:pPr>
        <w:pStyle w:val="BUMainText"/>
        <w:ind w:firstLine="720"/>
      </w:pPr>
      <w:r>
        <w:t>The next step in the Akt pathway is the formation of a membrane complex comprising the receptor, IRS, p85, and p110 (reviewed in [461]). The latter acts on</w:t>
      </w:r>
      <w:r w:rsidR="00F3504A">
        <w:t xml:space="preserve"> </w:t>
      </w:r>
      <w:r>
        <w:t>the membrane lipids to synthesize 3-phosphoinositides. In muscle cell lines treated with Dexa in vitro, the depletion of membrane-bound PI3K and of</w:t>
      </w:r>
      <w:r w:rsidR="00F3504A">
        <w:t xml:space="preserve"> </w:t>
      </w:r>
      <w:r>
        <w:t>3-phosphoinositides leads to lower activation of 3-phosphoinositide-dependent protein kinase 1 (PDK1). In turn, the reduction in PDK1 lowers the phosphorylation on its substrate, Thr 308 on the activation loop of Akt. While Thr</w:t>
      </w:r>
      <w:r w:rsidR="00F3504A">
        <w:t xml:space="preserve"> </w:t>
      </w:r>
      <w:r>
        <w:t>308 phosphorylation is not detectable in rat muscle in basal state, its sensitivity to insulin is depressed by Dexa[462].</w:t>
      </w:r>
    </w:p>
    <w:p w14:paraId="54928B53" w14:textId="77777777" w:rsidR="00F3504A" w:rsidRDefault="00FE328A" w:rsidP="00FE328A">
      <w:pPr>
        <w:pStyle w:val="BUMainText"/>
        <w:ind w:firstLine="720"/>
      </w:pPr>
      <w:r>
        <w:t>Akt has another important phosphorylation site at Ser 473. Historically, Ser</w:t>
      </w:r>
      <w:r w:rsidR="00F3504A">
        <w:t xml:space="preserve"> </w:t>
      </w:r>
      <w:r>
        <w:t>473 phosphorylation was seen as a non-limiting step towards Akt activation, occurring automatically after Thr 308 phosphorylation. In GAML, Ser 473 appears to closely mimic Thr 308, with Dexa lowering insulin’s ability to upregulate Ser 473 phosphorylation[462, 449, 463, 390].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state[464, 465, 466].</w:t>
      </w:r>
    </w:p>
    <w:p w14:paraId="66829563" w14:textId="77777777" w:rsidR="00F3504A" w:rsidRDefault="00FE328A" w:rsidP="00FE328A">
      <w:pPr>
        <w:pStyle w:val="BUMainText"/>
        <w:ind w:firstLine="720"/>
      </w:pPr>
      <w:r>
        <w:t>A second distinction between Thr 308 and Ser 473 is the difference in stimuli and enzymes causing their phosphorylation. Ser 473 phosphorylation is nominally stimulated by growth factors, through mTOR complex 2, and through little-known, mTOR-independent, 3-phosphoinositide-stimulated mechanisms[467]. Extracellular stimuli that activate Thr 308 are expected to cause 3-phosphoinositide synthesis, and simultaneous Ser 473 activation. However, Ser 473 and Thr 308 phosphorylation may occur separately (see examples in the next section). In this case, it may be the case that Dexa impedes Ser 473 phosphorylation through another, yet undiscovered, mechanism.</w:t>
      </w:r>
    </w:p>
    <w:p w14:paraId="7E9BDC31" w14:textId="77777777" w:rsidR="00F3504A" w:rsidRDefault="00FE328A" w:rsidP="00FE328A">
      <w:pPr>
        <w:pStyle w:val="BUMainText"/>
        <w:ind w:firstLine="720"/>
      </w:pPr>
      <w:r>
        <w:t>The interdependence between Ser 473 and Thr 308 is illustrated by the fact</w:t>
      </w:r>
      <w:r w:rsidR="00F3504A">
        <w:t xml:space="preserve"> </w:t>
      </w:r>
      <w:r>
        <w:t>that non-mutagenic in vivo experiments rarely describe Akt activation without phosphorylation at both residues (reviewed in [468]). In vivo, the scarcity of segregation reports leads to lack of knowledge regarding potential independent specializations for the two sites. However, in vitro manipulations indicate that the two sites synergize for maximal Akt activation[469]. Mutagenic abolition of Ser</w:t>
      </w:r>
      <w:r w:rsidR="00F3504A">
        <w:t xml:space="preserve"> </w:t>
      </w:r>
      <w:r>
        <w:t>473 phosphorylation abrogates Akt activity on substrates belonging to the Foxo class, but does not change Akt ability to phosphorylate tuberin (Tuberous Sclerosis Complex 2; TSC2) and glycogen synthase kinase 3 (GSK3)[470]. Such</w:t>
      </w:r>
      <w:r w:rsidR="00F3504A">
        <w:t xml:space="preserve"> </w:t>
      </w:r>
      <w:r>
        <w:t>changes in substrate imply that Ser 473 controls specificity. Because Foxo is at the core of atrogene regulation in muscle atrophy, Ser 473 status has been of greater interest for GAML studies.</w:t>
      </w:r>
    </w:p>
    <w:p w14:paraId="506DC42A" w14:textId="77777777" w:rsidR="00F3504A" w:rsidRDefault="00FE328A" w:rsidP="00FE328A">
      <w:pPr>
        <w:pStyle w:val="BUMainText"/>
        <w:ind w:firstLine="720"/>
      </w:pPr>
      <w:r>
        <w:t>More evidence for Dexa-induced inhibition of Akt comes from its substrates, such as Ser 9 on GSK3-β. Chronic Dexa reduces GSK3-β phosphorylation at Ser 9, thus leading to GSK3-β activation[462]. The activation of GSK3-β in GAML is confirmed by increased phosphorylation of its substrate glycogen synthase at Ser</w:t>
      </w:r>
      <w:r w:rsidR="00F3504A">
        <w:t xml:space="preserve"> </w:t>
      </w:r>
      <w:r>
        <w:t>645, 649, 653, 657, and decreases intramuscular glycogen synthesis rate[471, 472, 462]. Among the many substrates of GSK3-β, the subunit ε of eukaryotic initiation factor 2B (eIF2B) may mediate an anti-anabolic effect[473]. In cultured myotubes, GSK3-β knockdown reduces Dexa ability to upregulate MAFbx[474]. While inactivation of GSK3-β is typically attributed to latent Akt inhibition, the Ser 9 site is also a target for ribosomal protein S6 kinase, 90 kDa (p90-RSK), serum and glucocorticoid-inducible kinase-like kinase (SGKL), and p70-S6K[475, 476, 477].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w:t>
      </w:r>
      <w:r w:rsidR="00F3504A">
        <w:t xml:space="preserve"> </w:t>
      </w:r>
      <w:r>
        <w:t>anabolism[478] led to an unjustified neglect of GSK3-β.</w:t>
      </w:r>
    </w:p>
    <w:p w14:paraId="63B61F58" w14:textId="77777777" w:rsidR="00F3504A" w:rsidRDefault="00FE328A" w:rsidP="00FE328A">
      <w:pPr>
        <w:pStyle w:val="BUMainText"/>
        <w:ind w:firstLine="720"/>
      </w:pPr>
      <w:r>
        <w:t>In conclusion, Dexa interferes with IRS / Akt pathway in multiple ways, thus inhibiting glucose uptake. The inhibition of this pathway is difficult to detect in basal conditions, but consistently observed during challenge tests with insulin or IGF-I. Because the model of GAML centered on Akt is derived from experiments with acute states, cell models, and intrinsic anabolic interventions, it is perfectible. The best-studied downstream targets of Akt are mTOR and FOXO.</w:t>
      </w:r>
    </w:p>
    <w:p w14:paraId="7ECAAA2B" w14:textId="77777777" w:rsidR="00F3504A" w:rsidRPr="00317593" w:rsidRDefault="00FE328A" w:rsidP="00317593">
      <w:pPr>
        <w:pStyle w:val="Heading2"/>
        <w:rPr>
          <w:sz w:val="24"/>
          <w:szCs w:val="24"/>
        </w:rPr>
      </w:pPr>
      <w:r w:rsidRPr="00317593">
        <w:rPr>
          <w:sz w:val="24"/>
          <w:szCs w:val="24"/>
        </w:rPr>
        <w:t>Glucocorticoid inhibition of mTOR</w:t>
      </w:r>
    </w:p>
    <w:p w14:paraId="414A3B5F" w14:textId="77777777" w:rsidR="00F3504A" w:rsidRDefault="00FE328A" w:rsidP="00FE328A">
      <w:pPr>
        <w:pStyle w:val="BUMainText"/>
        <w:ind w:firstLine="720"/>
      </w:pPr>
      <w:r>
        <w:t>One of the most effective pathways for Akt to induce its anabolic program is mTORC1 (reviewed in [479, 480, 481]). The latter’s modulation in acute Dexa administration is proven by reduced phosphorylation in its substrates, 4E-BP (Thr 37/46) and p70-S6K (Thr 389)[482]. More commonly, 4E-BP and p70-S6K phosphorylation are reported to behave in a manner similar to Akt activation, with no detectable Dexa effect on their basal phosphorylation, and a</w:t>
      </w:r>
      <w:r w:rsidR="00F3504A">
        <w:t xml:space="preserve"> </w:t>
      </w:r>
      <w:r>
        <w:t>Dexa-induced loss of sensitivity to insulin[483, 444].</w:t>
      </w:r>
    </w:p>
    <w:p w14:paraId="778E65B1" w14:textId="77777777" w:rsidR="00F3504A" w:rsidRDefault="00FE328A" w:rsidP="00FE328A">
      <w:pPr>
        <w:pStyle w:val="BUMainText"/>
        <w:ind w:firstLine="720"/>
      </w:pPr>
      <w:r>
        <w:t>The mechanism by which mTOR is modulated by Dexa is not elucidated yet. Cell models established that activated Akt phosphorylates and inhibits</w:t>
      </w:r>
      <w:r w:rsidR="00F3504A">
        <w:t xml:space="preserve"> </w:t>
      </w:r>
      <w:r>
        <w:t>proline-rich Akt substrate of 40-kDa (PRAS40), a negative regulator of mTORC1[484]. The same cell models showed that activated Akt phosphorylates TSC2, thus causing its sequestration with a cytosol partner, 14-3-3, and away from its transmembrane partner, hamartin (Tuberous Sclerosis Complex 1; TSC1)[485]. The destruction of TSC1-TSC2 complexes relieves the negative regulation from Rheb, a small GTPase, which can induce activation of mTORC1. Therefore, in theory, Dexa-induced repression of Akt should inhibit mTORC1 in two distinct ways. In practice, there is little evidence for TSC2 or PRAS40 based mechanisms</w:t>
      </w:r>
      <w:r w:rsidR="00F3504A">
        <w:t xml:space="preserve"> </w:t>
      </w:r>
      <w:r>
        <w:t>in GAML in vivo.</w:t>
      </w:r>
    </w:p>
    <w:p w14:paraId="2EC07A65" w14:textId="77777777" w:rsidR="00F3504A" w:rsidRDefault="00FE328A" w:rsidP="00FE328A">
      <w:pPr>
        <w:pStyle w:val="BUMainText"/>
        <w:ind w:firstLine="720"/>
      </w:pPr>
      <w:r>
        <w:t>The scarcity of evidence for PRAS40 or TSC2 mediation suggested that other mechanisms might lead to mTORC1 inactivation in GAML. Moreover, an</w:t>
      </w:r>
      <w:r w:rsidR="00F3504A">
        <w:t xml:space="preserve"> </w:t>
      </w:r>
      <w:r>
        <w:t>Akt-mediated Dexa effect on mTORC1 would be subtle, with sizable amplitude only during hyperinsulinemia. Alternative Akt-independent pathways have been hypothesized. A well-studied negative regulator of mTOR is the energy sensor AMPK[486, 487]. However, Dexa inhibits muscle AMPK phosphorylation and activity[463, 488], probably as a consequence of intramuscular ATP upregulation[489]. The surge in intramuscular ATP is caused by Dexa-induced improvements in mitochondrial function, exemplified by upregulation of cytochrome c oxidase expression and activity[490] and of Na(+)-K(+)-ATPase expression and maximal activity[491]. Chronic Dexa or corticosterone do not alter Liver Kinase B1 (LKB1)[463, 492], the main AMPK kinase, indicating that ATP availability causes AMPK inhibition by another, unknown mediator. In</w:t>
      </w:r>
      <w:r w:rsidR="00F3504A">
        <w:t xml:space="preserve"> </w:t>
      </w:r>
      <w:r>
        <w:t>conclusion, in GAML, mTOR suppression does not employ AMPK. Moreover, GAML does not involve mitochondrial dysfunction.</w:t>
      </w:r>
    </w:p>
    <w:p w14:paraId="4975DA3A" w14:textId="77777777" w:rsidR="00F3504A" w:rsidRDefault="00FE328A" w:rsidP="00FE328A">
      <w:pPr>
        <w:pStyle w:val="BUMainText"/>
        <w:ind w:firstLine="720"/>
      </w:pPr>
      <w:r>
        <w:t>A third putative mTORC1 inactivating mechanism is centered on the stress sensor REDD1. Dexa upregulates REDD1 expression in muscle[425]. Demonstrating its key role, genetic depletion of REDD1 abolishes GAML and Dexa-induced myotube atrophy[493, 494]. In cell culture, REDD1 interferes with</w:t>
      </w:r>
      <w:r w:rsidR="00F3504A">
        <w:t xml:space="preserve"> </w:t>
      </w:r>
      <w:r>
        <w:t>14-3-3 in order to release TSC2, restore TSC1-TSC2 complexes, and eventually inhibit mTORC1[495]. Moreover, REDD1 is in epistasis with AMPK[496], at times overriding its action on mTORC1. Interestingly, a REDD1-based mechanism could explain the few observations on mTORC1 changes just as well as an Akt-centered model would.</w:t>
      </w:r>
    </w:p>
    <w:p w14:paraId="628D910A" w14:textId="77777777" w:rsidR="00F3504A" w:rsidRDefault="00FE328A" w:rsidP="00FE328A">
      <w:pPr>
        <w:pStyle w:val="BUMainText"/>
        <w:ind w:firstLine="720"/>
      </w:pPr>
      <w:r>
        <w:t>Finally, limited evidence suggests that Dexa impedes mTORC1 ability to act</w:t>
      </w:r>
      <w:r w:rsidR="00F3504A">
        <w:t xml:space="preserve"> </w:t>
      </w:r>
      <w:r>
        <w:t>on its substrate p70-S6K, through the depletion of a putative scaffold, eIF3f[497].</w:t>
      </w:r>
    </w:p>
    <w:p w14:paraId="01DA070E" w14:textId="77777777" w:rsidR="00F3504A" w:rsidRDefault="00FE328A" w:rsidP="00FE328A">
      <w:pPr>
        <w:pStyle w:val="BUMainText"/>
        <w:ind w:firstLine="720"/>
      </w:pPr>
      <w:r>
        <w:t>Another way to gauge the role of mTORC1 is to use its inhibitor, rapamycin. One group reported that the Dexa-induced decrement in protein synthesis is unmodified, in absolute terms, upon rapamycin co-administration[444], suggesting that mTOR signaling is dispensable. In a C2C12 microarray study, interference of IGF-I transcriptional program with PI3K inhibitor was virtually identical to the interference induced by rapamycin[498], indicating that, on the contrary, mTOR is indispensable for PI3K effects. Most likely, both hypotheses are based on reductionist models that do not reflect true in vivo phenomena.</w:t>
      </w:r>
    </w:p>
    <w:p w14:paraId="0492C7AF" w14:textId="77777777" w:rsidR="00F3504A" w:rsidRDefault="00FE328A" w:rsidP="00FE328A">
      <w:pPr>
        <w:pStyle w:val="BUMainText"/>
        <w:ind w:firstLine="720"/>
      </w:pPr>
      <w:r>
        <w:t>Discovery of novel mTORC1 substrates such as UNC-51-like kinase 1 (ULK1)[499]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035B198F" w14:textId="77777777" w:rsidR="00F3504A" w:rsidRDefault="00FE328A" w:rsidP="00FE328A">
      <w:pPr>
        <w:pStyle w:val="BUMainText"/>
        <w:ind w:firstLine="720"/>
      </w:pPr>
      <w:r>
        <w:t>A recent study on acute Dexa[494] 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w:t>
      </w:r>
      <w:r w:rsidR="00F3504A">
        <w:t xml:space="preserve"> </w:t>
      </w:r>
      <w:r>
        <w:t>Dexa-induced mTORC1 inactivation is mediated by hypophosphorylation of</w:t>
      </w:r>
      <w:r w:rsidR="00F3504A">
        <w:t xml:space="preserve"> </w:t>
      </w:r>
      <w:r>
        <w:t>PRAS40, which is in turn caused by hypophosphorylation of Akt at Thr 308.</w:t>
      </w:r>
      <w:r w:rsidR="00F3504A">
        <w:t xml:space="preserve"> </w:t>
      </w:r>
      <w:r>
        <w:t>Britto found more evidence for the REDD1 - Akt - PRAS40 axis in the REDD1 knockout mice, which are resistant to chronic Dexa. In these mice, acute Dexa fails to induce hypophosphorylation on PRAS40, and on Thr 308 of Akt.</w:t>
      </w:r>
    </w:p>
    <w:p w14:paraId="0DD00179" w14:textId="77777777" w:rsidR="00F3504A" w:rsidRDefault="00FE328A" w:rsidP="00FE328A">
      <w:pPr>
        <w:pStyle w:val="BUMainText"/>
        <w:ind w:firstLine="720"/>
      </w:pPr>
      <w:r>
        <w:t>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([500]; reviewed in [501]).</w:t>
      </w:r>
    </w:p>
    <w:p w14:paraId="38D40410" w14:textId="77777777" w:rsidR="00F3504A" w:rsidRDefault="00FE328A" w:rsidP="00FE328A">
      <w:pPr>
        <w:pStyle w:val="BUMainText"/>
        <w:ind w:firstLine="720"/>
      </w:pPr>
      <w:r>
        <w:t>The hypothesis that REDD1 suppresses Akt and mTORC1 is very attractive, because, in contrast to IRS1, REDD1 would be an active and permanent repressor. The mechanism by which Dexa stimulates REDD1 remains to be found. In neurons, the most robust inducer of REDD1 is hypoxia, through HIF transcription factors[501]. In contrast, in muscle, Dexa downregulates VEGF [502], a downstream effector of HIF (described in the section on vascularization). This suggests that Dexa causes REDD1 upregulation independent of HIF1a and of hypoxia. Other putative positive regulators of REDD1 include ATF4 and NFAT, discussed in other sections of this chapter.</w:t>
      </w:r>
    </w:p>
    <w:p w14:paraId="0CFBDDBA" w14:textId="77777777" w:rsidR="00F3504A" w:rsidRDefault="00FE328A" w:rsidP="00FE328A">
      <w:pPr>
        <w:pStyle w:val="BUMainText"/>
        <w:ind w:firstLine="720"/>
      </w:pPr>
      <w:r>
        <w:t>While it is certain that GAML is correlated with mTORC1 downregulation, it is still unclear how mTORC1 repression is achieved, and what is its relative importance. Based on the published evidence, the recent change of paradigm, which placed p70-S6K at the forefront of denervation atrophy, appears unlikely in GAML. For now, our understanding of GAML places Akt upstream of mTORC1.Better transgenic models, a deeper understanding of mTOR pathway, and more in vitro / recombinant experiments are required for a definitive conclusion.</w:t>
      </w:r>
    </w:p>
    <w:p w14:paraId="42A33E66" w14:textId="77777777" w:rsidR="00F3504A" w:rsidRPr="00317593" w:rsidRDefault="00FE328A" w:rsidP="00317593">
      <w:pPr>
        <w:pStyle w:val="Heading2"/>
        <w:rPr>
          <w:sz w:val="24"/>
          <w:szCs w:val="24"/>
        </w:rPr>
      </w:pPr>
      <w:r w:rsidRPr="00317593">
        <w:rPr>
          <w:sz w:val="24"/>
          <w:szCs w:val="24"/>
        </w:rPr>
        <w:t>Glucocorticoid activation of Foxo transcriptional program</w:t>
      </w:r>
    </w:p>
    <w:p w14:paraId="3E7DBD29" w14:textId="77777777" w:rsidR="00F3504A" w:rsidRDefault="00FE328A" w:rsidP="00FE328A">
      <w:pPr>
        <w:pStyle w:val="BUMainText"/>
        <w:ind w:firstLine="720"/>
      </w:pPr>
      <w:r>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582F8001" w14:textId="77777777" w:rsidR="00F3504A" w:rsidRDefault="00FE328A" w:rsidP="00FE328A">
      <w:pPr>
        <w:pStyle w:val="BUMainText"/>
        <w:ind w:firstLine="720"/>
      </w:pPr>
      <w:r>
        <w:t>The importance of Foxo transcription factors is supported intuitively by their role as integrators of multiple atrophy signaling pathways. Multiple mechanisms converge to induce Foxo upregulation in GAML. First, chronic Dexa doubles Foxo expression[425]. Foxo1 promoter contains a GR response element[503]. In C2C12 myotubes, the response is biphasic, combining a short-lived ample and rapid increase, with a gentler long-term augmentation[429]. Foxo promoters contain GR-binding sites[504]. In vitro, Foxo induction by GR is facilitated by the histone acetyl transferases p300 and CREB-binding protein, which are independently upregulated by Dexa[441]. Consequently, GR knockout reduces expression of FOXO1 and FOXO3a in muscle[427].</w:t>
      </w:r>
    </w:p>
    <w:p w14:paraId="59A9FEF3" w14:textId="77777777" w:rsidR="00F3504A" w:rsidRDefault="00FE328A" w:rsidP="00FE328A">
      <w:pPr>
        <w:pStyle w:val="BUMainText"/>
        <w:ind w:firstLine="720"/>
      </w:pPr>
      <w:r>
        <w:t>Second, Foxo transcription factors are thought to be potentiated by Dexa through post-translational means involving the earlier-described Akt pathway (reviewed in [505]). When active, Akt phosphorylates Foxo1 at Tyr 32 and Ser</w:t>
      </w:r>
      <w:r w:rsidR="00F3504A">
        <w:t xml:space="preserve"> </w:t>
      </w:r>
      <w:r>
        <w:t>253, thus creating binding sites for 14-3-3. Phosphorylated Foxo transcription factors are exported from the nucleus, and eventually marked for</w:t>
      </w:r>
      <w:r w:rsidR="00F3504A">
        <w:t xml:space="preserve"> </w:t>
      </w:r>
      <w:r>
        <w:t>ubiquitin-proteasome-mediated degradation. Intuitively, Dexa-induced impairment of Akt is expected to contribute to an increase in Foxo activity in</w:t>
      </w:r>
      <w:r w:rsidR="00F3504A">
        <w:t xml:space="preserve"> </w:t>
      </w:r>
      <w:r>
        <w:t>GAML. Finding evidence for this mechanism has been challenging. In C2C12 myotubes, the expected Foxo hypophosphorylation in response to Dexa has been frequently reported[376, 506]. In vivo, evidence for Dexa-induced Foxo hypophosphorylation is limited to a few experiments, performed in unusual conditions, such as diabetes[507, 464, 508]. Given that phosphorylated Foxo is degraded, the ability to observe and quantify it is limited.</w:t>
      </w:r>
    </w:p>
    <w:p w14:paraId="10956FFE" w14:textId="77777777" w:rsidR="00F3504A" w:rsidRDefault="00FE328A" w:rsidP="00FE328A">
      <w:pPr>
        <w:pStyle w:val="BUMainText"/>
        <w:ind w:firstLine="720"/>
      </w:pPr>
      <w:r>
        <w:t>Third, PGC nuclear cofactors may facilitate the Dexa-induced Foxo surge. Loss of sensitivity to insulin causes PGC-1 repression in muscle[509]. In particular, Dexa represses muscle PGC-1α[456, 508] and PGC-1β[510]. In cultured myotubes, PGC-1β overexpression and knockdown cause changes in the reverse direction for Foxo3a and atrogenes’ mRNA. Because PGC-1α overexpression drives conversion of fast to slow twitch fibers[345], it has been speculated that differences in PGC-1α levels make different types of muscle fiber more or less sensitive to Dexa[377]. A whole higher level of regulation, centered on PGC-1α splicing, is yet to be studied. For example, isoform 1, and not 4, of PGC-1α is correlated with muscle hypertrophy[511].</w:t>
      </w:r>
    </w:p>
    <w:p w14:paraId="0E302E4F" w14:textId="77777777" w:rsidR="00F3504A" w:rsidRDefault="00FE328A" w:rsidP="00FE328A">
      <w:pPr>
        <w:pStyle w:val="BUMainText"/>
        <w:ind w:firstLine="720"/>
      </w:pPr>
      <w:r>
        <w:t>Fourth, indirect evidence links Foxo1 to PPARβ/δ. Dexa stimulates simultaneously PPARβ/δ DNA binding and Foxo1 acetylation[512]. PPARβ/δ inhibition reduces GAML and, at the same time, prevents Dexa-stimulated acetylation of Foxo1. While the direct effects of this post-transcriptional modification is not elucidated (reviewed in [513, 514]), it was speculated that PPARβ/δ changes induce physiologically relevant alterations in Foxo1.</w:t>
      </w:r>
    </w:p>
    <w:p w14:paraId="050DB39D" w14:textId="77777777" w:rsidR="00F3504A" w:rsidRDefault="00FE328A" w:rsidP="00FE328A">
      <w:pPr>
        <w:pStyle w:val="BUMainText"/>
        <w:ind w:firstLine="720"/>
      </w:pPr>
      <w:r>
        <w:t>Finally, the microRNA miR-182, whose expression is inhibited by Dexa, is a negative regulator of Foxo3[515]. Other mechanisms, such as AMPK, have been hypothesized, based on the latter’s ability to upregulate atrogenes.</w:t>
      </w:r>
    </w:p>
    <w:p w14:paraId="37B10C58" w14:textId="77777777" w:rsidR="00F3504A" w:rsidRDefault="00FE328A" w:rsidP="00FE328A">
      <w:pPr>
        <w:pStyle w:val="BUMainText"/>
        <w:ind w:firstLine="720"/>
      </w:pPr>
      <w:r>
        <w:t>The net result of these mechanisms is that Dexa treatments upregulates</w:t>
      </w:r>
      <w:r w:rsidR="00F3504A">
        <w:t xml:space="preserve"> </w:t>
      </w:r>
      <w:r>
        <w:t>nuclear Foxo[456]. More convincing evidence towards Foxo activation comes from its downstream effects. For example, tens of reports describe how Dexa upregulates glutamine synthetase expression and activity[516]. Glutamine synthetase promoter contains a FOXO response element. Dexa-induced expression of muscle glutamine synthetase is absent in Foxo1 knockout[517].</w:t>
      </w:r>
    </w:p>
    <w:p w14:paraId="2C399FC1" w14:textId="1E334F8E" w:rsidR="00F3504A" w:rsidRDefault="00FE328A" w:rsidP="00FE328A">
      <w:pPr>
        <w:pStyle w:val="BUMainText"/>
        <w:ind w:firstLine="720"/>
      </w:pPr>
      <w:r>
        <w:t>Manipulations of Foxo have supported their role in GAML. Transfection with dominant negative Foxo3A partially prevents diameter reduction in disuse of rat soleus and Dexa-treated C2C12 myotubes[506, 518].</w:t>
      </w:r>
    </w:p>
    <w:p w14:paraId="29E2CA3A" w14:textId="77777777" w:rsidR="00F3504A" w:rsidRDefault="00FE328A" w:rsidP="00FE328A">
      <w:pPr>
        <w:pStyle w:val="BUMainText"/>
        <w:ind w:firstLine="720"/>
      </w:pPr>
      <w:r>
        <w:t>Among the Foxo-induced genes, a special importance was given to the E3 ligases associated with muscle loss, MAFbx and MuRF-1[424]. Both atrogenes contain FOXO-binding regions in their promoter[506, 519, 427]. These</w:t>
      </w:r>
      <w:r w:rsidR="00F3504A">
        <w:t xml:space="preserve"> </w:t>
      </w:r>
      <w:r>
        <w:t>Foxo-responsive elements are in close proximity of SMAD3-binding elements, in a shared response element, which facilitates synergistic interactions between the two classes of transcription factors[520]. MuRF-1 promoter facilitates another synergistic interaction, between FOXO1 and GR[427]. A positive feedback loop links MuRF-1 and FOXO1, as indicated by downregulation of FOXO1 in late</w:t>
      </w:r>
      <w:r w:rsidR="00F3504A">
        <w:t xml:space="preserve"> </w:t>
      </w:r>
      <w:r>
        <w:t>GAML in the MuRF-1 knockout[408].</w:t>
      </w:r>
    </w:p>
    <w:p w14:paraId="18F6DA20" w14:textId="77777777" w:rsidR="00F3504A" w:rsidRDefault="00FE328A" w:rsidP="00FE328A">
      <w:pPr>
        <w:pStyle w:val="BUMainText"/>
        <w:ind w:firstLine="720"/>
      </w:pPr>
      <w:r>
        <w:t>In both atrogenes’ promoter, a Klf15 response element is located, near the FOXO binding site[521].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F3504A">
        <w:t xml:space="preserve"> </w:t>
      </w:r>
      <w:r>
        <w:t>Foxo, favored by concomitant activation of synergistic factors. Dominant negative Foxo3A transfection in rat soleus leads to loss of atrogene upregulation[522]. In cultured myotubes, transfection of constitutively active FOXO3a upregulates MAFbx[506], while knocking down FOXO1 causes a reduction in the atrogene</w:t>
      </w:r>
      <w:r w:rsidR="00F3504A">
        <w:t xml:space="preserve"> </w:t>
      </w:r>
      <w:r>
        <w:t>response to GC[523].</w:t>
      </w:r>
    </w:p>
    <w:p w14:paraId="70CD0957" w14:textId="77777777" w:rsidR="00317593" w:rsidRDefault="00FE328A" w:rsidP="00FE328A">
      <w:pPr>
        <w:pStyle w:val="BUMainText"/>
        <w:ind w:firstLine="720"/>
      </w:pPr>
      <w:r>
        <w:t>A majority of the effectors described in this chapter appear to be under the control of Foxo pathway. In addition to atrogenes, Foxo targets include 4E-BP1, cathepsin L, and another effector of denervation atrophy, Growth Arrest and DNA Damage 45 (Gadd45)[524].</w:t>
      </w:r>
    </w:p>
    <w:p w14:paraId="720839F9" w14:textId="77777777" w:rsidR="00317593" w:rsidRPr="00317593" w:rsidRDefault="00FE328A" w:rsidP="00317593">
      <w:pPr>
        <w:pStyle w:val="Heading2"/>
        <w:rPr>
          <w:sz w:val="24"/>
          <w:szCs w:val="24"/>
        </w:rPr>
      </w:pPr>
      <w:r w:rsidRPr="00317593">
        <w:rPr>
          <w:sz w:val="24"/>
          <w:szCs w:val="24"/>
        </w:rPr>
        <w:t>Glucocorticoid activation of myostatin</w:t>
      </w:r>
    </w:p>
    <w:p w14:paraId="7836F0E2" w14:textId="40A4F2C7" w:rsidR="00F3504A" w:rsidRDefault="00FE328A" w:rsidP="00FE328A">
      <w:pPr>
        <w:pStyle w:val="BUMainText"/>
        <w:ind w:firstLine="720"/>
      </w:pPr>
      <w:r>
        <w:t>In rodents, Dexa upregulates myostatin, a strong negative regulator of muscle mass[525]. In myostatin knockout mice, Dexa induces most of its transcriptional program, including modulations of IGF-I, MuRF-1, MAFbx, FOXO3A, but</w:t>
      </w:r>
      <w:r w:rsidR="00F3504A">
        <w:t xml:space="preserve"> </w:t>
      </w:r>
      <w:r>
        <w:t>Dexa-induced muscle loss does not occur[414]. These findings suggest that myostatin is an important mediator of Dexa.</w:t>
      </w:r>
    </w:p>
    <w:p w14:paraId="10F86395" w14:textId="77777777" w:rsidR="00317593" w:rsidRDefault="00FE328A" w:rsidP="00FE328A">
      <w:pPr>
        <w:pStyle w:val="BUMainText"/>
        <w:ind w:firstLine="720"/>
      </w:pPr>
      <w:r>
        <w:t>Myostatin’s promoter contains GR response element[525], a FOXO</w:t>
      </w:r>
      <w:r w:rsidR="00F3504A">
        <w:t xml:space="preserve"> </w:t>
      </w:r>
      <w:r>
        <w:t>responsive element[526], and a CCAAT sequence[527], all known to be stimulated by Dexa. Myostatin expression is also upregulated by the histone methyltransferase SMYD 3, which in turn is upregulated in muscle by Dexa[528]. The stability of the myostatin transcript is improved by Dexa-exerted repression</w:t>
      </w:r>
      <w:r w:rsidR="00F3504A">
        <w:t xml:space="preserve"> </w:t>
      </w:r>
      <w:r>
        <w:t>of its negative regulators, miR-27[529].</w:t>
      </w:r>
    </w:p>
    <w:p w14:paraId="48FFECD5" w14:textId="77777777" w:rsidR="00317593" w:rsidRDefault="00FE328A" w:rsidP="00FE328A">
      <w:pPr>
        <w:pStyle w:val="BUMainText"/>
        <w:ind w:firstLine="720"/>
      </w:pPr>
      <w:r>
        <w:t>Glutamine supplementation reduces GAML and myostatin expression in muscle[530]. This finding suggests that, in the context of GAML, myostatin may double as a nutrient sensor.</w:t>
      </w:r>
    </w:p>
    <w:p w14:paraId="2C9729A1" w14:textId="77777777" w:rsidR="00317593" w:rsidRDefault="00FE328A" w:rsidP="00FE328A">
      <w:pPr>
        <w:pStyle w:val="BUMainText"/>
        <w:ind w:firstLine="720"/>
      </w:pPr>
      <w:r>
        <w:t>Myostatin’s effects are manifold, and not completely understood. While myostatin inhibition in utero leads to doubling of muscle mass in adult animals[225], its overexpression in adult animals causes a more moderate effect[531]. This split in action indicates that myostatin modulates both hyperplasia- and hypertrophy-based pathways of muscle growth. In explanted</w:t>
      </w:r>
      <w:r w:rsidR="00317593">
        <w:t xml:space="preserve"> </w:t>
      </w:r>
      <w:r>
        <w:t>adult mouse myofibers, where proliferation has been minimized, expression of a dominant negative form of activin A receptor, type IIB (ActRIIB), the receptor for myostatin, causes an increase in CSA, which is halved by rapamycin[532]. 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0F8838F5" w14:textId="77777777" w:rsidR="00317593" w:rsidRDefault="00FE328A" w:rsidP="00FE328A">
      <w:pPr>
        <w:pStyle w:val="BUMainText"/>
        <w:ind w:firstLine="720"/>
      </w:pPr>
      <w:r>
        <w:t>A series of experiments describe Akt inhibition in response to myostatin treatments. In vivo electroporation with myostatin-encoding plasmids led to 10% loss in tibialis anterior mass in the transfected muscle, in the absence of any changes at the level of atrogenes[533].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regeneration[534, 535]. Repression of Akt in proliferating myoblasts is not expected to mediate GAML.</w:t>
      </w:r>
    </w:p>
    <w:p w14:paraId="5BCA7D18" w14:textId="77777777" w:rsidR="00317593" w:rsidRDefault="00FE328A" w:rsidP="00FE328A">
      <w:pPr>
        <w:pStyle w:val="BUMainText"/>
        <w:ind w:firstLine="720"/>
      </w:pPr>
      <w:r>
        <w:t>Another study describes Akt inhibition in human myotubes differentiated from cultured myoblasts. In this system, myostatin treatments lead to reductions in diameter and atrogene downregulation[536]. In contrast, GAML is characterized by an upregulation of atrogenes, possibly facilitated by Akt inhibition. The authors of this study pinpoint the myostatin-induced Akt inhibition to changes in proliferating myoblasts. In conclusion, there is no evidence for adult GAML mediation through a myostatin - Akt axis.</w:t>
      </w:r>
    </w:p>
    <w:p w14:paraId="488900A9" w14:textId="77777777" w:rsidR="00317593" w:rsidRDefault="00FE328A" w:rsidP="00FE328A">
      <w:pPr>
        <w:pStyle w:val="BUMainText"/>
        <w:ind w:firstLine="720"/>
      </w:pPr>
      <w:r>
        <w:t>Myostatin-induced or -associated models of atrophy do not upregulate</w:t>
      </w:r>
      <w:r w:rsidR="00317593">
        <w:t xml:space="preserve"> </w:t>
      </w:r>
      <w:r>
        <w:t>protein degradation. For example, microgravity atrophy is associated myostatin upregulation, but no changes in 3MH excretion[537]. This contrasts again with GAML, which strongly relies on upregulation of protein degradation.</w:t>
      </w:r>
    </w:p>
    <w:p w14:paraId="252F0243" w14:textId="77777777" w:rsidR="00317593" w:rsidRDefault="00FE328A" w:rsidP="00FE328A">
      <w:pPr>
        <w:pStyle w:val="BUMainText"/>
        <w:ind w:firstLine="720"/>
      </w:pPr>
      <w:r>
        <w:t>Myostatin is particularly adept at modulating the fusion of myoblast to myotubes[538]. Myostatin’s action appears more relevant for processes where myoblasts or satellite cells are involved, such as muscle development and regeneration (reviewed in [539, 540]). However, normal adult muscle maintenance is more dependent on protein accretion than on satellite cells. In adult GAML, loss of satellite cells regenerative action may play a minor role, at most.</w:t>
      </w:r>
    </w:p>
    <w:p w14:paraId="7883AD79" w14:textId="77777777" w:rsidR="00317593" w:rsidRDefault="00FE328A" w:rsidP="00FE328A">
      <w:pPr>
        <w:pStyle w:val="BUMainText"/>
        <w:ind w:firstLine="720"/>
      </w:pPr>
      <w:r>
        <w:t>Myostatin’s relative importance for GAML remains incompletely explored. The typical experiments, using qualitative alterations of myostatin, may override any endogenous mechanism, and yield non-specific anti-atrophic effects.</w:t>
      </w:r>
    </w:p>
    <w:p w14:paraId="15814FFD" w14:textId="77777777" w:rsidR="00317593" w:rsidRPr="00317593" w:rsidRDefault="00FE328A" w:rsidP="00317593">
      <w:pPr>
        <w:pStyle w:val="Heading2"/>
        <w:rPr>
          <w:sz w:val="24"/>
          <w:szCs w:val="24"/>
        </w:rPr>
      </w:pPr>
      <w:r w:rsidRPr="00317593">
        <w:rPr>
          <w:sz w:val="24"/>
          <w:szCs w:val="24"/>
        </w:rPr>
        <w:t>Glucocorticoid modulation of protein synthesis</w:t>
      </w:r>
    </w:p>
    <w:p w14:paraId="74D26BA2" w14:textId="77777777" w:rsidR="00317593" w:rsidRDefault="00FE328A" w:rsidP="00FE328A">
      <w:pPr>
        <w:pStyle w:val="BUMainText"/>
        <w:ind w:firstLine="720"/>
      </w:pPr>
      <w:r>
        <w:t>Goldberg’s[365]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w:t>
      </w:r>
      <w:r w:rsidR="00317593">
        <w:t xml:space="preserve"> </w:t>
      </w:r>
      <w:r>
        <w:t>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w:t>
      </w:r>
      <w:r w:rsidR="00317593">
        <w:t xml:space="preserve"> </w:t>
      </w:r>
      <w:r>
        <w:t>muscles that already underwent atrophy in the prior days. In these cases, a loss in</w:t>
      </w:r>
      <w:r w:rsidR="00317593">
        <w:t xml:space="preserve"> </w:t>
      </w:r>
      <w:r>
        <w:t>protein synthesis rate might be underestimated or even factored out, after normalization to a lower muscle mass.</w:t>
      </w:r>
    </w:p>
    <w:p w14:paraId="2077C6A5" w14:textId="77777777" w:rsidR="00317593" w:rsidRDefault="00FE328A" w:rsidP="00FE328A">
      <w:pPr>
        <w:pStyle w:val="BUMainText"/>
        <w:ind w:firstLine="720"/>
      </w:pPr>
      <w:r>
        <w:t>As in human studies, the role of protein synthesis modulation during chronic hypercortisolism is still debated, because chronic Dexa effect is superimposed by acute effects. A single 20 mg/(kg d) triamcinolone dose nearly halves incorporation of labeled precursors in rat muscle protein at 8 hours, yet has no effect after 24 hours[541]. Similar acute effects may be expected from feeding, which causes fluctuations of insulin and possibly of the Akt / mTOR / 4E-BP axis in muscle.</w:t>
      </w:r>
    </w:p>
    <w:p w14:paraId="09ACEC67" w14:textId="77777777" w:rsidR="00317593" w:rsidRDefault="00FE328A" w:rsidP="00FE328A">
      <w:pPr>
        <w:pStyle w:val="BUMainText"/>
        <w:ind w:firstLine="720"/>
      </w:pPr>
      <w:r>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0.5 mg/(kg d) Dexa for 6 days, compared to pair-fed animals, in the epitrochlearis muscle[402, 542]. In two other studies, assaying other glycolytic muscles or quadrupling the Dexa dose, led to observable reductions in protein FSR[543, 444].</w:t>
      </w:r>
    </w:p>
    <w:p w14:paraId="6C452A21" w14:textId="77777777" w:rsidR="00317593" w:rsidRDefault="00FE328A" w:rsidP="00FE328A">
      <w:pPr>
        <w:pStyle w:val="BUMainText"/>
        <w:ind w:firstLine="720"/>
      </w:pPr>
      <w:r>
        <w:t>In cell culture, studies of Dexa inhibition of protein synthesis are similarly equivocal, although Dexa causes 4E-BP hypophosphorylation directly, even in basal state[544]. In the most glaring example, the same group, using the same methods and working on the same L6 line, found that protein synthesis is “not altered” by Dexa in one article, and decreased in the next[397, 545].</w:t>
      </w:r>
    </w:p>
    <w:p w14:paraId="5F28E2BF" w14:textId="77777777" w:rsidR="00317593" w:rsidRDefault="00FE328A" w:rsidP="00FE328A">
      <w:pPr>
        <w:pStyle w:val="BUMainText"/>
        <w:ind w:firstLine="720"/>
      </w:pPr>
      <w:r>
        <w:t>Even when detected, the amplitude of changes in protein synthesis in vitro[545, 546, 547] and in vivo[322] is lower than that on protein degradation, when Dexa is given at the dose that causes muscle loss. In contrast, doses of Dexa below the apparent EC50 are unable to change protein degradation rate, while</w:t>
      </w:r>
      <w:r w:rsidR="00317593">
        <w:t xml:space="preserve"> </w:t>
      </w:r>
      <w:r>
        <w:t>still lowering protein synthesis rate[329].</w:t>
      </w:r>
    </w:p>
    <w:p w14:paraId="745AC0B5" w14:textId="77777777" w:rsidR="00317593" w:rsidRDefault="00FE328A" w:rsidP="00FE328A">
      <w:pPr>
        <w:pStyle w:val="BUMainText"/>
        <w:ind w:firstLine="720"/>
      </w:pPr>
      <w:r>
        <w:t>In the MuRF-1 knockout mouse, Dexa fails to change FSR[426],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5014830F" w14:textId="77777777" w:rsidR="00317593" w:rsidRDefault="00FE328A" w:rsidP="00FE328A">
      <w:pPr>
        <w:pStyle w:val="BUMainText"/>
        <w:ind w:firstLine="720"/>
      </w:pPr>
      <w:r>
        <w:t>While direct evidence has been rarely obtained, indirect evidence showing that Dexa modulates muscle protein synthesis is rich. For example, acute GC administration causes a reduction in the proportion of polyribosomes[548]. The proportion of polysomes recovers to basal level in less than 24 hours, when the GC is short-acting prednisone[398]. In contrast, polysome downregulation lasts</w:t>
      </w:r>
      <w:r w:rsidR="00317593">
        <w:t xml:space="preserve"> </w:t>
      </w:r>
      <w:r>
        <w:t>about two days after Dexa. No published accounts describe polysome profile changes after longer GC exposure.</w:t>
      </w:r>
    </w:p>
    <w:p w14:paraId="3F6B6F0B" w14:textId="77777777" w:rsidR="00317593" w:rsidRDefault="00FE328A" w:rsidP="00FE328A">
      <w:pPr>
        <w:pStyle w:val="BUMainText"/>
        <w:ind w:firstLine="720"/>
      </w:pPr>
      <w:r>
        <w:t>Dexa has a dual effect on 4E-BP, the inhibitor of protein synthesis that binds and inhibits the eukaryotic initiation eIF4E. First, Dexa upregulates 4E-BP mRNA[425]. It was long believed 4E-BP induction is direct, and based on a Foxo response element in 4E-BP promoter[549]. As of 2015, this response element is proven only in Drosophila. The only replication in mouse cells, in culture, was withdrawn during the preparation of this work, for unspecified reason. While the transcriptional upregulation of 4E-BP is certain, the mechanisms by which Dexa achieves it remain unknown.</w:t>
      </w:r>
    </w:p>
    <w:p w14:paraId="03160FB3" w14:textId="77777777" w:rsidR="00317593" w:rsidRDefault="00FE328A" w:rsidP="00FE328A">
      <w:pPr>
        <w:pStyle w:val="BUMainText"/>
        <w:ind w:firstLine="720"/>
      </w:pPr>
      <w:r>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w:t>
      </w:r>
      <w:r w:rsidR="00317593">
        <w:t xml:space="preserve"> </w:t>
      </w:r>
      <w:r>
        <w:t>study of mTOR action is challenged by the existence of multiple phosphorylation sites, inability of antibodies to discern them, and inability of rapamycin to inhibit mTORC1 action on 4E-BP1[550].</w:t>
      </w:r>
    </w:p>
    <w:p w14:paraId="6F2A4028" w14:textId="77777777" w:rsidR="00317593" w:rsidRDefault="00FE328A" w:rsidP="00FE328A">
      <w:pPr>
        <w:pStyle w:val="BUMainText"/>
        <w:ind w:firstLine="720"/>
      </w:pPr>
      <w:r>
        <w:t>Dexa upregulates mitogen-activated protein kinase–interacting kinase 2 (MNK2) expression[551]. Dexa reduces eIF4G Ser 1108 phosphorylation in wild type mice, but not in MNK2 knockout mice. This posttranslational modification correlates with nutrient availability, but its role in GAML was not studied (reviewed in [552]).</w:t>
      </w:r>
    </w:p>
    <w:p w14:paraId="4056CB24" w14:textId="77777777" w:rsidR="00317593" w:rsidRDefault="00FE328A" w:rsidP="00FE328A">
      <w:pPr>
        <w:pStyle w:val="BUMainText"/>
        <w:ind w:firstLine="720"/>
      </w:pPr>
      <w:r>
        <w:t>In C2C12 myotubes, GAML may repress protein synthesis by MAFbx-initiated neutralization of eIF3f[434].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complex[497]. The role of eIF3f in GAML has not been confirmed in vivo.</w:t>
      </w:r>
    </w:p>
    <w:p w14:paraId="011FC794" w14:textId="77777777" w:rsidR="00317593" w:rsidRDefault="00FE328A" w:rsidP="00FE328A">
      <w:pPr>
        <w:pStyle w:val="BUMainText"/>
        <w:ind w:firstLine="720"/>
      </w:pPr>
      <w:r>
        <w:t>Canonical control of protein synthesis includes translational derepression, a cytosol-based mechanism for sensing amino acid starvation (reviewed in [553]). Relative lack of amino acids enriches uncharged tRNA, which bind and activates General Control Nonderepressible 2 (GCN2)[554]. Activated GCN2 phosphorylates eIF2α at Ser 51, leading to the formation of an inactivating complex with eIF2B[555]. The inactivation of eIF2B, the guanine exchange factor for eIF2, leads to general translation shutdown[556]. The lack of eIF2-GTP complexes leads to start codon skipping, which, for transcripts including multiple open reading frames (ORF), determines extraordinary translation from downstream start ORFs. In eukaryotes, a physiologically relevant downstream</w:t>
      </w:r>
      <w:r w:rsidR="00317593">
        <w:t xml:space="preserve"> </w:t>
      </w:r>
      <w:r>
        <w:t>ORF is Activating transcription factor 4 (ATF4), which upregulates genes involved in transport of essential amino acids and synthesis of non-essential amino acids, such as asparagine synthetase[557]. Overall, the translational derepression pathway is a mechanism for inhibiting protein synthesis, initiated by apparent depletion of free amino acids, and leading to ATF4 upregulation.</w:t>
      </w:r>
    </w:p>
    <w:p w14:paraId="685AD534" w14:textId="77777777" w:rsidR="00317593" w:rsidRDefault="00FE328A" w:rsidP="00FE328A">
      <w:pPr>
        <w:pStyle w:val="BUMainText"/>
        <w:ind w:firstLine="720"/>
      </w:pPr>
      <w:r>
        <w:t>The study of translational derepression in mammalians is still in its beginnings. The ATF4 knockout mouse has normal weight, but exhibits some sparing from muscle atrophy in response to starvation[558]. ATF4 knockout mice exhibit a normal atrogene response to starvation, indicating that ATF4 is part of a novel atrophy pathway. The only study that measured chronic Dexa effect on phosphorylation of eIF2 reported negative results[123]. However, Dexa abrogated amino acid infusion ability to reduce eIF2 phosphorylation, a situation reminiscent of Dexa’s action on Akt. In a fibroblastic cell line, Dexa upregulated ATF4 translation as long as insulin was withheld from the medium[559].</w:t>
      </w:r>
    </w:p>
    <w:p w14:paraId="6E29FB3A" w14:textId="77777777" w:rsidR="00317593" w:rsidRDefault="00FE328A" w:rsidP="00FE328A">
      <w:pPr>
        <w:pStyle w:val="BUMainText"/>
        <w:ind w:firstLine="720"/>
      </w:pPr>
      <w:r>
        <w:t>Unexpectedly, in C2C12 myotubes, ATF4 protein levels are upregulated by insulin in a rapamycin-dependent manner[559]. A plausible explanation is that ATF4 is upregulated by apparent amino acid deficits, including cases when mTOR-stimulated protein translation depletes the free amino acid pool.</w:t>
      </w:r>
    </w:p>
    <w:p w14:paraId="097B3725" w14:textId="77777777" w:rsidR="00317593" w:rsidRDefault="00FE328A" w:rsidP="00FE328A">
      <w:pPr>
        <w:pStyle w:val="BUMainText"/>
        <w:ind w:firstLine="720"/>
      </w:pPr>
      <w:r>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w:t>
      </w:r>
      <w:r w:rsidR="00317593">
        <w:t xml:space="preserve"> </w:t>
      </w:r>
      <w:r>
        <w:t>ubiquitin-proteasome system in GAML.</w:t>
      </w:r>
    </w:p>
    <w:p w14:paraId="69CE41F4" w14:textId="77777777" w:rsidR="00317593" w:rsidRPr="00317593" w:rsidRDefault="00FE328A" w:rsidP="00317593">
      <w:pPr>
        <w:pStyle w:val="Heading2"/>
        <w:rPr>
          <w:sz w:val="24"/>
          <w:szCs w:val="24"/>
        </w:rPr>
      </w:pPr>
      <w:r w:rsidRPr="00317593">
        <w:rPr>
          <w:sz w:val="24"/>
          <w:szCs w:val="24"/>
        </w:rPr>
        <w:t>The effects of glucocorticoids on autophagy</w:t>
      </w:r>
    </w:p>
    <w:p w14:paraId="7881228D" w14:textId="77777777" w:rsidR="00317593" w:rsidRDefault="00FE328A" w:rsidP="00FE328A">
      <w:pPr>
        <w:pStyle w:val="BUMainText"/>
        <w:ind w:firstLine="720"/>
      </w:pPr>
      <w:r>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 Moreover, in L6 myotubes, 100 µM chloroquine or 200 mM E-64 reduce the rate at which Dexa amplifies proteolytic tracer release[415].</w:t>
      </w:r>
    </w:p>
    <w:p w14:paraId="4C46167B" w14:textId="77777777" w:rsidR="00317593" w:rsidRDefault="00FE328A" w:rsidP="00FE328A">
      <w:pPr>
        <w:pStyle w:val="BUMainText"/>
        <w:ind w:firstLine="720"/>
      </w:pPr>
      <w:r>
        <w:t>A series of molecular markers further support the idea that autophagy is upregulated by Dexa. In C2C12 myotubes, Dexa may induce the formation of double-membrane autophagic vesicles, although evidence is limited to unquantified micrographs[560].</w:t>
      </w:r>
    </w:p>
    <w:p w14:paraId="13462DD8" w14:textId="77777777" w:rsidR="00317593" w:rsidRDefault="00FE328A" w:rsidP="00FE328A">
      <w:pPr>
        <w:pStyle w:val="BUMainText"/>
        <w:ind w:firstLine="720"/>
      </w:pPr>
      <w:r>
        <w:t>Dexa reliably upregulates the family of lysosome proteases known as cathepsins. In vivo, Dexa doubles the lysosome proteases cathepsin L and D [402, 561, 429]. In L6 myotubes, Dexa upregulates cathepsin B[415].</w:t>
      </w:r>
    </w:p>
    <w:p w14:paraId="730DAA6F" w14:textId="77777777" w:rsidR="00317593" w:rsidRDefault="00FE328A" w:rsidP="00FE328A">
      <w:pPr>
        <w:pStyle w:val="BUMainText"/>
        <w:ind w:firstLine="720"/>
      </w:pPr>
      <w:r>
        <w:t>A new modality for investigating autophagy hinges on one of the</w:t>
      </w:r>
      <w:r w:rsidR="00317593">
        <w:t xml:space="preserve"> </w:t>
      </w:r>
      <w:r>
        <w:t>longest-living markers on its surface, LC3. Transgenic mice with expressing LC3-GFP have been developed, and are regularly used for tracking autophagosomes, including in denervation atrophy. Unfortunately, there are no reports of this model being used in the study of GAML. Alternatively, endogenous LC3 is tracked through immunofluorescence microscopy. Some reports describe an accumulation of punctate LC3-containing structures in L6 myotubes treated with Dexa for 6 hours[455].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 [562]). LC3-II is enriched in C2C12 myotubes</w:t>
      </w:r>
      <w:r w:rsidR="00317593">
        <w:t xml:space="preserve"> </w:t>
      </w:r>
      <w:r>
        <w:t>overexpressing LC3[560] and in L6 myotubes[455]. Similar to the microscopy experiments, these reports use acute Dexa treatments. Moreover, a time course reveals that in L6 myotubes, LC3-II peaks at 6 hours and is extinguished at 24 hours after Dexa administration[563]. Such findings are consistent with a rapid formation of autophagosomes, followed by a slower fusion with lysosomes and clearance.</w:t>
      </w:r>
    </w:p>
    <w:p w14:paraId="5959A668" w14:textId="77777777" w:rsidR="00317593" w:rsidRDefault="00FE328A" w:rsidP="00FE328A">
      <w:pPr>
        <w:pStyle w:val="BUMainText"/>
        <w:ind w:firstLine="720"/>
      </w:pPr>
      <w:r>
        <w:t>In vivo, LC3 changes are rarely documented. Acute Dexa causes accumulation of LC3-II protein[494]. Recently, the enrichment of LC3-II after chronic Dexa has been reported in rats[564].</w:t>
      </w:r>
    </w:p>
    <w:p w14:paraId="0AF6B9C6" w14:textId="77777777" w:rsidR="00317593" w:rsidRDefault="00FE328A" w:rsidP="00FE328A">
      <w:pPr>
        <w:pStyle w:val="BUMainText"/>
        <w:ind w:firstLine="720"/>
      </w:pPr>
      <w:r>
        <w:t>In contrast with the limited body of evidence we have for autophagy upregulation, there is a significant amount of literature describing what would drive autophagy up in GAML. In C2C12 myotubes, overexpression of a constitutively active FoxO3 or chemical inhibition of Akt upregulate</w:t>
      </w:r>
      <w:r w:rsidR="00317593">
        <w:t xml:space="preserve"> </w:t>
      </w:r>
      <w:r>
        <w:t>lysosome-attributable proteolysis[376]. As mentioned earlier, mTORC1 is a negative regulator of autophagy, whose inhibition in GAML is hypothesized to stimulate autophagy. Acute Dexa administration reduces ULK1 phosphorylation at Ser 575, the mTOR-specific, inhibitory site[494].</w:t>
      </w:r>
    </w:p>
    <w:p w14:paraId="69FCC338" w14:textId="77777777" w:rsidR="00317593" w:rsidRDefault="00FE328A" w:rsidP="00FE328A">
      <w:pPr>
        <w:pStyle w:val="BUMainText"/>
        <w:ind w:firstLine="720"/>
      </w:pPr>
      <w:r>
        <w:t>Other lines of evidence provide indirect support for autophagy upregulation in GAML. Acute Dexa downregulates p62, one of the shortest-lived markers on the autophagosome, thus suggesting that autophagic flux is upregulated[494]. Acute Dexa increases expression of the mitophagy effector Bnip3[494, 455]. In C2C12, acute Dexa upregulates expression of lysosome markers such as autophagy-related 12 (Atg12)[515].</w:t>
      </w:r>
    </w:p>
    <w:p w14:paraId="6EBFDC8E" w14:textId="77777777" w:rsidR="00317593" w:rsidRDefault="00FE328A" w:rsidP="00FE328A">
      <w:pPr>
        <w:pStyle w:val="BUMainText"/>
        <w:ind w:firstLine="720"/>
      </w:pPr>
      <w:r>
        <w:t>Given the spatial segregation between lysosomes internal and outer space, autophagy must rely on a selective mechanism for any protein that it is processing. Therefore, it is likely that autophagy acts only on a few specific,</w:t>
      </w:r>
      <w:r w:rsidR="00317593">
        <w:t xml:space="preserve"> </w:t>
      </w:r>
      <w:r>
        <w:t>perhaps limiting, proteins. For example, Dexa-induced depletion of sialidase</w:t>
      </w:r>
      <w:r w:rsidR="00317593">
        <w:t xml:space="preserve"> </w:t>
      </w:r>
      <w:r>
        <w:t>Neu2 is prevented by 3-MA[560].</w:t>
      </w:r>
    </w:p>
    <w:p w14:paraId="763F3010" w14:textId="77777777" w:rsidR="00317593" w:rsidRDefault="00FE328A" w:rsidP="00FE328A">
      <w:pPr>
        <w:pStyle w:val="BUMainText"/>
        <w:ind w:firstLine="720"/>
      </w:pPr>
      <w:r>
        <w:t>Autophagy may play a significant role in triggering and regulating GAML. Current evidence, based on cell culture experiments, is far from satisfactory. Given its limited amplitude in vivo, it is improbable that autophagy is responsible for bulk protein elimination.</w:t>
      </w:r>
    </w:p>
    <w:p w14:paraId="41882251" w14:textId="77777777" w:rsidR="00317593" w:rsidRPr="00317593" w:rsidRDefault="00FE328A" w:rsidP="00317593">
      <w:pPr>
        <w:pStyle w:val="Heading2"/>
        <w:rPr>
          <w:sz w:val="24"/>
          <w:szCs w:val="24"/>
        </w:rPr>
      </w:pPr>
      <w:r w:rsidRPr="00317593">
        <w:rPr>
          <w:sz w:val="24"/>
          <w:szCs w:val="24"/>
        </w:rPr>
        <w:t>Other proteolytic systems modulated by glucocorticoids</w:t>
      </w:r>
    </w:p>
    <w:p w14:paraId="1EE1FB83" w14:textId="77777777" w:rsidR="00317593" w:rsidRDefault="00FE328A" w:rsidP="00FE328A">
      <w:pPr>
        <w:pStyle w:val="BUMainText"/>
        <w:ind w:firstLine="720"/>
      </w:pPr>
      <w:r>
        <w:t>In 1986, it was discovered that proteolysis in muscle is increased when explants are soaked in 2.5 mM calcium[565, 566].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 [567]). Transgenic mice overexpressing calpastatin have 30% lower loss of muscle upon unloading[568], proving that the calpain system is important in some atrophy models.</w:t>
      </w:r>
    </w:p>
    <w:p w14:paraId="332D0EA4" w14:textId="77777777" w:rsidR="00317593" w:rsidRDefault="00FE328A" w:rsidP="00FE328A">
      <w:pPr>
        <w:pStyle w:val="BUMainText"/>
        <w:ind w:firstLine="720"/>
      </w:pPr>
      <w:r>
        <w:t>There is limited evidence for calpains involvement in GAML, beyond the experiments from 1980’s. In vivo, expression of the calcium-dependent protease m-calpain is trebled by Dexa[402]. In L6 myotubes, calpastatin overexpression halves Dexa-induced proteolysis[569]. Also in L6 myotubes, Dexa promotes store-operated calcium entry, the mechanism by which intracellular Ca concentration is increased when ER stores are depleted[570].</w:t>
      </w:r>
    </w:p>
    <w:p w14:paraId="4A79455A" w14:textId="77777777" w:rsidR="00317593" w:rsidRDefault="00FE328A" w:rsidP="00FE328A">
      <w:pPr>
        <w:pStyle w:val="BUMainText"/>
        <w:ind w:firstLine="720"/>
      </w:pPr>
      <w:r>
        <w:t>It has been speculated that activations of calpains is an initial step in GAML, allowing myofibril protein to interact with MuRF-1[571]. Calpains are important</w:t>
      </w:r>
      <w:r w:rsidR="00317593">
        <w:t xml:space="preserve"> </w:t>
      </w:r>
      <w:r>
        <w:t>for some atrophy models, but their role in GAML is understudied.</w:t>
      </w:r>
    </w:p>
    <w:p w14:paraId="1E59FA0C" w14:textId="77777777" w:rsidR="00317593" w:rsidRDefault="00FE328A" w:rsidP="00FE328A">
      <w:pPr>
        <w:pStyle w:val="BUMainText"/>
        <w:ind w:firstLine="720"/>
      </w:pPr>
      <w:r>
        <w:t>Many unbiased studies found that a family of proteases, metallothioneins, are upregulated in GAML[572]. However, they contribution to GAML has not been analyzed.</w:t>
      </w:r>
    </w:p>
    <w:p w14:paraId="00162529" w14:textId="77777777" w:rsidR="00317593" w:rsidRDefault="00FE328A" w:rsidP="00FE328A">
      <w:pPr>
        <w:pStyle w:val="BUMainText"/>
        <w:ind w:firstLine="720"/>
      </w:pPr>
      <w:r>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D904164" w14:textId="77777777" w:rsidR="00317593" w:rsidRPr="00317593" w:rsidRDefault="00FE328A" w:rsidP="00317593">
      <w:pPr>
        <w:pStyle w:val="Heading2"/>
        <w:rPr>
          <w:sz w:val="24"/>
          <w:szCs w:val="24"/>
        </w:rPr>
      </w:pPr>
      <w:r w:rsidRPr="00317593">
        <w:rPr>
          <w:sz w:val="24"/>
          <w:szCs w:val="24"/>
        </w:rPr>
        <w:t>Alleviation of glucocorticoid myopathy by IGF-I</w:t>
      </w:r>
    </w:p>
    <w:p w14:paraId="17F93301" w14:textId="77777777" w:rsidR="00317593" w:rsidRDefault="00FE328A" w:rsidP="00FE328A">
      <w:pPr>
        <w:pStyle w:val="BUMainText"/>
        <w:ind w:firstLine="720"/>
      </w:pPr>
      <w:r>
        <w:t>Upon finding that, in L6 myoblasts, Dexa-stimulated proteolysis is abated by co-administration of insulin, Ballard hypothesized in 1983 that Dexa acts indirectly, by depleting the body’s supply of IGF-I[573]. While the use of</w:t>
      </w:r>
      <w:r w:rsidR="00317593">
        <w:t xml:space="preserve"> </w:t>
      </w:r>
      <w:r>
        <w:t>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GC[574, 575]. Many reports describe the easily measurable interaction between Dexa and IGF-I on</w:t>
      </w:r>
      <w:r w:rsidR="00317593">
        <w:t xml:space="preserve"> </w:t>
      </w:r>
      <w:r>
        <w:t>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w:t>
      </w:r>
      <w:r w:rsidR="00317593">
        <w:t xml:space="preserve"> </w:t>
      </w:r>
      <w:r>
        <w:t>of IGF-I plasmid in tibialis protected solely the transformed fibers from</w:t>
      </w:r>
      <w:r w:rsidR="00317593">
        <w:t xml:space="preserve"> </w:t>
      </w:r>
      <w:r>
        <w:t>Dexa-induced atrophy[576]. In Dexa-treated rats, co-administration of IGF-I</w:t>
      </w:r>
      <w:r w:rsidR="00317593">
        <w:t xml:space="preserve"> </w:t>
      </w:r>
      <w:r>
        <w:t>reduces loss of muscle mass, fiber atrophy, and 3MH release[577], thus providing</w:t>
      </w:r>
      <w:r w:rsidR="00317593">
        <w:t xml:space="preserve"> </w:t>
      </w:r>
      <w:r>
        <w:t>a blueprint for the ideal anti-GAML therapy.</w:t>
      </w:r>
    </w:p>
    <w:p w14:paraId="59DCB0FB" w14:textId="77777777" w:rsidR="00317593" w:rsidRDefault="00FE328A" w:rsidP="00FE328A">
      <w:pPr>
        <w:pStyle w:val="BUMainText"/>
        <w:ind w:firstLine="720"/>
      </w:pPr>
      <w:r>
        <w:t>Co-administration of IGF-I reverses upregulation of ubiquitin, and of proteasome subunits C2 C3, C8[578, 579], thus blunting one of the major</w:t>
      </w:r>
      <w:r w:rsidR="00317593">
        <w:t xml:space="preserve"> </w:t>
      </w:r>
      <w:r>
        <w:t>effectors of GAML, the ubiquitin-proteasome system. However, Dexa antagonizes</w:t>
      </w:r>
      <w:r w:rsidR="00317593">
        <w:t xml:space="preserve"> </w:t>
      </w:r>
      <w:r>
        <w:t>IGF-I on many other downstream effects, such as glutamine synthesis[580].</w:t>
      </w:r>
    </w:p>
    <w:p w14:paraId="20386ED8" w14:textId="77777777" w:rsidR="00317593" w:rsidRDefault="00FE328A" w:rsidP="00FE328A">
      <w:pPr>
        <w:pStyle w:val="BUMainText"/>
        <w:ind w:firstLine="720"/>
      </w:pPr>
      <w:r>
        <w:t>In vivo, Dexa reduces muscle expression of IGF-I[581, 190], and possibly interferes by altering IGFBP secretion[425]. Therefore, GAML manifests as an absolute loss of IGF-I exacerbated by a downstream inhibition. Intuitively, IGF-I supplementation may provide GAML alleviation.</w:t>
      </w:r>
    </w:p>
    <w:p w14:paraId="512A1AD6" w14:textId="77777777" w:rsidR="00317593" w:rsidRDefault="00FE328A" w:rsidP="00FE328A">
      <w:pPr>
        <w:pStyle w:val="BUMainText"/>
        <w:ind w:firstLine="720"/>
      </w:pPr>
      <w:r>
        <w:t>Despite the positive results seen in rodents, few studies analyzed molecular mechanisms by which IGF-I works in vivo. Because co-administration of GH cannot reverse muscle loss from Dexa or triamcinolone[582, 579], it was hypothesized that, similar to Dexa, IGF-I action on muscle is cell-autonomous,</w:t>
      </w:r>
      <w:r w:rsidR="00317593">
        <w:t xml:space="preserve"> </w:t>
      </w:r>
      <w:r>
        <w:t>and may be modeled by cell cultures. In cell culture, IGF-I alone improves protein synthesis, but has no effect on protein degradation[583]. In contrast, on</w:t>
      </w:r>
      <w:r w:rsidR="00317593">
        <w:t xml:space="preserve"> </w:t>
      </w:r>
      <w:r>
        <w:t>myotubes treated with Dexa, co-administration of IGF-I has an anti-proteolytic effect[583]. The reduction in proteolysis covers all domains, but, in acute settings, appears more effective in repressing lysosome than proteasome activity[584].</w:t>
      </w:r>
      <w:r w:rsidR="00317593">
        <w:t xml:space="preserve"> </w:t>
      </w:r>
      <w:r>
        <w:t>IGF-I co-administration reverses MAFbx and MuRF-1 upregulation[478, 427], in a Foxo dependent manner. During co-administration, Foxo regulation is split. Dexa upregulates Foxo protein levels, while IGF-I counters by increasing their phosphorylation[424] and reducing its ability to bind MuRF-1 promoter[427].</w:t>
      </w:r>
    </w:p>
    <w:p w14:paraId="61D055DE" w14:textId="77777777" w:rsidR="002112A0" w:rsidRDefault="00FE328A" w:rsidP="00FE328A">
      <w:pPr>
        <w:pStyle w:val="BUMainText"/>
        <w:ind w:firstLine="720"/>
      </w:pPr>
      <w:r>
        <w:t>The IGF-I-induced Foxo phosphorylation is consistent with upstream modulations of the Akt axis. Among those, myoprotective phosphorylation of Akt, GSK-3β, p70-S6K and 4E-BP1 is seen with IGF-I co-administration in</w:t>
      </w:r>
      <w:r w:rsidR="00317593">
        <w:t xml:space="preserve"> </w:t>
      </w:r>
      <w:r>
        <w:t>cells[585, 586]. Studies with chemical inhibitors revealed that IGF-I protective</w:t>
      </w:r>
      <w:r w:rsidR="00317593">
        <w:t xml:space="preserve"> </w:t>
      </w:r>
      <w:r>
        <w:t>effect is mediated by Akt and PI3K[585]. It is not known which of these downstream mediators is in fact relevant for myoprotection. Muscle hypertrophy and recovery are halved by rapamycin, indicating that other anabolic mediators are as important as the mTOR pathway [587, 375, 588]. From the similarity between muscle protection conferred by IGF-I and by GSK-3β inhibitors, it was speculated that IGF-I acts by inhibiting GSK-3β[589, 465].</w:t>
      </w:r>
    </w:p>
    <w:p w14:paraId="2FF1019E" w14:textId="77777777" w:rsidR="002112A0" w:rsidRDefault="00FE328A" w:rsidP="00FE328A">
      <w:pPr>
        <w:pStyle w:val="BUMainText"/>
        <w:ind w:firstLine="720"/>
      </w:pPr>
      <w:r>
        <w:t>Based on the current evidence, it appears that IGF-I alleviating action is not completely overlapping with the wide spectrum of atrophic actions of Dexa. The putative mediator of muscle loss REDD1 is upregulated by acute insulin or</w:t>
      </w:r>
      <w:r w:rsidR="002112A0">
        <w:t xml:space="preserve"> </w:t>
      </w:r>
      <w:r>
        <w:t>IGF-I[590]. It is possible that REDD1 upregulation contributes to the incompleteness in reversal of GAML by IGF-I.</w:t>
      </w:r>
    </w:p>
    <w:p w14:paraId="3AD4FD99" w14:textId="77777777" w:rsidR="002112A0" w:rsidRDefault="00FE328A" w:rsidP="00FE328A">
      <w:pPr>
        <w:pStyle w:val="BUMainText"/>
        <w:ind w:firstLine="720"/>
      </w:pPr>
      <w:r>
        <w:t>IGF-I is only one of the many determinants of muscle mass. For example, myostatin knockout mice have double muscle size, yet lower circulating IGF-I levels, compared to wild type mice[591]. However, the changes induced by Dexa in IGF-I are consistent with its involvement in the atrophy program. As our understanding of GAML improved, studies on its alleviation by IGF-I are lagging. A large number of publications focus on the balance of GC and IGF-I on Akt in</w:t>
      </w:r>
      <w:r w:rsidR="002112A0">
        <w:t xml:space="preserve"> </w:t>
      </w:r>
      <w:r>
        <w:t>cultured cells. Given the reduced number of co-administration in vivo studies, our understanding of how IGF-I could alleviate glucocorticoid myopathy is incomplete.</w:t>
      </w:r>
    </w:p>
    <w:p w14:paraId="04A8DED9" w14:textId="77777777" w:rsidR="002112A0" w:rsidRPr="002112A0" w:rsidRDefault="00FE328A" w:rsidP="002112A0">
      <w:pPr>
        <w:pStyle w:val="Heading2"/>
        <w:rPr>
          <w:sz w:val="24"/>
          <w:szCs w:val="24"/>
        </w:rPr>
      </w:pPr>
      <w:r w:rsidRPr="002112A0">
        <w:rPr>
          <w:sz w:val="24"/>
          <w:szCs w:val="24"/>
        </w:rPr>
        <w:t>Alleviation of glucocorticoid myopathy by anabolic steroids</w:t>
      </w:r>
    </w:p>
    <w:p w14:paraId="543EC0BA" w14:textId="77777777" w:rsidR="002112A0" w:rsidRDefault="00FE328A" w:rsidP="002112A0">
      <w:pPr>
        <w:pStyle w:val="BUMainText"/>
        <w:ind w:firstLine="720"/>
      </w:pPr>
      <w:r w:rsidRPr="002112A0">
        <w:t>Human studies demonstrated that AAS addition to chronic Dexa benefits male</w:t>
      </w:r>
      <w:r>
        <w:t xml:space="preserve"> adult patients, by reducing their loss of muscle and improving their quality</w:t>
      </w:r>
      <w:r w:rsidR="002112A0">
        <w:t xml:space="preserve"> </w:t>
      </w:r>
      <w:r>
        <w:t>of life[158]. The idea of alleviating the CS by AAS therapy came two years after the discovery of an affordable source of Testo. In the case of exogenous</w:t>
      </w:r>
      <w:r w:rsidR="002112A0">
        <w:t xml:space="preserve"> </w:t>
      </w:r>
      <w:r>
        <w:t>hypercortisolism, the same idea surfaced less than a year after the discovery of GC. Two years later, Courier and Marois report the first replication of the myoprotective effect in rats[592]. For a long time, during the second dark age of steroids, the combination of AAS and GC, with androgenic, but without anabolic potency, was investigated, in the hope that it would show the way towards splitting the anabolic from the androgenic principle in Testo.</w:t>
      </w:r>
    </w:p>
    <w:p w14:paraId="6F9C6E8C" w14:textId="77777777" w:rsidR="002112A0" w:rsidRDefault="00FE328A" w:rsidP="00FE328A">
      <w:pPr>
        <w:pStyle w:val="BUMainText"/>
        <w:ind w:firstLine="720"/>
      </w:pPr>
      <w:r>
        <w:t>A related theoretic question was the nature of the nuclear receptor. At the 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range[593]. In vitro Dexa doses used in muscle atrophy experiments range in the tens of hundred nanomolar. Similar concentrations are likely in the blood of mice injected with the 0.5 g/kg to 1 g/kg doses described before. At a concentration of</w:t>
      </w:r>
      <w:r w:rsidR="002112A0">
        <w:t xml:space="preserve"> </w:t>
      </w:r>
      <w:r>
        <w:t>2 pM in rat skeletal muscle[594], virtually all GR should be bound to Dexa. On the other hand, inhibitory constant (Ki) for Testo competing with Dexa for binding to muscle protein extracts is 10 µM[595].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affinity[596]. Therefore, barring allosteric effects, direct competition between the two steroids remains only of theoretical importance.</w:t>
      </w:r>
    </w:p>
    <w:p w14:paraId="44C08B51" w14:textId="77777777" w:rsidR="002112A0" w:rsidRDefault="00FE328A" w:rsidP="00FE328A">
      <w:pPr>
        <w:pStyle w:val="BUMainText"/>
        <w:ind w:firstLine="720"/>
      </w:pPr>
      <w:r>
        <w:t>The experiments in the 1980’s and 1990’s tested the interaction of AAS and</w:t>
      </w:r>
      <w:r w:rsidR="002112A0">
        <w:t xml:space="preserve"> </w:t>
      </w:r>
      <w:r>
        <w:t>GC on the diaphragm. While these studies could not have measured the</w:t>
      </w:r>
      <w:r w:rsidR="002112A0">
        <w:t xml:space="preserve"> </w:t>
      </w:r>
      <w:r>
        <w:t>yet-undiscovered mediators of GAML, they established that myoprotection</w:t>
      </w:r>
      <w:r w:rsidR="002112A0">
        <w:t xml:space="preserve"> </w:t>
      </w:r>
      <w:r>
        <w:t>provided by AAS manifests in both muscle mass and force[597, 598, 599].</w:t>
      </w:r>
    </w:p>
    <w:p w14:paraId="7D946105" w14:textId="555F8436" w:rsidR="00FE328A" w:rsidRDefault="00FE328A" w:rsidP="00FE328A">
      <w:pPr>
        <w:pStyle w:val="BUMainText"/>
        <w:ind w:firstLine="720"/>
      </w:pPr>
      <w:r>
        <w:t>The mechanism by which AAS accomplishes muscle protection in GAML</w:t>
      </w:r>
      <w:r w:rsidR="002112A0">
        <w:t xml:space="preserve"> </w:t>
      </w:r>
      <w:r>
        <w:t>remains unknown to date. One early study found that, in vivo, Testo</w:t>
      </w:r>
      <w:r w:rsidR="002112A0">
        <w:t xml:space="preserve"> </w:t>
      </w:r>
      <w:r>
        <w:t>re-establishes the percentage of ribosomes that are involved in translation[600]. Two later studies on L6 myotubes found that AAS could not reverse the downregulation of protein synthesis induced by Dexa[573, 601]. A study on C2C12 myotubes also rejected an action of Testo on protein metabolism, despite trends for restored protein synthesis and degradation when 1 µM Testo is added to</w:t>
      </w:r>
      <w:r w:rsidR="002112A0">
        <w:t xml:space="preserve"> </w:t>
      </w:r>
      <w:r>
        <w:t>100 nM Dexa[546]. Given the limited number of attempts, the failure of in vitro systems to replicate in vivo benefits may be ascribed to reduced sensitivity rather than to fundamental shortcomings of the in vitro model.</w:t>
      </w:r>
    </w:p>
    <w:p w14:paraId="405AFAEC" w14:textId="77777777" w:rsidR="00FE328A" w:rsidRDefault="00FE328A" w:rsidP="00FE328A">
      <w:pPr>
        <w:pStyle w:val="BUMainText"/>
        <w:ind w:firstLine="720"/>
      </w:pPr>
      <w:r>
        <w:t>A few studies investigated the interaction of AAS and GC, by measuring the changes in one signal when the other is altered. An interaction at the level of receptors cannot be excluded. In skeletal muscle, GR mRNA and binding activity are increased upon castration[602, 603], suggesting a way by which castration causes muscle atrophy. Conversely, Dexa reduces the expression of AR in skeletal muscle[190]. Hypercortisolism reduces endogenous Testo levels in male rats, thus leading to ampler loss of muscle than in females, which experience Testo upregulation[404]. Sexual dimorphism in animal models confirms that males stand to benefit more from AAS therapy in GAML.</w:t>
      </w:r>
    </w:p>
    <w:p w14:paraId="79CC3866" w14:textId="1DF10B1F" w:rsidR="00FE328A" w:rsidRDefault="00FE328A" w:rsidP="00FE328A">
      <w:pPr>
        <w:pStyle w:val="BUMainText"/>
        <w:ind w:firstLine="720"/>
      </w:pPr>
      <w:r>
        <w:t>In the absence of direct interference, studies sought downstream effectors at which Testo could prevent Dexa’s program. One putative interaction is centered on myostatin. Myostatin promoter contains putative androgen responsive elements[525]. In intact animals and even in atrophic muscle after spinal cord injury, Testo does not alter myostatin[604, 605]. Myostatin changes in</w:t>
      </w:r>
      <w:r w:rsidR="002112A0">
        <w:t xml:space="preserve"> </w:t>
      </w:r>
      <w:r>
        <w:t>co-administration of AAS and GC has not been investigated. Given myostatin’s</w:t>
      </w:r>
      <w:r w:rsidR="002112A0">
        <w:t xml:space="preserve"> </w:t>
      </w:r>
      <w:r>
        <w:t>limited role in GAML, it is unlikely myostatin repression could contribute to the ample alleviation provided by Testo.</w:t>
      </w:r>
    </w:p>
    <w:p w14:paraId="2A9CACB9" w14:textId="77777777" w:rsidR="00FE328A" w:rsidRDefault="00FE328A" w:rsidP="00FE328A">
      <w:pPr>
        <w:pStyle w:val="BUMainText"/>
        <w:ind w:firstLine="720"/>
      </w:pPr>
      <w:r>
        <w:t>Another promising point of interaction is at the level of the Akt axis. Testo upregulates IGF-I in muscle, potentially leading to reversal of Dexa-induced Akt inhibition. In other atrophy models, including castration, AAS administration had an IGF-I-dependent myoprotective action[606]. Of note, this protection was correlated with increased Foxo3a phosphorylation, indicating restoration of Akt pathway.</w:t>
      </w:r>
    </w:p>
    <w:p w14:paraId="184D649C" w14:textId="77777777" w:rsidR="002112A0" w:rsidRDefault="00FE328A" w:rsidP="00FE328A">
      <w:pPr>
        <w:pStyle w:val="BUMainText"/>
        <w:ind w:firstLine="720"/>
      </w:pPr>
      <w:r>
        <w:t>In the era of immunoblot, only three laboratories published studies of co-administration of AAS and GC. All three converged towards describing a reversal of Akt pathway inhibition. Sheng laboratory describes the effect of 10-day</w:t>
      </w:r>
      <w:r w:rsidR="002112A0">
        <w:t xml:space="preserve"> </w:t>
      </w:r>
      <w:r>
        <w:t>1 mg/(kg d) Dexa and/or 13-day 5 mg/(kg d) T[607] on rat gastrocnemius. With</w:t>
      </w:r>
      <w:r w:rsidR="002112A0">
        <w:t xml:space="preserve"> </w:t>
      </w:r>
      <w:r>
        <w:t>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4B56F2C3" w14:textId="77777777" w:rsidR="002112A0" w:rsidRDefault="00FE328A" w:rsidP="00FE328A">
      <w:pPr>
        <w:pStyle w:val="BUMainText"/>
        <w:ind w:firstLine="720"/>
      </w:pPr>
      <w:r>
        <w:t>Dalton laboratory account describes the effect of 8-day 600 µg/(kg d) Dexa</w:t>
      </w:r>
      <w:r w:rsidR="002112A0">
        <w:t xml:space="preserve"> </w:t>
      </w:r>
      <w:r>
        <w:t>and/or 25 mg/(kg d) T[507] on rat muscles. This study is focused on the anabolic-androgenic split, and therefore compares levator to extraperitoneal muscles. At these doses, Testo co-administration restores levator ani, but not other muscles. This is a surprising finding, given that muscle atrophy caused by a</w:t>
      </w:r>
      <w:r w:rsidR="002112A0">
        <w:t xml:space="preserve"> </w:t>
      </w:r>
      <w:r>
        <w:t>higher Dexa dose was reversed by a much lower dose of Testo, in the study from</w:t>
      </w:r>
      <w:r w:rsidR="002112A0">
        <w:t xml:space="preserve"> S</w:t>
      </w:r>
      <w:r>
        <w:t>heng and collaborators.</w:t>
      </w:r>
    </w:p>
    <w:p w14:paraId="5F569AAE" w14:textId="77777777" w:rsidR="002112A0" w:rsidRDefault="00FE328A" w:rsidP="00FE328A">
      <w:pPr>
        <w:pStyle w:val="BUMainText"/>
        <w:ind w:firstLine="720"/>
      </w:pPr>
      <w:r>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33CD9983" w14:textId="77777777" w:rsidR="002112A0" w:rsidRDefault="00FE328A" w:rsidP="00FE328A">
      <w:pPr>
        <w:pStyle w:val="BUMainText"/>
        <w:ind w:firstLine="720"/>
      </w:pPr>
      <w:r>
        <w:t>The series of studies from Cardozo laboratory is the most informative. This was also the first group to show that 28 mg/(kg d) Testo reverses losses in rat gastrocnemius induced by simultaneous 700 µg/(kg d) Dexa[608]. They ascribed this alleviation to a reduction in proteolysis and atrogenes expression. In studies on L6 and C2C12 myotubes overexpressing AR, they found that Testo</w:t>
      </w:r>
      <w:r w:rsidR="002112A0">
        <w:t xml:space="preserve"> </w:t>
      </w:r>
      <w:r>
        <w:t>co-administration reverses transcriptional upregulation of REDD1 and</w:t>
      </w:r>
      <w:r w:rsidR="002112A0">
        <w:t xml:space="preserve"> </w:t>
      </w:r>
      <w:r>
        <w:t>MAFbx[609, 425].</w:t>
      </w:r>
    </w:p>
    <w:p w14:paraId="794E4356" w14:textId="77777777" w:rsidR="002112A0" w:rsidRDefault="00FE328A" w:rsidP="00FE328A">
      <w:pPr>
        <w:pStyle w:val="BUMainText"/>
        <w:ind w:firstLine="720"/>
      </w:pPr>
      <w:r>
        <w:t>Arguably, the most important contribution Cardozo made is the first microarray study on alleviation of GAML with T[425],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w:t>
      </w:r>
      <w:r w:rsidR="002112A0">
        <w:t xml:space="preserve"> </w:t>
      </w:r>
      <w:r>
        <w:t>of REDD1 to basal levels, suggesting that mTOR is also restored by Testo. Testo also reversed the surge of MuRF-1, proteasome subunit D8, cathepsin L, LC3,</w:t>
      </w:r>
      <w:r w:rsidR="002112A0">
        <w:t xml:space="preserve"> </w:t>
      </w:r>
      <w:r>
        <w:t>M-type calpain, C/EBP β and δ, and metallothionein 1, exhibiting a wide-spectrum anti-atrophic action.</w:t>
      </w:r>
    </w:p>
    <w:p w14:paraId="67B82671" w14:textId="77777777" w:rsidR="002112A0" w:rsidRDefault="00FE328A" w:rsidP="00FE328A">
      <w:pPr>
        <w:pStyle w:val="BUMainText"/>
        <w:ind w:firstLine="720"/>
      </w:pPr>
      <w:r>
        <w:t>Among the novel putative mediators, the microarray study revealed that Testo reversed Dexa-induced changes in B-cell leukemia/lymphoma 3 (Bcl3), IκB, and CD36. The latter is a fatty acid translocase. Its changes suggest that GAML and its reversal have opposite effects on muscle’s ability to use lipids as fuel[610].</w:t>
      </w:r>
    </w:p>
    <w:p w14:paraId="50B0D9CF" w14:textId="77777777" w:rsidR="002112A0" w:rsidRDefault="00FE328A" w:rsidP="00FE328A">
      <w:pPr>
        <w:pStyle w:val="BUMainText"/>
        <w:ind w:firstLine="720"/>
      </w:pPr>
      <w:r>
        <w:t>Testo reversed the upregulation of the stress sensor Gadd45, isoform β. Recently, it has been shown that Gadd45β is an autophagy blocker[611]. This suggests that in 7-day treated muscle autophagy could be downregulated, and goes against many other molecular markers that indicate the opposite.</w:t>
      </w:r>
    </w:p>
    <w:p w14:paraId="5C9DA100" w14:textId="77777777" w:rsidR="002112A0" w:rsidRDefault="00FE328A" w:rsidP="00FE328A">
      <w:pPr>
        <w:pStyle w:val="BUMainText"/>
        <w:ind w:firstLine="720"/>
      </w:pPr>
      <w:r>
        <w:t>In conclusion, the mechanisms by which Testo prevents GAML appear manifold. Many of the putative myoprotective actions of Testo are only suggested by Cardozo’s microarray, but have never been confirmed in quantitative assays and require further studies to clarify overall mechanism.</w:t>
      </w:r>
    </w:p>
    <w:p w14:paraId="58F924CE" w14:textId="77777777" w:rsidR="002112A0" w:rsidRDefault="002112A0" w:rsidP="002112A0">
      <w:pPr>
        <w:pStyle w:val="BUMainText"/>
        <w:ind w:firstLine="720"/>
        <w:sectPr w:rsidR="002112A0" w:rsidSect="00C87F94">
          <w:headerReference w:type="default" r:id="rId16"/>
          <w:footerReference w:type="default" r:id="rId17"/>
          <w:headerReference w:type="first" r:id="rId18"/>
          <w:footerReference w:type="first" r:id="rId19"/>
          <w:pgSz w:w="12240" w:h="15840"/>
          <w:pgMar w:top="2160" w:right="1440" w:bottom="1440" w:left="2160" w:header="1440" w:footer="1080" w:gutter="0"/>
          <w:pgNumType w:start="1"/>
          <w:cols w:space="720"/>
          <w:docGrid w:linePitch="360"/>
        </w:sectPr>
      </w:pPr>
    </w:p>
    <w:p w14:paraId="6E6D02C8" w14:textId="77777777" w:rsidR="002112A0" w:rsidRDefault="00FE328A" w:rsidP="002112A0">
      <w:pPr>
        <w:pStyle w:val="Heading1"/>
      </w:pPr>
      <w:r>
        <w:t>HYPOTHESES</w:t>
      </w:r>
    </w:p>
    <w:p w14:paraId="16FE9D94" w14:textId="77777777" w:rsidR="002112A0" w:rsidRDefault="00FE328A" w:rsidP="00FE328A">
      <w:pPr>
        <w:pStyle w:val="BUMainText"/>
        <w:ind w:firstLine="720"/>
      </w:pPr>
      <w:r>
        <w:t>The example of Gadd45, at the end of the previous section, illustrates the issues GAML research is confronted with. On one hand, we have macroscopic certainties, such the loss of muscle mass following GC therapy. On the other, we have invariable molecular correlates of Dexa treatment, such as augmented proteolysis, increased Foxo transcriptional activity, reduced insulin sensitivity at 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 GAML is even more incomplete.</w:t>
      </w:r>
    </w:p>
    <w:p w14:paraId="686CBE85" w14:textId="77777777" w:rsidR="002112A0" w:rsidRDefault="00FE328A" w:rsidP="00FE328A">
      <w:pPr>
        <w:pStyle w:val="BUMainText"/>
        <w:ind w:firstLine="720"/>
      </w:pPr>
      <w:r>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w:t>
      </w:r>
      <w:r w:rsidR="002112A0">
        <w:t xml:space="preserve"> </w:t>
      </w:r>
      <w:r>
        <w:t>focus will switch to understanding of the molecular mechanisms underlying them. Based on the published evidence available at the initiation of this project, I set forth the following hypotheses:</w:t>
      </w:r>
    </w:p>
    <w:p w14:paraId="26AE5162" w14:textId="77777777" w:rsidR="002112A0" w:rsidRDefault="00FE328A" w:rsidP="00FE328A">
      <w:pPr>
        <w:pStyle w:val="BUMainText"/>
        <w:ind w:firstLine="720"/>
      </w:pPr>
      <w:r>
        <w:t>1. Testosterone alleviates dexamethasone-induced muscle atrophy in mice.</w:t>
      </w:r>
      <w:r>
        <w:ta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707876BD" w14:textId="77777777" w:rsidR="002112A0" w:rsidRDefault="00FE328A" w:rsidP="00FE328A">
      <w:pPr>
        <w:pStyle w:val="BUMainText"/>
        <w:ind w:firstLine="720"/>
      </w:pPr>
      <w:r>
        <w:t>2. Testosterone’s myoprotective action in the context of dexamethasone is based on inhibiting dexam</w:t>
      </w:r>
      <w:r w:rsidR="002112A0">
        <w:t xml:space="preserve">ethasone’s proteolytic effects. </w:t>
      </w:r>
      <w:r>
        <w:t>Studies of 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 ubiquitin system, there was a good probability that specific reversal of GAML by Testo will include proteasome’s repression.</w:t>
      </w:r>
    </w:p>
    <w:p w14:paraId="4618E9E3" w14:textId="77777777" w:rsidR="002112A0" w:rsidRDefault="00FE328A" w:rsidP="00FE328A">
      <w:pPr>
        <w:pStyle w:val="BUMainText"/>
        <w:ind w:firstLine="720"/>
      </w:pPr>
      <w:r>
        <w:t>3. Testosterone’s myoprotective action in glucocorticoid-induced loss of muscle mass is facilitated by the activation of IGF-I / Akt / mTOR axis.</w:t>
      </w:r>
      <w:r>
        <w:tab/>
        <w:t>The few studies on GAML reversal by AAS revealed that Testo action alters mTOR and Akt signaling. Based on the microarray studies that 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6324A9A0" w14:textId="77777777" w:rsidR="002112A0" w:rsidRDefault="002112A0" w:rsidP="002112A0">
      <w:pPr>
        <w:pStyle w:val="BUMainText"/>
        <w:ind w:firstLine="720"/>
        <w:sectPr w:rsidR="002112A0" w:rsidSect="00C87F94">
          <w:headerReference w:type="default" r:id="rId20"/>
          <w:footerReference w:type="default" r:id="rId21"/>
          <w:headerReference w:type="first" r:id="rId22"/>
          <w:footerReference w:type="first" r:id="rId23"/>
          <w:pgSz w:w="12240" w:h="15840"/>
          <w:pgMar w:top="2160" w:right="1440" w:bottom="1440" w:left="2160" w:header="1440" w:footer="1080" w:gutter="0"/>
          <w:pgNumType w:start="1"/>
          <w:cols w:space="720"/>
          <w:docGrid w:linePitch="360"/>
        </w:sectPr>
      </w:pPr>
    </w:p>
    <w:p w14:paraId="659317E6" w14:textId="77777777" w:rsidR="002112A0" w:rsidRDefault="00FE328A" w:rsidP="002112A0">
      <w:pPr>
        <w:pStyle w:val="Heading1"/>
      </w:pPr>
      <w:r>
        <w:t>METHODS</w:t>
      </w:r>
    </w:p>
    <w:p w14:paraId="0DBA7B02" w14:textId="77777777" w:rsidR="002112A0" w:rsidRPr="002112A0" w:rsidRDefault="00FE328A" w:rsidP="002112A0">
      <w:pPr>
        <w:pStyle w:val="Heading2"/>
        <w:rPr>
          <w:sz w:val="24"/>
          <w:szCs w:val="24"/>
        </w:rPr>
      </w:pPr>
      <w:r w:rsidRPr="002112A0">
        <w:rPr>
          <w:sz w:val="24"/>
          <w:szCs w:val="24"/>
        </w:rPr>
        <w:t>Ethical considerations</w:t>
      </w:r>
    </w:p>
    <w:p w14:paraId="01B5FA61" w14:textId="77777777" w:rsidR="002112A0" w:rsidRDefault="00FE328A" w:rsidP="00FE328A">
      <w:pPr>
        <w:pStyle w:val="BUMainText"/>
        <w:ind w:firstLine="720"/>
      </w:pPr>
      <w:r>
        <w:t>All animal procedures have been described in protocols drafted by the author, and submitted with Dr. Carlo Serra as principal investigator to the Institutional Animal Care and Use Committee at the Boston University School of Medicine and Harvard Medical Area Standing Committee on Animals. Experiments were performed solely after approval was obtained.</w:t>
      </w:r>
    </w:p>
    <w:p w14:paraId="1269587D" w14:textId="77777777" w:rsidR="002112A0" w:rsidRPr="002112A0" w:rsidRDefault="00FE328A" w:rsidP="002112A0">
      <w:pPr>
        <w:pStyle w:val="Heading2"/>
        <w:rPr>
          <w:sz w:val="24"/>
          <w:szCs w:val="24"/>
        </w:rPr>
      </w:pPr>
      <w:r w:rsidRPr="002112A0">
        <w:rPr>
          <w:sz w:val="24"/>
          <w:szCs w:val="24"/>
        </w:rPr>
        <w:t>Animal studies</w:t>
      </w:r>
    </w:p>
    <w:p w14:paraId="3B561317" w14:textId="77777777" w:rsidR="009B3E7A" w:rsidRDefault="00FE328A" w:rsidP="00FE328A">
      <w:pPr>
        <w:pStyle w:val="BUMainText"/>
        <w:ind w:firstLine="720"/>
      </w:pPr>
      <w:r>
        <w:t>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◦C, with 12 h light / 12 h dark cycles. Mice were offered water and chow (Purina, Richmond, Indiana) ad libitum.</w:t>
      </w:r>
    </w:p>
    <w:p w14:paraId="3DE9996C" w14:textId="77777777" w:rsidR="009B3E7A" w:rsidRDefault="00FE328A" w:rsidP="00FE328A">
      <w:pPr>
        <w:pStyle w:val="BUMainText"/>
        <w:ind w:firstLine="720"/>
      </w:pPr>
      <w:r>
        <w:t>Experiments involved steroid administration for 1, 3, or 7 days. Every morning, between 9 and 11 AM, mice were weighted, then injected subcutaneously with 200 µL corn-oil based solution, including 14 µL ethanol, which delivered either (A) 0.7 mg Testo propionate (T), or (B) 0.25 mg Dexa (D), or (C) both T and Dexa in the above doses (DT), or (D) neither drug. This latter group will be designated Vehicle (V). Testo propionate and Dexa were from Sigma-Aldrich (St. Louis, Missouri). Research-grade corn oil was purchased from MP Biomedicals (Solon, Ohio). Unless specified, chemical reagents used in this work were from Fisher (Pittsburgh, Pennsylvania), including pharmaceutical-grade ethanol used here.</w:t>
      </w:r>
    </w:p>
    <w:p w14:paraId="65B77C31" w14:textId="77777777" w:rsidR="009B3E7A" w:rsidRDefault="00FE328A" w:rsidP="00FE328A">
      <w:pPr>
        <w:pStyle w:val="BUMainText"/>
        <w:ind w:firstLine="720"/>
      </w:pPr>
      <w:r>
        <w:t>Before the first injection and 24 h after the last injection, mice lean and fat body mass was measured by nuclear magnetic resonance (NMR), using an Echo-MRI whole body composition analyzer (Echo Medical Systems, Houston,</w:t>
      </w:r>
      <w:r w:rsidR="009B3E7A">
        <w:t xml:space="preserve"> </w:t>
      </w:r>
      <w:r>
        <w:t>Texas). In this procedure, mice were restrained inside a transparent methacrylate tube for 90 s, without sedation or anesthesia.</w:t>
      </w:r>
    </w:p>
    <w:p w14:paraId="5B3B37B0" w14:textId="77777777" w:rsidR="009B3E7A" w:rsidRDefault="00FE328A" w:rsidP="00FE328A">
      <w:pPr>
        <w:pStyle w:val="BUMainText"/>
        <w:ind w:firstLine="720"/>
      </w:pPr>
      <w:r>
        <w:t>Mice were euthanized humanely by Euthasol® (pentobarbital sodium and phenytoin sodium solution; 200 mg/kg pentobarbital; Diamond Animal Health, Des Moines, Iowa) intraperitoneal, followed by quick cervical dislocation. Blood was collected immediately after death through thoracotomy and cardiac puncture, incubated 15 min at room temperature, centrifuged 15 min, at 10,000 g, 4 ◦C. Levator ani, gastrocnemius, tibialis anterior, quadriceps, and triceps brachii muscles were collected, weighted in wet state, flash-frozen by submersion in</w:t>
      </w:r>
      <w:r w:rsidR="009B3E7A">
        <w:t xml:space="preserve"> </w:t>
      </w:r>
      <w:r>
        <w:t>liquid nitrogen, and stored at −80 ◦C.</w:t>
      </w:r>
    </w:p>
    <w:p w14:paraId="4DA1B43C" w14:textId="77777777" w:rsidR="009B3E7A" w:rsidRDefault="00FE328A" w:rsidP="00FE328A">
      <w:pPr>
        <w:pStyle w:val="BUMainText"/>
        <w:ind w:firstLine="720"/>
      </w:pPr>
      <w:r>
        <w:t>Muscles were crushed under liquid nitrogen, using a mortar and pestle</w:t>
      </w:r>
      <w:r w:rsidR="009B3E7A">
        <w:t xml:space="preserve"> </w:t>
      </w:r>
      <w:r>
        <w:t xml:space="preserve">pre-chilled in liquid nitrogen, and muscle powder was stored at −80 ◦C. Small quantities of muscle powder (25 </w:t>
      </w:r>
      <w:r>
        <w:rPr>
          <w:rFonts w:ascii="Cambria" w:hAnsi="Cambria" w:cs="Cambria"/>
        </w:rPr>
        <w:t>µ</w:t>
      </w:r>
      <w:r>
        <w:t xml:space="preserve">g to 30 </w:t>
      </w:r>
      <w:r>
        <w:rPr>
          <w:rFonts w:ascii="Cambria" w:hAnsi="Cambria" w:cs="Cambria"/>
        </w:rPr>
        <w:t>µ</w:t>
      </w:r>
      <w:r>
        <w:t>g) were lyzed for enzymatic activity assays, immunoblot, or quantitative real-time polymerase chain reaction</w:t>
      </w:r>
      <w:r w:rsidR="009B3E7A">
        <w:t xml:space="preserve"> </w:t>
      </w:r>
      <w:r>
        <w:t>(qRT-PCR), as described in dedicated sections.</w:t>
      </w:r>
    </w:p>
    <w:p w14:paraId="3BD8A50A" w14:textId="77777777" w:rsidR="009B3E7A" w:rsidRPr="00831C31" w:rsidRDefault="00FE328A" w:rsidP="00831C31">
      <w:pPr>
        <w:pStyle w:val="Heading2"/>
        <w:rPr>
          <w:sz w:val="24"/>
          <w:szCs w:val="24"/>
        </w:rPr>
      </w:pPr>
      <w:r w:rsidRPr="00831C31">
        <w:rPr>
          <w:sz w:val="24"/>
          <w:szCs w:val="24"/>
        </w:rPr>
        <w:t>Enzymatic assays</w:t>
      </w:r>
    </w:p>
    <w:p w14:paraId="52FC1612" w14:textId="77777777" w:rsidR="009B3E7A" w:rsidRDefault="00FE328A" w:rsidP="00FE328A">
      <w:pPr>
        <w:pStyle w:val="BUMainText"/>
        <w:ind w:firstLine="720"/>
      </w:pPr>
      <w:r>
        <w:t>Chymotrypsin-like proteasome enzymatic activity was measured using the</w:t>
      </w:r>
      <w:r w:rsidR="009B3E7A">
        <w:t xml:space="preserve"> </w:t>
      </w:r>
      <w:r>
        <w:t>20S Proteasome Activity Assay kit (Chemicon International, Temecula, California). For each animal and muscle, 25 mg powdered muscle was extracted with 8 mL/g tissue of lysis buffer containing 150 mM sodium chloride, 50 mM</w:t>
      </w:r>
      <w:r w:rsidR="009B3E7A">
        <w:t xml:space="preserve"> </w:t>
      </w:r>
      <w:r>
        <w:t>4-(2-hydroxyethyl)-1-piperazineethanesulfonate HEPES (pH 7.4), 5 mM sodium ethylenediaminetetraacetate (EDTA), and 10 ‰ Triton X-100, by nutation at 4 ◦C</w:t>
      </w:r>
      <w:r w:rsidR="009B3E7A">
        <w:t xml:space="preserve"> </w:t>
      </w:r>
      <w:r>
        <w:t xml:space="preserve">for 30 min, with vortexing every 10 min. The extract was clarified by centrifugation at 10,000 g, 10 min, 4 ◦C. The clarified extract was collected and stored at </w:t>
      </w:r>
      <w:r>
        <w:rPr>
          <w:rFonts w:ascii="Cambria" w:hAnsi="Cambria" w:cs="Cambria"/>
        </w:rPr>
        <w:t>−</w:t>
      </w:r>
      <w:r>
        <w:t>20 ◦C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w:t>
      </w:r>
      <w:r w:rsidR="009B3E7A">
        <w:t xml:space="preserve"> </w:t>
      </w:r>
      <w:r>
        <w:t>96-well plate wells, with 10 µL proprietary assay buffer and 10 µL fluorogenic proteasome substrate, Succynyl-Leu-Leu-Val-Tyr-7-amino-4-methylcoumarin,</w:t>
      </w:r>
      <w:r w:rsidR="009B3E7A">
        <w:t xml:space="preserve"> </w:t>
      </w:r>
      <w:r>
        <w:t>500 µM stock. This was done in duplicates for each sample, and for a negative control (“background”), containing lysis buffer instead of muscle extract. The plate was sealed and incubated at 37 ◦C for 30 min. Next, fluorescence was</w:t>
      </w:r>
      <w:r w:rsidR="009B3E7A">
        <w:t xml:space="preserve"> </w:t>
      </w:r>
      <w:r>
        <w:t>measured with a Saphire multi-well plate reader (Tecan, Männedorf, Switzerland)</w:t>
      </w:r>
      <w:r w:rsidR="009B3E7A">
        <w:t xml:space="preserve"> </w:t>
      </w:r>
      <w:r>
        <w:t>with excitation at 380 nm and emission at 460 nm. Background fluorescence, including substrate, was subtracted from sample measurements. Preliminary</w:t>
      </w:r>
      <w:r w:rsidR="009B3E7A">
        <w:t xml:space="preserve"> </w:t>
      </w:r>
      <w:r>
        <w:t>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2B5A617F" w14:textId="77777777" w:rsidR="009B3E7A" w:rsidRDefault="00FE328A" w:rsidP="00FE328A">
      <w:pPr>
        <w:pStyle w:val="BUMainText"/>
        <w:ind w:firstLine="720"/>
      </w:pPr>
      <w:r>
        <w:t>Lysosome enzymatic activity was measured in a similar protocol, using Cathepsin L Activity Fluorometric Assay kit (Abcam plc, Cambridge, England). For each animal and muscle, 25 mg powdered muscle was extracted with 8 mL/g tissue of proprietary lysis buffer, clarified, stored, and assayed for total protein, in</w:t>
      </w:r>
      <w:r w:rsidR="009B3E7A">
        <w:t xml:space="preserve"> </w:t>
      </w:r>
      <w:r>
        <w:t>the same manner as for the proteasome activity assay. Extracts were diluted to the lowest total protein concentration, using the same lysis buffer that was used to extract them. Per kit manufacturer instructions, 48 µL clarified extract</w:t>
      </w:r>
      <w:r w:rsidR="009B3E7A">
        <w:t xml:space="preserve"> </w:t>
      </w:r>
      <w:r>
        <w:t>(depending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◦C for 30 min. Fluorescence was measured with excitation at 400 nm and emission at</w:t>
      </w:r>
      <w:r w:rsidR="009B3E7A">
        <w:t xml:space="preserve"> </w:t>
      </w:r>
      <w:r>
        <w:t>505 nm. Background fluorescence, including substrate, was subtracted from sample measurements.</w:t>
      </w:r>
    </w:p>
    <w:p w14:paraId="193832C3" w14:textId="77777777" w:rsidR="009B3E7A" w:rsidRDefault="00FE328A" w:rsidP="00FE328A">
      <w:pPr>
        <w:pStyle w:val="BUMainText"/>
        <w:ind w:firstLine="720"/>
      </w:pPr>
      <w:r>
        <w:t>Calpain enzymatic activity was measured in a similar protocol, using Cathepsin L Activity Fluorometric Assay kit (Promega, Madison, Wisconsin). For each animal and muscle, 25 mg powdered muscle was extracted with 8 mL/g tissue of lysis buffer containing 150 mM sodium chloride, 10 mM HEPES pH 7.4,</w:t>
      </w:r>
      <w:r w:rsidR="009B3E7A">
        <w:t xml:space="preserve"> </w:t>
      </w:r>
      <w:r>
        <w:t>10 mM dithiothreitol (DTT), 1 mM EDTA, and 10 ‰ Triton X-100, as described for proteasome activity assay. Extracts were clarified, and stored, as described for the proteasome activity assay. Total protein was measured by Bradford assay. Briefly, 1 µL sample was mixed with 300 µL Coomassie Plus (Life Technologies, Carlsbad, California) in duplicate wells of a 96-well plate, incubated 10 min at room temperature, and measured spectrophotometrically for absorption at</w:t>
      </w:r>
      <w:r w:rsidR="009B3E7A">
        <w:t xml:space="preserve"> </w:t>
      </w:r>
      <w:r>
        <w:t>595 nm. Extracts were diluted to the lowest total protein concentration, using the same lysis buffer that was used to extract them. Per kit manufacturer instructions,</w:t>
      </w:r>
      <w:r w:rsidR="009B3E7A">
        <w:t xml:space="preserve"> </w:t>
      </w:r>
      <w:r>
        <w:t>50 µL clarified extract (depending on muscle, 100 µg to 300 µg total protein) were mixed, in 96-well plate wells, with 50 µL proprietary assay buffer, containing lyophilized luciferase, ATP, 80 µM pro-luminescent calpain substrate,</w:t>
      </w:r>
      <w:r w:rsidR="009B3E7A">
        <w:t xml:space="preserve"> </w:t>
      </w:r>
      <w:r>
        <w:t>Suc-Leu-Leu-Val-Tyr-aminoluciferase, and 8 µM calcium chloride. This was done in duplicates for each sample, and for a negative control (“background”), containing lysis buffer instead of muscle extract. After 10 min of incubation at</w:t>
      </w:r>
      <w:r w:rsidR="009B3E7A">
        <w:t xml:space="preserve"> </w:t>
      </w:r>
      <w:r>
        <w:t>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37555EA4" w14:textId="77777777" w:rsidR="009B3E7A" w:rsidRPr="00831C31" w:rsidRDefault="00FE328A" w:rsidP="00831C31">
      <w:pPr>
        <w:pStyle w:val="Heading2"/>
        <w:rPr>
          <w:sz w:val="24"/>
          <w:szCs w:val="24"/>
        </w:rPr>
      </w:pPr>
      <w:r w:rsidRPr="00831C31">
        <w:rPr>
          <w:sz w:val="24"/>
          <w:szCs w:val="24"/>
        </w:rPr>
        <w:t>Immunoblot</w:t>
      </w:r>
    </w:p>
    <w:p w14:paraId="3D0F749B" w14:textId="77777777" w:rsidR="00831C31" w:rsidRDefault="00FE328A" w:rsidP="00FE328A">
      <w:pPr>
        <w:pStyle w:val="BUMainText"/>
        <w:ind w:firstLine="720"/>
      </w:pPr>
      <w:r>
        <w:t>For each animal and muscle, 25 mg powdered muscle was extracted with</w:t>
      </w:r>
      <w:r w:rsidR="009B3E7A">
        <w:t xml:space="preserve"> </w:t>
      </w:r>
      <w:r>
        <w:t>4 mL/g tissue of radioimmunoprecipitation assay (RIPA) buffer, containing</w:t>
      </w:r>
      <w:r w:rsidR="009B3E7A">
        <w:t xml:space="preserve"> </w:t>
      </w:r>
      <w:r>
        <w:t>150 mM sodium chloride, 20 mM Tris pH 7.5, 100 ‰ v/v glycerol, 10 ‰ v/v</w:t>
      </w:r>
      <w:r w:rsidR="009B3E7A">
        <w:t xml:space="preserve"> </w:t>
      </w:r>
      <w:r>
        <w:t xml:space="preserve">NP-40, 10 g/L sodium deoxycholate, 1 g/L sodium dodecyl sulfate (SDS), 1 mM EDTA, 1 mM sodium ethyleneglycol tetraacetate, 10 mg/L leupeptin, 10 mg/L pepstatin, 10 mg/L aprotinin, 1 mM phenylmethanesulfonylfluoride, 1 mM sodium orthovanadate, 5 mM sodium fluoride. The mixture was nutated at 4 ◦C for 30 min, with vortexing every 10 min. The suspensions were clarified by centrifugation at 12,000g, 15 min, at 4 ◦C. The supernatant was collected, aliquoted, and stored for months at </w:t>
      </w:r>
      <w:r>
        <w:rPr>
          <w:rFonts w:ascii="Cambria" w:hAnsi="Cambria" w:cs="Cambria"/>
        </w:rPr>
        <w:t>−</w:t>
      </w:r>
      <w:r>
        <w:t>80 ◦C.</w:t>
      </w:r>
    </w:p>
    <w:p w14:paraId="04352BF0" w14:textId="77777777" w:rsidR="00831C31" w:rsidRDefault="00FE328A" w:rsidP="00FE328A">
      <w:pPr>
        <w:pStyle w:val="BUMainText"/>
        <w:ind w:firstLine="720"/>
      </w:pPr>
      <w:r>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0.5 g/L to 10 g/L bovine serum albumin (BSA) prepared with the same lysis buffer as the unknowns. The plate was incubated 30 min at 37 ◦C. Light absorbance was measured with a Saphire</w:t>
      </w:r>
      <w:r w:rsidR="00831C31">
        <w:t xml:space="preserve"> </w:t>
      </w:r>
      <w:r>
        <w:t>multi-well plate reader (Tecan, Männedorf, Switzerland) with absorption at</w:t>
      </w:r>
      <w:r w:rsidR="00831C31">
        <w:t xml:space="preserve"> </w:t>
      </w:r>
      <w:r>
        <w:t>562 nm. The standard curve was fitted to a quadratic equation. Typically, extracts were diluted to the lowest total protein concentration, using the same lysis buffer that was used to extract them.</w:t>
      </w:r>
    </w:p>
    <w:p w14:paraId="1D0FBF1F" w14:textId="77777777" w:rsidR="00831C31" w:rsidRDefault="00FE328A" w:rsidP="00FE328A">
      <w:pPr>
        <w:pStyle w:val="BUMainText"/>
        <w:ind w:firstLine="720"/>
      </w:pPr>
      <w:r>
        <w:t>The lysates were resolved by polyacrylamide gel electrophoresis (PAGE). The gels were cast in the morning of the electrophoresis. The stacking section was a</w:t>
      </w:r>
      <w:r w:rsidR="00831C31">
        <w:t xml:space="preserve"> </w:t>
      </w:r>
      <w:r>
        <w:t>5 g/dL acrylamide gel, with 125 mM Tris pH 6.8. The separating section has a</w:t>
      </w:r>
      <w:r w:rsidR="00831C31">
        <w:t xml:space="preserve"> </w:t>
      </w:r>
      <w:r>
        <w:t>variable concentration of acrylamide (12 g/dL for low molecular weight unknowns, 8 g/dL for others), and 400 mM Tris pH 8.8. Both sections included</w:t>
      </w:r>
      <w:r w:rsidR="00831C31">
        <w:t xml:space="preserve"> </w:t>
      </w:r>
      <w:r>
        <w:t>1 g/L SDS, and polymerized by the addition of 1 g/L ammonium persulfate and</w:t>
      </w:r>
      <w:r w:rsidR="00831C31">
        <w:t xml:space="preserve"> </w:t>
      </w:r>
      <w:r>
        <w:t>0.4 ‰ v/v tetramethylethylenediamine. In order to settle and migrate, lysates were mixed 1:1 with PAGE sample buffer, which contained 30 mM Tris pH 6.8,</w:t>
      </w:r>
      <w:r w:rsidR="00831C31">
        <w:t xml:space="preserve"> </w:t>
      </w:r>
      <w:r>
        <w:t>10 g/L SDS, 100 ‰ v/v glycerol, 50 mg/L bromophenol blue, and 350 mM DTT.</w:t>
      </w:r>
      <w:r w:rsidR="00831C31">
        <w:t xml:space="preserve"> </w:t>
      </w:r>
      <w:r>
        <w:t>The mixture of sample and sample buffer was incubated for 5 min at 95 ◦C, then loaded on the gel, with equal volumes and masses of total protein in each well. Electrophoresis was performed in a Miniprotean Tetra cell (Bio-rad, Hercules, California), at constant 80 V, using an electrode buffer with 14.4 g/L glycine, 3 g/L Tris base, 10 g/L SDS.</w:t>
      </w:r>
    </w:p>
    <w:p w14:paraId="70450811" w14:textId="77777777" w:rsidR="00831C31" w:rsidRDefault="00FE328A" w:rsidP="00FE328A">
      <w:pPr>
        <w:pStyle w:val="BUMainText"/>
        <w:ind w:firstLine="720"/>
      </w:pPr>
      <w:r>
        <w:t xml:space="preserve">From the gel, resolved proteins were transferred to nitrocellulose membranes using a Bio-rad Mini-trans blot cassette, at 8 V/cm constant overnight at 4 ◦C. The Towbin transfer buffer had 200 </w:t>
      </w:r>
      <w:r>
        <w:rPr>
          <w:rFonts w:ascii="Cambria" w:hAnsi="Cambria" w:cs="Cambria"/>
        </w:rPr>
        <w:t>‰</w:t>
      </w:r>
      <w:r>
        <w:t xml:space="preserve"> v/v methanol, 25 mM Tris pH 8.3, 192 mM glycine.</w:t>
      </w:r>
    </w:p>
    <w:p w14:paraId="5F642FCC" w14:textId="77777777" w:rsidR="00831C31" w:rsidRDefault="00FE328A" w:rsidP="00FE328A">
      <w:pPr>
        <w:pStyle w:val="BUMainText"/>
        <w:ind w:firstLine="720"/>
      </w:pPr>
      <w:r>
        <w:t>Quality of transfer was assessed by temporary Ponceau staining (20 g/L Ponceau S in 300 g/L trichloroacetic acid and 300 g/L sulfosalicylic acid). At this time, using indications from the molecular weight standards, the membrane was sectioned, thus allowing probing with multiple antibodies.</w:t>
      </w:r>
    </w:p>
    <w:p w14:paraId="6DB6799D" w14:textId="77777777" w:rsidR="00831C31" w:rsidRDefault="00FE328A" w:rsidP="00FE328A">
      <w:pPr>
        <w:pStyle w:val="BUMainText"/>
        <w:ind w:firstLine="720"/>
      </w:pPr>
      <w:r>
        <w:t>Ponceau was removed by washing twice, with shaking 5 min at room</w:t>
      </w:r>
      <w:r w:rsidR="00831C31">
        <w:t xml:space="preserve"> </w:t>
      </w:r>
      <w:r>
        <w:t>temperature, in TBST (130 mM sodium chloride, 20 mM Tris pH 7.5, 1 ‰ v/v Tween-20). The membranes were blocked by shaking for one hour in blocking solution (TBST with 5 g/dL fat-free instant milk) at room temperature. Next, membranes were probed by shaking overnight at 4 ◦C in TBST with 50 g/L BSA and primary antibodies of choice (listed later). Next day, the membranes were washed in TBST, twice briefly and three times with 5 min shaking at room temperature. The washed membranes were then probed by shaking at room temperature for an hour in a solution with TBST, 5 g/dL fat-free instant milk, and the secondary antibody of choice (listed later). The membranes were washed as before.</w:t>
      </w:r>
    </w:p>
    <w:p w14:paraId="52B231DC" w14:textId="77777777" w:rsidR="00831C31" w:rsidRDefault="00FE328A" w:rsidP="00FE328A">
      <w:pPr>
        <w:pStyle w:val="BUMainText"/>
        <w:ind w:firstLine="720"/>
      </w:pPr>
      <w:r>
        <w:t>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and then excess liquid was drained. The membrane was placed in the film cassette. In a dark room, under red light, a X-Omat photographic film (Kodak, Rochester, New York) was placed on the nitrocellulose membrane. Exposure was between 10 s and 5 min, depending on the strength of the signal. After developing the first image, longer or shorter exposures were used, as needed.</w:t>
      </w:r>
    </w:p>
    <w:p w14:paraId="1CE41012" w14:textId="192FA3B6" w:rsidR="00FE328A" w:rsidRDefault="00FE328A" w:rsidP="00FE328A">
      <w:pPr>
        <w:pStyle w:val="BUMainText"/>
        <w:ind w:firstLine="720"/>
      </w:pPr>
      <w:r>
        <w:t>Photographic films were digitized using a FluorChem-SP Imaging System (Alpha Innotech, San Leandro, California), using automatic exposure. Band densitometry was performed with the Image Studio Lite application (Li-Cor, Lincoln, Nebraska).</w:t>
      </w:r>
    </w:p>
    <w:p w14:paraId="0691EF49" w14:textId="77777777" w:rsidR="00831C31" w:rsidRDefault="00FE328A" w:rsidP="00FE328A">
      <w:pPr>
        <w:pStyle w:val="BUMainText"/>
        <w:ind w:firstLine="720"/>
      </w:pPr>
      <w:r>
        <w:t>At times, antibodies were stripped by incubation with shaking for 45 min at</w:t>
      </w:r>
      <w:r w:rsidR="00831C31">
        <w:t xml:space="preserve"> </w:t>
      </w:r>
      <w:r>
        <w:t>50 ◦C in a tight container with pre-warmed stripping buffer (20 g/L SDS, 60 mM Tris pH 6.8, 100 mM beta-mercaptoethanol). Stripped membranes were rinse</w:t>
      </w:r>
      <w:r w:rsidR="00831C31">
        <w:t xml:space="preserve"> </w:t>
      </w:r>
      <w:r>
        <w:t>with water, washed with TBST, re-blocked, and re-probed.</w:t>
      </w:r>
    </w:p>
    <w:p w14:paraId="42AF1053" w14:textId="77777777" w:rsidR="00831C31" w:rsidRDefault="00FE328A" w:rsidP="00FE328A">
      <w:pPr>
        <w:pStyle w:val="BUMainText"/>
        <w:ind w:firstLine="720"/>
      </w:pPr>
      <w:r>
        <w:t>Primary antibodies used were: anti-myosin heavy chain (in-house, from MF20 hybridoma cells), anti-GAPDH (Pierce), anti-calpain 1 (Abcam), anti-eIF3f (Rockland), anti-LC3, anti-phospho-eIF2, anti-4EBP, anti-phospho-4EBP,</w:t>
      </w:r>
      <w:r w:rsidR="00831C31">
        <w:t xml:space="preserve"> </w:t>
      </w:r>
      <w:r>
        <w:t>anti-ATF4, anti-cathepsin L, anti-calpastatin, anti-IGF-1R, anti-phospho-IGF1-R, anti-Akt, anti-phospho-Ser473 Akt (all from Cell Signaling Technologies).</w:t>
      </w:r>
      <w:r w:rsidR="00831C31">
        <w:t xml:space="preserve"> </w:t>
      </w:r>
      <w:r>
        <w:t>Anti-mouse and anti-rabbit secondary antibodies were from Cell Signaling</w:t>
      </w:r>
      <w:r w:rsidR="00831C31">
        <w:t xml:space="preserve"> </w:t>
      </w:r>
      <w:r>
        <w:t>Technologies.</w:t>
      </w:r>
    </w:p>
    <w:p w14:paraId="10243082" w14:textId="11A7A669" w:rsidR="00FE328A" w:rsidRPr="00831C31" w:rsidRDefault="00FE328A" w:rsidP="00831C31">
      <w:pPr>
        <w:pStyle w:val="Heading2"/>
        <w:rPr>
          <w:sz w:val="24"/>
          <w:szCs w:val="24"/>
        </w:rPr>
      </w:pPr>
      <w:r w:rsidRPr="00831C31">
        <w:rPr>
          <w:sz w:val="24"/>
          <w:szCs w:val="24"/>
        </w:rPr>
        <w:t>Quantitative real-time polymerase chain reaction</w:t>
      </w:r>
    </w:p>
    <w:p w14:paraId="5B40F054" w14:textId="77777777" w:rsidR="00831C31" w:rsidRDefault="00FE328A" w:rsidP="00FE328A">
      <w:pPr>
        <w:pStyle w:val="BUMainText"/>
        <w:ind w:firstLine="720"/>
      </w:pPr>
      <w:r>
        <w:t>Total RNA was purified by a combination of phenol-chlorophorm fractionation and spin column chromatography. For each animal and muscle,</w:t>
      </w:r>
      <w:r w:rsidR="00831C31">
        <w:t xml:space="preserve"> </w:t>
      </w:r>
      <w:r>
        <w:t xml:space="preserve">25 mg powdered muscle was homogenized briefly in 1 mL Trizol (Life Technologies). The suspension was incubated 5 min at room temperature, then supplemented with 200 µL chloroform. The tube was shaken vigorously for 15 s, and then incubated 3 min at room temperature. Phase separation was induced by centrifugation, 15 min, 12,000 g, at 4 ◦C. The top, aqueous fraction (500 </w:t>
      </w:r>
      <w:r>
        <w:rPr>
          <w:rFonts w:ascii="Cambria" w:hAnsi="Cambria" w:cs="Cambria"/>
        </w:rPr>
        <w:t>µ</w:t>
      </w:r>
      <w:r>
        <w:t>L) was collected, and then passed through a gDNA exclusion column, by centrifugation for 30 s, 8,000 g. The recovered solution was supplemented 1:1 with 700 ‰ v/v ethanol, and then passed through an RNeasy column, by centrifugation, 10 s at</w:t>
      </w:r>
      <w:r w:rsidR="00831C31">
        <w:t xml:space="preserve"> </w:t>
      </w:r>
      <w:r>
        <w:t>8,000 g. The column was washed with 700 µL proprietary, guanidine and ethanol-containing, RW1buffer, and twice with 500 µL proprietary RPE buffer, each time by centrifugation, 15 s at 8,000 g. The column was dried by centrifugation 2 min at 8,000 g. RNA was eluted with 40 µL water, by centrifugation, 1 min at 8,000 g.</w:t>
      </w:r>
    </w:p>
    <w:p w14:paraId="3C975214" w14:textId="77777777" w:rsidR="00831C31" w:rsidRDefault="00FE328A" w:rsidP="00FE328A">
      <w:pPr>
        <w:pStyle w:val="BUMainText"/>
        <w:ind w:firstLine="720"/>
      </w:pPr>
      <w:r>
        <w:t>Total RNA concentration was measured with an ND-1000 spectrophotometer</w:t>
      </w:r>
      <w:r w:rsidR="00831C31">
        <w:t xml:space="preserve"> </w:t>
      </w:r>
      <w:r>
        <w:t>(Nanodrop, Wilmington, Delaware) at 260 nm, using its Windows proprietary application.</w:t>
      </w:r>
    </w:p>
    <w:p w14:paraId="75304D25" w14:textId="77777777" w:rsidR="00831C31" w:rsidRDefault="00FE328A" w:rsidP="00FE328A">
      <w:pPr>
        <w:pStyle w:val="BUMainText"/>
        <w:ind w:firstLine="720"/>
      </w:pPr>
      <w:r>
        <w:t>To obtain cDNA using AccuScript 1st Strand cDNA synthesis kit, 320 ng total RNA was combined with 300 ng random primers, 20 nmol of each triphosphate nucleotide, and the proprietary AccuScript RT Buffer 10×. After incubation for</w:t>
      </w:r>
      <w:r w:rsidR="00831C31">
        <w:t xml:space="preserve"> </w:t>
      </w:r>
      <w:r>
        <w:t>5 min at 65 ◦C, and cooling towards room temperature another 5 min, the RNA</w:t>
      </w:r>
      <w:r w:rsidR="00831C31">
        <w:t xml:space="preserve"> </w:t>
      </w:r>
      <w:r>
        <w:t>mix was supplemented with 2 nmol DTT, 20 units RNAse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◦C, then 60 min at 42 ◦C. Reverse transcription was terminated by incubating 15 min at 70 ◦C. The product was stored at 20 ◦C between measurements.</w:t>
      </w:r>
    </w:p>
    <w:p w14:paraId="1232A365" w14:textId="77777777" w:rsidR="00831C31" w:rsidRDefault="00FE328A" w:rsidP="00FE328A">
      <w:pPr>
        <w:pStyle w:val="BUMainText"/>
        <w:ind w:firstLine="720"/>
      </w:pPr>
      <w:r>
        <w:t>Specific cDNA amounts were measured with an 7500 Fast Real-Time PCR cycler (Applied Biosystems, Foster City, California), using 96-well plates. Each unknown was measured in duplicates. Each well contained 1 µL cDNA stock,</w:t>
      </w:r>
      <w:r w:rsidR="00831C31">
        <w:t xml:space="preserve"> </w:t>
      </w:r>
      <w:r>
        <w:t>10 pmol each sense and anti-sense primer (listed later), and proprietary</w:t>
      </w:r>
      <w:r w:rsidR="00831C31">
        <w:t xml:space="preserve"> </w:t>
      </w:r>
      <w:r>
        <w:t>SybrGreen 2X. The qRT-PCR cycler incubates samples 2 min at 50 ◦C, then 10 min at 95 ◦C. Then, 40 cycles were run, comprising 15 sat 95 ◦C, and 60 s at 60 ◦C, with measurements of DNA after each cycle. The amount of specific cDNA was estimated from the number of cycles (Ct; cycle threshold) required to reach a DNA concentration threshold, automatically chosen by the Applied Biosystems</w:t>
      </w:r>
      <w:r w:rsidR="00831C31">
        <w:t xml:space="preserve"> </w:t>
      </w:r>
      <w:r>
        <w:t>software at midway between the lag phase and the end plateau DNA concentrations. Moreover, the Applied Biosystems software may interpolate the number of cycles, thus providing, for each well, a non-integer number of cycles</w:t>
      </w:r>
      <w:r w:rsidR="00831C31">
        <w:t xml:space="preserve"> </w:t>
      </w:r>
      <w:r>
        <w:t>that will yield the threshold DNA concentration.</w:t>
      </w:r>
    </w:p>
    <w:p w14:paraId="2C4D9464" w14:textId="77777777" w:rsidR="00831C31" w:rsidRDefault="00FE328A" w:rsidP="00FE328A">
      <w:pPr>
        <w:pStyle w:val="BUMainText"/>
        <w:ind w:firstLine="720"/>
      </w:pPr>
      <w:r>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w:t>
      </w:r>
      <w:r w:rsidR="00831C31">
        <w:t xml:space="preserve"> </w:t>
      </w:r>
      <w:r>
        <w:t>re-based, by subtracting from each the average measurement in the V group. (This double-rebasing method is also referred to as the ’ΔΔCt’.)</w:t>
      </w:r>
    </w:p>
    <w:p w14:paraId="12A9BD01" w14:textId="77777777" w:rsidR="00831C31" w:rsidRDefault="00FE328A" w:rsidP="00FE328A">
      <w:pPr>
        <w:pStyle w:val="BUMainText"/>
        <w:ind w:firstLine="720"/>
      </w:pPr>
      <w:r>
        <w:t>Primers used are listed in table 2.</w:t>
      </w:r>
    </w:p>
    <w:p w14:paraId="5BE275C9" w14:textId="77777777" w:rsidR="00831C31" w:rsidRDefault="00831C31" w:rsidP="00FE328A">
      <w:pPr>
        <w:pStyle w:val="BUMainText"/>
        <w:ind w:firstLine="720"/>
      </w:pPr>
      <w:bookmarkStart w:id="15" w:name="_GoBack"/>
      <w:bookmarkEnd w:id="15"/>
    </w:p>
    <w:p w14:paraId="2A4EEBBF" w14:textId="77777777" w:rsidR="00831C31" w:rsidRPr="00831C31" w:rsidRDefault="00FE328A" w:rsidP="00831C31">
      <w:pPr>
        <w:pStyle w:val="Heading2"/>
        <w:rPr>
          <w:sz w:val="24"/>
          <w:szCs w:val="24"/>
        </w:rPr>
      </w:pPr>
      <w:r w:rsidRPr="00831C31">
        <w:rPr>
          <w:sz w:val="24"/>
          <w:szCs w:val="24"/>
        </w:rPr>
        <w:t>Cell culture studies</w:t>
      </w:r>
    </w:p>
    <w:p w14:paraId="045ECFEE" w14:textId="77C75CEF" w:rsidR="00FE328A" w:rsidRDefault="00FE328A" w:rsidP="00FE328A">
      <w:pPr>
        <w:pStyle w:val="BUMainText"/>
        <w:ind w:firstLine="720"/>
      </w:pPr>
      <w:r>
        <w:t>C2C12 cells were obtained from ATCC (Manassas, Virginia). They were grown on solid substrate, on cell culture coated plates, in atmospheric air, supplemented to 5% CO2, at 37 ◦C. During proliferation, cells were maintained under</w:t>
      </w:r>
      <w:r w:rsidR="00831C31">
        <w:t xml:space="preserve"> </w:t>
      </w:r>
      <w:r>
        <w:t>500 µL/cm2  growth medium, that is, Dulbecco’s Modified Eagle Medium (DMEM;</w:t>
      </w:r>
      <w:r w:rsidR="00831C31">
        <w:t xml:space="preserve"> </w:t>
      </w:r>
      <w:r>
        <w:t>VWR International, Radnor, Pennsylvania), supplemented with 100 ‰ fetal bovine serum (FBS), 100 units/mL penicillin, and 100 mg/L streptomycin, changed every other day. DMEM contained 400 µM phenylalanine, 4.5 g/L glucose, 4 mM glutamine, and lacked pyruvate.</w:t>
      </w:r>
    </w:p>
    <w:p w14:paraId="364539E1" w14:textId="77777777" w:rsidR="00831C31" w:rsidRDefault="00831C31" w:rsidP="00FE328A">
      <w:pPr>
        <w:pStyle w:val="BUMainText"/>
        <w:ind w:firstLine="720"/>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F77B7F1" w:rsidR="001A02FD" w:rsidRPr="000A05E4" w:rsidRDefault="001A02FD" w:rsidP="001A02FD">
      <w:pPr>
        <w:pStyle w:val="BUFigureCaption"/>
        <w:rPr>
          <w:sz w:val="20"/>
          <w:szCs w:val="20"/>
        </w:rPr>
      </w:pPr>
      <w:bookmarkStart w:id="16" w:name="_Toc238880464"/>
      <w:bookmarkStart w:id="17" w:name="_Toc245270405"/>
      <w:r w:rsidRPr="000A05E4">
        <w:rPr>
          <w:sz w:val="20"/>
          <w:szCs w:val="20"/>
        </w:rPr>
        <w:t>Placeholder for the first figure.</w:t>
      </w:r>
      <w:bookmarkEnd w:id="16"/>
      <w:bookmarkEnd w:id="17"/>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24"/>
          <w:footerReference w:type="default" r:id="rId25"/>
          <w:headerReference w:type="first" r:id="rId26"/>
          <w:footerReference w:type="first" r:id="rId27"/>
          <w:pgSz w:w="12240" w:h="15840"/>
          <w:pgMar w:top="2160" w:right="1440" w:bottom="1440" w:left="2160" w:header="1440" w:footer="1080" w:gutter="0"/>
          <w:pgNumType w:start="1"/>
          <w:cols w:space="720"/>
          <w:docGrid w:linePitch="360"/>
        </w:sectPr>
      </w:pPr>
    </w:p>
    <w:p w14:paraId="59929383" w14:textId="08F8202F" w:rsidR="00F3373D" w:rsidRDefault="00F3373D" w:rsidP="0072455D">
      <w:pPr>
        <w:pStyle w:val="Heading1"/>
      </w:pPr>
      <w:bookmarkStart w:id="18" w:name="_Toc422950573"/>
      <w:r>
        <w:lastRenderedPageBreak/>
        <w:t>CHAPTER TWO</w:t>
      </w:r>
      <w:bookmarkEnd w:id="18"/>
    </w:p>
    <w:p w14:paraId="584C6EAE" w14:textId="77777777" w:rsidR="008A566E" w:rsidRDefault="008A566E" w:rsidP="00F3373D">
      <w:pPr>
        <w:spacing w:line="480" w:lineRule="auto"/>
        <w:rPr>
          <w:rFonts w:ascii="Times New Roman" w:hAnsi="Times New Roman" w:cs="Times New Roman"/>
        </w:r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w:t>
      </w:r>
      <w:r>
        <w:rPr>
          <w:rFonts w:ascii="Times New Roman" w:hAnsi="Times New Roman" w:cs="Times New Roman"/>
        </w:rPr>
        <w:t>t of my dissertation goes here.</w:t>
      </w:r>
    </w:p>
    <w:p w14:paraId="76763C94" w14:textId="0F070CBD" w:rsidR="00C87F94" w:rsidRDefault="008A566E" w:rsidP="008A566E">
      <w:pPr>
        <w:spacing w:line="480" w:lineRule="auto"/>
        <w:rPr>
          <w:rFonts w:ascii="Times New Roman" w:hAnsi="Times New Roman" w:cs="Times New Roman"/>
        </w:rPr>
        <w:sectPr w:rsidR="00C87F94" w:rsidSect="003547DD">
          <w:pgSz w:w="12240" w:h="15840"/>
          <w:pgMar w:top="2160" w:right="1440" w:bottom="1440" w:left="2160" w:header="1440" w:footer="1080" w:gutter="0"/>
          <w:cols w:space="720"/>
          <w:docGrid w:linePitch="360"/>
        </w:sect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 xml:space="preserve">The </w:t>
      </w:r>
      <w:r w:rsidR="00F3373D">
        <w:rPr>
          <w:rFonts w:ascii="Times New Roman" w:hAnsi="Times New Roman" w:cs="Times New Roman"/>
        </w:rPr>
        <w:lastRenderedPageBreak/>
        <w:t>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p>
    <w:p w14:paraId="0C234F40" w14:textId="03FE02CC" w:rsidR="00F3373D" w:rsidRDefault="00C87F94" w:rsidP="0072455D">
      <w:pPr>
        <w:pStyle w:val="Heading1"/>
      </w:pPr>
      <w:bookmarkStart w:id="19" w:name="_Toc422950574"/>
      <w:r>
        <w:lastRenderedPageBreak/>
        <w:t>CHAPTER THREE</w:t>
      </w:r>
      <w:bookmarkEnd w:id="19"/>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0A8B9EF1" w:rsidR="00C87F94" w:rsidRPr="000A05E4" w:rsidRDefault="00C87F94" w:rsidP="008A566E">
      <w:pPr>
        <w:pStyle w:val="BUIllustrationCaption"/>
        <w:rPr>
          <w:sz w:val="20"/>
          <w:szCs w:val="20"/>
        </w:rPr>
      </w:pPr>
      <w:bookmarkStart w:id="20" w:name="_Toc245270440"/>
      <w:r w:rsidRPr="000A05E4">
        <w:rPr>
          <w:sz w:val="20"/>
          <w:szCs w:val="20"/>
        </w:rPr>
        <w:t>Placeholder for the first illustration</w:t>
      </w:r>
      <w:bookmarkEnd w:id="20"/>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60F21027" w14:textId="10A52FF1" w:rsidR="00C87F94" w:rsidRDefault="00EA4B26" w:rsidP="0072455D">
      <w:pPr>
        <w:pStyle w:val="Heading1"/>
      </w:pPr>
      <w:bookmarkStart w:id="21" w:name="_Toc422950575"/>
      <w:r>
        <w:lastRenderedPageBreak/>
        <w:t>BIBLIOGRAPHY</w:t>
      </w:r>
      <w:bookmarkEnd w:id="21"/>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11ECBAD6" w:rsidR="009727C5" w:rsidRDefault="009727C5" w:rsidP="009727C5">
      <w:pPr>
        <w:pStyle w:val="Heading1"/>
      </w:pPr>
      <w:bookmarkStart w:id="22" w:name="_Toc422950576"/>
      <w:r>
        <w:lastRenderedPageBreak/>
        <w:t>CURRICULUM VITAE</w:t>
      </w:r>
      <w:bookmarkEnd w:id="22"/>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0B31E" w14:textId="77777777" w:rsidR="000332A2" w:rsidRDefault="000332A2" w:rsidP="002112A8">
      <w:r>
        <w:separator/>
      </w:r>
    </w:p>
    <w:p w14:paraId="6A4E7937" w14:textId="77777777" w:rsidR="000332A2" w:rsidRDefault="000332A2"/>
  </w:endnote>
  <w:endnote w:type="continuationSeparator" w:id="0">
    <w:p w14:paraId="2235EF91" w14:textId="77777777" w:rsidR="000332A2" w:rsidRDefault="000332A2" w:rsidP="002112A8">
      <w:r>
        <w:continuationSeparator/>
      </w:r>
    </w:p>
    <w:p w14:paraId="2256DE01" w14:textId="77777777" w:rsidR="000332A2" w:rsidRDefault="00033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0332A2" w:rsidRDefault="000332A2"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0332A2" w:rsidRDefault="000332A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0332A2" w:rsidRDefault="000332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0332A2" w:rsidRPr="000A05E4" w:rsidRDefault="000332A2"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831C31">
      <w:rPr>
        <w:rStyle w:val="PageNumber"/>
        <w:rFonts w:ascii="Times New Roman" w:hAnsi="Times New Roman" w:cs="Times New Roman"/>
        <w:noProof/>
      </w:rPr>
      <w:t>xvii</w:t>
    </w:r>
    <w:r w:rsidRPr="000A05E4">
      <w:rPr>
        <w:rStyle w:val="PageNumber"/>
        <w:rFonts w:ascii="Times New Roman" w:hAnsi="Times New Roman" w:cs="Times New Roman"/>
      </w:rPr>
      <w:fldChar w:fldCharType="end"/>
    </w:r>
  </w:p>
  <w:p w14:paraId="590ADF32" w14:textId="77777777" w:rsidR="000332A2" w:rsidRDefault="000332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F06B5" w14:textId="77777777" w:rsidR="002112A0" w:rsidRDefault="002112A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19B73" w14:textId="77777777" w:rsidR="002112A0" w:rsidRDefault="002112A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CF668" w14:textId="77777777" w:rsidR="002112A0" w:rsidRDefault="002112A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5CCB4" w14:textId="77777777" w:rsidR="002112A0" w:rsidRDefault="002112A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8C3A3" w14:textId="77777777" w:rsidR="002112A0" w:rsidRDefault="002112A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1958B" w14:textId="77777777" w:rsidR="002112A0" w:rsidRDefault="002112A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0332A2" w:rsidRDefault="00033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3E61" w14:textId="77777777" w:rsidR="000332A2" w:rsidRDefault="000332A2" w:rsidP="002112A8">
      <w:r>
        <w:separator/>
      </w:r>
    </w:p>
    <w:p w14:paraId="0BAE4A37" w14:textId="77777777" w:rsidR="000332A2" w:rsidRDefault="000332A2"/>
  </w:footnote>
  <w:footnote w:type="continuationSeparator" w:id="0">
    <w:p w14:paraId="5CB5219E" w14:textId="77777777" w:rsidR="000332A2" w:rsidRDefault="000332A2" w:rsidP="002112A8">
      <w:r>
        <w:continuationSeparator/>
      </w:r>
    </w:p>
    <w:p w14:paraId="7AAB0141" w14:textId="77777777" w:rsidR="000332A2" w:rsidRDefault="000332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0332A2" w:rsidRDefault="000332A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0332A2" w:rsidRDefault="000332A2" w:rsidP="00C87F94">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0332A2" w:rsidRDefault="000332A2"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0332A2" w:rsidRDefault="000332A2"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0332A2" w:rsidRDefault="000332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47A3" w14:textId="77777777" w:rsidR="002112A0" w:rsidRPr="000A05E4" w:rsidRDefault="002112A0"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831C31">
      <w:rPr>
        <w:rStyle w:val="PageNumber"/>
        <w:rFonts w:ascii="Times New Roman" w:hAnsi="Times New Roman" w:cs="Times New Roman"/>
        <w:noProof/>
      </w:rPr>
      <w:t>40</w:t>
    </w:r>
    <w:r w:rsidRPr="000A05E4">
      <w:rPr>
        <w:rStyle w:val="PageNumber"/>
        <w:rFonts w:ascii="Times New Roman" w:hAnsi="Times New Roman" w:cs="Times New Roman"/>
      </w:rPr>
      <w:fldChar w:fldCharType="end"/>
    </w:r>
  </w:p>
  <w:p w14:paraId="715112F3" w14:textId="77777777" w:rsidR="002112A0" w:rsidRDefault="002112A0"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E9A57" w14:textId="77777777" w:rsidR="002112A0" w:rsidRDefault="002112A0"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93B740" w14:textId="77777777" w:rsidR="002112A0" w:rsidRDefault="002112A0" w:rsidP="00C87F94">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C807" w14:textId="77777777" w:rsidR="002112A0" w:rsidRPr="000A05E4" w:rsidRDefault="002112A0"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831C31">
      <w:rPr>
        <w:rStyle w:val="PageNumber"/>
        <w:rFonts w:ascii="Times New Roman" w:hAnsi="Times New Roman" w:cs="Times New Roman"/>
        <w:noProof/>
      </w:rPr>
      <w:t>66</w:t>
    </w:r>
    <w:r w:rsidRPr="000A05E4">
      <w:rPr>
        <w:rStyle w:val="PageNumber"/>
        <w:rFonts w:ascii="Times New Roman" w:hAnsi="Times New Roman" w:cs="Times New Roman"/>
      </w:rPr>
      <w:fldChar w:fldCharType="end"/>
    </w:r>
  </w:p>
  <w:p w14:paraId="1DD7A28A" w14:textId="77777777" w:rsidR="002112A0" w:rsidRDefault="002112A0" w:rsidP="00C87F94">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108C8" w14:textId="77777777" w:rsidR="002112A0" w:rsidRDefault="002112A0"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31ABF37" w14:textId="77777777" w:rsidR="002112A0" w:rsidRDefault="002112A0" w:rsidP="00C87F94">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57B0" w14:textId="77777777" w:rsidR="002112A0" w:rsidRPr="000A05E4" w:rsidRDefault="002112A0"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831C31">
      <w:rPr>
        <w:rStyle w:val="PageNumber"/>
        <w:rFonts w:ascii="Times New Roman" w:hAnsi="Times New Roman" w:cs="Times New Roman"/>
        <w:noProof/>
      </w:rPr>
      <w:t>3</w:t>
    </w:r>
    <w:r w:rsidRPr="000A05E4">
      <w:rPr>
        <w:rStyle w:val="PageNumber"/>
        <w:rFonts w:ascii="Times New Roman" w:hAnsi="Times New Roman" w:cs="Times New Roman"/>
      </w:rPr>
      <w:fldChar w:fldCharType="end"/>
    </w:r>
  </w:p>
  <w:p w14:paraId="730CB860" w14:textId="77777777" w:rsidR="002112A0" w:rsidRDefault="002112A0" w:rsidP="00C87F94">
    <w:pPr>
      <w:pStyle w:val="Header"/>
      <w:ind w:right="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1A733" w14:textId="77777777" w:rsidR="002112A0" w:rsidRDefault="002112A0"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A857F9" w14:textId="77777777" w:rsidR="002112A0" w:rsidRDefault="002112A0" w:rsidP="00C87F94">
    <w:pPr>
      <w:pStyle w:val="Header"/>
      <w:ind w:right="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0332A2" w:rsidRPr="000A05E4" w:rsidRDefault="000332A2"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831C31">
      <w:rPr>
        <w:rStyle w:val="PageNumber"/>
        <w:rFonts w:ascii="Times New Roman" w:hAnsi="Times New Roman" w:cs="Times New Roman"/>
        <w:noProof/>
      </w:rPr>
      <w:t>16</w:t>
    </w:r>
    <w:r w:rsidRPr="000A05E4">
      <w:rPr>
        <w:rStyle w:val="PageNumber"/>
        <w:rFonts w:ascii="Times New Roman" w:hAnsi="Times New Roman" w:cs="Times New Roman"/>
      </w:rPr>
      <w:fldChar w:fldCharType="end"/>
    </w:r>
  </w:p>
  <w:p w14:paraId="1BCBD2C9" w14:textId="77777777" w:rsidR="000332A2" w:rsidRDefault="000332A2"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F7AFD"/>
    <w:multiLevelType w:val="hybridMultilevel"/>
    <w:tmpl w:val="17F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332A2"/>
    <w:rsid w:val="000443DC"/>
    <w:rsid w:val="0005175B"/>
    <w:rsid w:val="00052860"/>
    <w:rsid w:val="00074A42"/>
    <w:rsid w:val="000831D6"/>
    <w:rsid w:val="0009126D"/>
    <w:rsid w:val="000A05E4"/>
    <w:rsid w:val="000B2108"/>
    <w:rsid w:val="000C7509"/>
    <w:rsid w:val="000D41D7"/>
    <w:rsid w:val="000F4C00"/>
    <w:rsid w:val="001126FC"/>
    <w:rsid w:val="00132207"/>
    <w:rsid w:val="001A02FD"/>
    <w:rsid w:val="002112A0"/>
    <w:rsid w:val="002112A8"/>
    <w:rsid w:val="00245DB7"/>
    <w:rsid w:val="00277A3B"/>
    <w:rsid w:val="00283331"/>
    <w:rsid w:val="002B6DC5"/>
    <w:rsid w:val="002C2DE9"/>
    <w:rsid w:val="002F069E"/>
    <w:rsid w:val="00317593"/>
    <w:rsid w:val="003246FA"/>
    <w:rsid w:val="003547DD"/>
    <w:rsid w:val="0037001D"/>
    <w:rsid w:val="003D27EE"/>
    <w:rsid w:val="00404D40"/>
    <w:rsid w:val="004069CF"/>
    <w:rsid w:val="00430710"/>
    <w:rsid w:val="004514EC"/>
    <w:rsid w:val="00456A75"/>
    <w:rsid w:val="00475EB3"/>
    <w:rsid w:val="004809EB"/>
    <w:rsid w:val="004A2827"/>
    <w:rsid w:val="004C665B"/>
    <w:rsid w:val="00542258"/>
    <w:rsid w:val="005868E2"/>
    <w:rsid w:val="005F2A6A"/>
    <w:rsid w:val="006259C5"/>
    <w:rsid w:val="00660784"/>
    <w:rsid w:val="00664179"/>
    <w:rsid w:val="006C767D"/>
    <w:rsid w:val="0072455D"/>
    <w:rsid w:val="007D7A80"/>
    <w:rsid w:val="007F2F02"/>
    <w:rsid w:val="00831C31"/>
    <w:rsid w:val="00854675"/>
    <w:rsid w:val="00864EEA"/>
    <w:rsid w:val="008A566E"/>
    <w:rsid w:val="008B0B42"/>
    <w:rsid w:val="00925F49"/>
    <w:rsid w:val="00957AE1"/>
    <w:rsid w:val="009727C5"/>
    <w:rsid w:val="00987C65"/>
    <w:rsid w:val="009B2F28"/>
    <w:rsid w:val="009B3E7A"/>
    <w:rsid w:val="009F107A"/>
    <w:rsid w:val="00A16A79"/>
    <w:rsid w:val="00A57155"/>
    <w:rsid w:val="00A77C56"/>
    <w:rsid w:val="00B22DD9"/>
    <w:rsid w:val="00B904AA"/>
    <w:rsid w:val="00BD7A28"/>
    <w:rsid w:val="00C87F94"/>
    <w:rsid w:val="00D56384"/>
    <w:rsid w:val="00D760CF"/>
    <w:rsid w:val="00DD7DE1"/>
    <w:rsid w:val="00DE6E79"/>
    <w:rsid w:val="00E111EF"/>
    <w:rsid w:val="00E33A14"/>
    <w:rsid w:val="00EA4B26"/>
    <w:rsid w:val="00EA5BF6"/>
    <w:rsid w:val="00ED3F96"/>
    <w:rsid w:val="00F3373D"/>
    <w:rsid w:val="00F3504A"/>
    <w:rsid w:val="00F55E2B"/>
    <w:rsid w:val="00FB4F38"/>
    <w:rsid w:val="00FC0E7E"/>
    <w:rsid w:val="00FE328A"/>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28A03E2"/>
  <w15:docId w15:val="{31995E4A-47B5-49F4-B646-65F4AE1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character" w:styleId="Hyperlink">
    <w:name w:val="Hyperlink"/>
    <w:basedOn w:val="DefaultParagraphFont"/>
    <w:uiPriority w:val="99"/>
    <w:unhideWhenUsed/>
    <w:rsid w:val="0004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8D355-BD84-49AC-87AD-798DC0BE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143</Pages>
  <Words>32572</Words>
  <Characters>185667</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 Zafrin</dc:creator>
  <cp:lastModifiedBy>Nicolae Lucian Sandor</cp:lastModifiedBy>
  <cp:revision>10</cp:revision>
  <cp:lastPrinted>2013-09-12T18:27:00Z</cp:lastPrinted>
  <dcterms:created xsi:type="dcterms:W3CDTF">2013-11-05T17:06:00Z</dcterms:created>
  <dcterms:modified xsi:type="dcterms:W3CDTF">2015-06-25T04:49:00Z</dcterms:modified>
</cp:coreProperties>
</file>