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3C4560D8" w:rsidR="003D27EE" w:rsidRDefault="00430710" w:rsidP="000A05E4">
      <w:pPr>
        <w:jc w:val="center"/>
        <w:rPr>
          <w:rFonts w:ascii="Times New Roman" w:hAnsi="Times New Roman" w:cs="Times New Roman"/>
        </w:rPr>
      </w:pPr>
      <w:r w:rsidRPr="00430710">
        <w:rPr>
          <w:rFonts w:ascii="Times New Roman" w:hAnsi="Times New Roman" w:cs="Times New Roman"/>
        </w:rPr>
        <w:t>DIVISION OF GRADUATE MEDICAL SCIENCES</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2132A649" w:rsidR="003D27EE" w:rsidRDefault="00430710" w:rsidP="000A05E4">
      <w:pPr>
        <w:jc w:val="center"/>
        <w:rPr>
          <w:rFonts w:ascii="Times New Roman" w:hAnsi="Times New Roman" w:cs="Times New Roman"/>
          <w:b/>
        </w:rPr>
      </w:pPr>
      <w:r w:rsidRPr="00430710">
        <w:rPr>
          <w:rFonts w:ascii="Times New Roman" w:hAnsi="Times New Roman" w:cs="Times New Roman"/>
          <w:b/>
        </w:rPr>
        <w:t>A MURINE MODEL OF GLUCOCORTICOID MYOPATHY</w:t>
      </w:r>
    </w:p>
    <w:p w14:paraId="7A34EDA7" w14:textId="77777777" w:rsidR="00B904AA" w:rsidRDefault="00B904AA" w:rsidP="000A05E4">
      <w:pPr>
        <w:jc w:val="center"/>
        <w:rPr>
          <w:rFonts w:ascii="Times New Roman" w:hAnsi="Times New Roman" w:cs="Times New Roman"/>
          <w:b/>
        </w:rPr>
      </w:pPr>
    </w:p>
    <w:p w14:paraId="788924BB" w14:textId="5E7C040D" w:rsidR="003D27EE" w:rsidRPr="003D27EE" w:rsidRDefault="00430710" w:rsidP="000A05E4">
      <w:pPr>
        <w:jc w:val="center"/>
        <w:rPr>
          <w:rFonts w:ascii="Times New Roman" w:hAnsi="Times New Roman" w:cs="Times New Roman"/>
          <w:b/>
        </w:rPr>
      </w:pPr>
      <w:r w:rsidRPr="00430710">
        <w:rPr>
          <w:rFonts w:ascii="Times New Roman" w:hAnsi="Times New Roman" w:cs="Times New Roman"/>
          <w:b/>
        </w:rPr>
        <w:t>ALLEVIATION USING ANDROGEN THERAPY</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279A51CB" w14:textId="31D1A56F" w:rsidR="00B904AA" w:rsidRPr="00475EB3" w:rsidRDefault="00430710" w:rsidP="000A05E4">
      <w:pPr>
        <w:jc w:val="center"/>
        <w:rPr>
          <w:rFonts w:ascii="Times New Roman" w:hAnsi="Times New Roman" w:cs="Times New Roman"/>
        </w:rPr>
      </w:pPr>
      <w:r w:rsidRPr="00475EB3">
        <w:rPr>
          <w:rFonts w:ascii="Times New Roman" w:hAnsi="Times New Roman" w:cs="Times New Roman"/>
          <w:b/>
        </w:rPr>
        <w:t>NICOLAE LUCIAN SANDOR</w:t>
      </w:r>
    </w:p>
    <w:p w14:paraId="09DF8CC3" w14:textId="5D036EC6" w:rsidR="003D27EE" w:rsidRPr="00430710" w:rsidRDefault="00430710">
      <w:pPr>
        <w:jc w:val="center"/>
        <w:rPr>
          <w:rFonts w:ascii="Times New Roman" w:hAnsi="Times New Roman" w:cs="Times New Roman"/>
          <w:lang w:val="it-IT"/>
        </w:rPr>
      </w:pPr>
      <w:r w:rsidRPr="00430710">
        <w:rPr>
          <w:rFonts w:ascii="Times New Roman" w:hAnsi="Times New Roman" w:cs="Times New Roman"/>
          <w:lang w:val="it-IT"/>
        </w:rPr>
        <w:t>B.M./M.D., Universitatea de Medicina si Farmacie Carol Davila, 2002</w:t>
      </w:r>
    </w:p>
    <w:p w14:paraId="6027DC9F" w14:textId="30269F3F" w:rsidR="003D27EE" w:rsidRDefault="00430710" w:rsidP="000A05E4">
      <w:pPr>
        <w:jc w:val="center"/>
        <w:rPr>
          <w:rFonts w:ascii="Times New Roman" w:hAnsi="Times New Roman" w:cs="Times New Roman"/>
        </w:rPr>
      </w:pPr>
      <w:r w:rsidRPr="00430710">
        <w:rPr>
          <w:rFonts w:ascii="Times New Roman" w:hAnsi="Times New Roman" w:cs="Times New Roman"/>
        </w:rPr>
        <w:t>B.S., Universitatea Bucuresti,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0A05E4">
      <w:pPr>
        <w:jc w:val="center"/>
        <w:rPr>
          <w:rFonts w:ascii="Times New Roman" w:hAnsi="Times New Roman" w:cs="Times New Roman"/>
        </w:rPr>
      </w:pPr>
    </w:p>
    <w:p w14:paraId="39CA3C0E" w14:textId="32F0B5E2" w:rsidR="003D27EE" w:rsidRDefault="003D27EE" w:rsidP="000A05E4">
      <w:pPr>
        <w:jc w:val="center"/>
        <w:rPr>
          <w:rFonts w:ascii="Times New Roman" w:hAnsi="Times New Roman" w:cs="Times New Roman"/>
        </w:rPr>
      </w:pPr>
      <w:r>
        <w:rPr>
          <w:rFonts w:ascii="Times New Roman" w:hAnsi="Times New Roman" w:cs="Times New Roman"/>
        </w:rPr>
        <w:t>Doctor of</w:t>
      </w:r>
      <w:r w:rsidR="00664179">
        <w:rPr>
          <w:rFonts w:ascii="Times New Roman" w:hAnsi="Times New Roman" w:cs="Times New Roman"/>
        </w:rPr>
        <w:t xml:space="preserve"> </w:t>
      </w:r>
      <w:r>
        <w:rPr>
          <w:rFonts w:ascii="Times New Roman" w:hAnsi="Times New Roman" w:cs="Times New Roman"/>
        </w:rPr>
        <w:t xml:space="preserve"> </w:t>
      </w:r>
      <w:r w:rsidR="00430710">
        <w:rPr>
          <w:rFonts w:ascii="Times New Roman" w:hAnsi="Times New Roman" w:cs="Times New Roman"/>
        </w:rPr>
        <w:t>Philosophy</w:t>
      </w:r>
    </w:p>
    <w:p w14:paraId="576EF95C" w14:textId="77777777" w:rsidR="00B904AA" w:rsidRDefault="00B904AA" w:rsidP="000A05E4">
      <w:pPr>
        <w:jc w:val="center"/>
        <w:rPr>
          <w:rFonts w:ascii="Times New Roman" w:hAnsi="Times New Roman" w:cs="Times New Roman"/>
        </w:rPr>
      </w:pPr>
    </w:p>
    <w:p w14:paraId="7145547B" w14:textId="27F89DFC" w:rsidR="00052860" w:rsidRDefault="003D27EE" w:rsidP="000A05E4">
      <w:pPr>
        <w:jc w:val="center"/>
        <w:rPr>
          <w:rFonts w:ascii="Times New Roman" w:hAnsi="Times New Roman" w:cs="Times New Roman"/>
        </w:rPr>
      </w:pPr>
      <w:r>
        <w:rPr>
          <w:rFonts w:ascii="Times New Roman" w:hAnsi="Times New Roman" w:cs="Times New Roman"/>
        </w:rPr>
        <w:t>201</w:t>
      </w:r>
      <w:r w:rsidR="00430710">
        <w:rPr>
          <w:rFonts w:ascii="Times New Roman" w:hAnsi="Times New Roman" w:cs="Times New Roman"/>
        </w:rPr>
        <w:t>5</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01D99B8F"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w:t>
      </w:r>
      <w:r w:rsidR="00430710">
        <w:rPr>
          <w:rFonts w:ascii="Times New Roman" w:hAnsi="Times New Roman" w:cs="Times New Roman"/>
        </w:rPr>
        <w:t>5</w:t>
      </w:r>
    </w:p>
    <w:p w14:paraId="253AD492" w14:textId="3289BBBF"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NICOLAE LUCIAN SANDOR</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lastRenderedPageBreak/>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DB763DD"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Monty Montano</w:t>
      </w:r>
      <w:r>
        <w:rPr>
          <w:rFonts w:ascii="Times New Roman" w:hAnsi="Times New Roman" w:cs="Times New Roman"/>
        </w:rPr>
        <w:t>, Ph.D.</w:t>
      </w:r>
    </w:p>
    <w:p w14:paraId="320BF301" w14:textId="7E18EA7A"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Pr>
          <w:rFonts w:ascii="Times New Roman" w:hAnsi="Times New Roman" w:cs="Times New Roman"/>
        </w:rPr>
        <w:t>Assistant Professor of Medicine</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0421569E"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Shalender Bhasin, MD</w:t>
      </w:r>
    </w:p>
    <w:p w14:paraId="1073BD20" w14:textId="02D69B3D" w:rsidR="003D27EE" w:rsidRDefault="00430710" w:rsidP="003D27EE">
      <w:pPr>
        <w:tabs>
          <w:tab w:val="left" w:pos="1800"/>
        </w:tabs>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 xml:space="preserve">Professor of </w:t>
      </w:r>
      <w:r>
        <w:rPr>
          <w:rFonts w:ascii="Times New Roman" w:hAnsi="Times New Roman" w:cs="Times New Roman"/>
        </w:rPr>
        <w:t>Medicine</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1F8863B4" w:rsidR="00854675" w:rsidRPr="00430710" w:rsidRDefault="00430710" w:rsidP="003D27EE">
      <w:pPr>
        <w:spacing w:line="480" w:lineRule="auto"/>
        <w:rPr>
          <w:rFonts w:ascii="Times New Roman" w:hAnsi="Times New Roman" w:cs="Times New Roman"/>
          <w:i/>
          <w:lang w:val="it-IT"/>
        </w:rPr>
      </w:pPr>
      <w:r w:rsidRPr="00430710">
        <w:rPr>
          <w:rFonts w:ascii="Times New Roman" w:hAnsi="Times New Roman" w:cs="Times New Roman"/>
          <w:i/>
          <w:lang w:val="it-IT"/>
        </w:rPr>
        <w:t>”Se questa non piace, non voglio più scrivere di musica.”</w:t>
      </w:r>
    </w:p>
    <w:p w14:paraId="46080E9A" w14:textId="77777777" w:rsidR="00854675" w:rsidRPr="00430710" w:rsidRDefault="00854675" w:rsidP="003D27EE">
      <w:pPr>
        <w:spacing w:line="480" w:lineRule="auto"/>
        <w:rPr>
          <w:rFonts w:ascii="Times New Roman" w:hAnsi="Times New Roman" w:cs="Times New Roman"/>
          <w:lang w:val="it-IT"/>
        </w:rPr>
      </w:pPr>
    </w:p>
    <w:p w14:paraId="3E24F181" w14:textId="77777777" w:rsidR="00854675" w:rsidRPr="00430710" w:rsidRDefault="00854675" w:rsidP="003D27EE">
      <w:pPr>
        <w:spacing w:line="480" w:lineRule="auto"/>
        <w:rPr>
          <w:rFonts w:ascii="Times New Roman" w:hAnsi="Times New Roman" w:cs="Times New Roman"/>
          <w:lang w:val="it-IT"/>
        </w:rPr>
      </w:pPr>
    </w:p>
    <w:p w14:paraId="2A51A740" w14:textId="77777777" w:rsidR="00854675" w:rsidRPr="00430710" w:rsidRDefault="00854675" w:rsidP="003D27EE">
      <w:pPr>
        <w:spacing w:line="480" w:lineRule="auto"/>
        <w:rPr>
          <w:rFonts w:ascii="Times New Roman" w:hAnsi="Times New Roman" w:cs="Times New Roman"/>
          <w:lang w:val="it-IT"/>
        </w:rPr>
      </w:pPr>
    </w:p>
    <w:p w14:paraId="1989FD5F" w14:textId="77777777" w:rsidR="00854675" w:rsidRPr="00430710" w:rsidRDefault="00854675" w:rsidP="003D27EE">
      <w:pPr>
        <w:spacing w:line="480" w:lineRule="auto"/>
        <w:rPr>
          <w:rFonts w:ascii="Times New Roman" w:hAnsi="Times New Roman" w:cs="Times New Roman"/>
          <w:lang w:val="it-IT"/>
        </w:rPr>
      </w:pPr>
    </w:p>
    <w:p w14:paraId="5DC9E50D" w14:textId="77777777" w:rsidR="00854675" w:rsidRPr="00430710" w:rsidRDefault="00854675" w:rsidP="003D27EE">
      <w:pPr>
        <w:spacing w:line="480" w:lineRule="auto"/>
        <w:rPr>
          <w:rFonts w:ascii="Times New Roman" w:hAnsi="Times New Roman" w:cs="Times New Roman"/>
          <w:lang w:val="it-IT"/>
        </w:rPr>
      </w:pPr>
    </w:p>
    <w:p w14:paraId="22AFC57A" w14:textId="77777777" w:rsidR="00854675" w:rsidRPr="00430710" w:rsidRDefault="00854675" w:rsidP="003D27EE">
      <w:pPr>
        <w:spacing w:line="480" w:lineRule="auto"/>
        <w:rPr>
          <w:rFonts w:ascii="Times New Roman" w:hAnsi="Times New Roman" w:cs="Times New Roman"/>
          <w:lang w:val="it-IT"/>
        </w:rPr>
      </w:pPr>
    </w:p>
    <w:p w14:paraId="0A67BD46" w14:textId="77777777" w:rsidR="000B2108" w:rsidRPr="00430710" w:rsidRDefault="000B2108" w:rsidP="003D27EE">
      <w:pPr>
        <w:tabs>
          <w:tab w:val="left" w:pos="1800"/>
        </w:tabs>
        <w:spacing w:line="480" w:lineRule="auto"/>
        <w:rPr>
          <w:rFonts w:ascii="Times New Roman" w:hAnsi="Times New Roman" w:cs="Times New Roman"/>
          <w:lang w:val="it-IT"/>
        </w:rPr>
        <w:sectPr w:rsidR="000B2108" w:rsidRPr="00430710" w:rsidSect="003547DD">
          <w:headerReference w:type="even" r:id="rId8"/>
          <w:footerReference w:type="even" r:id="rId9"/>
          <w:pgSz w:w="12240" w:h="15840"/>
          <w:pgMar w:top="2160" w:right="1440" w:bottom="1440" w:left="2160" w:header="1440" w:footer="1080" w:gutter="0"/>
          <w:cols w:space="720"/>
          <w:docGrid w:linePitch="360"/>
        </w:sectPr>
      </w:pPr>
    </w:p>
    <w:p w14:paraId="7534BDA9" w14:textId="3C266800" w:rsidR="000B2108" w:rsidRPr="00475EB3" w:rsidRDefault="000B2108" w:rsidP="00864EEA">
      <w:pPr>
        <w:spacing w:line="480" w:lineRule="auto"/>
        <w:rPr>
          <w:rFonts w:ascii="Times New Roman" w:hAnsi="Times New Roman" w:cs="Times New Roman"/>
          <w:lang w:val="it-IT"/>
        </w:rPr>
      </w:pPr>
    </w:p>
    <w:p w14:paraId="1E20FFF5" w14:textId="2DE0F82F" w:rsidR="000B2108" w:rsidRDefault="000B2108" w:rsidP="0072455D">
      <w:pPr>
        <w:pStyle w:val="Heading1"/>
      </w:pPr>
      <w:bookmarkStart w:id="0" w:name="_Toc422957886"/>
      <w:r w:rsidRPr="000B2108">
        <w:t>ACKNOWLEDGMENTS</w:t>
      </w:r>
      <w:bookmarkEnd w:id="0"/>
    </w:p>
    <w:p w14:paraId="15AE8C55"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deeply indebted to the members of my committee, Profs. Caroline 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 Anne Treisman, and Assen Marintchev.</w:t>
      </w:r>
    </w:p>
    <w:p w14:paraId="644A5F76"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Congratulations are due to my spouse who, all these years, took an unreasonably positive view, managed many of the household businesses, and published as many papers as me.</w:t>
      </w:r>
    </w:p>
    <w:p w14:paraId="143D0FC1"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dedicating this work to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64FC4CBA" w14:textId="06B5C544" w:rsidR="00864EEA" w:rsidRPr="00B22DD9" w:rsidRDefault="00430710" w:rsidP="00864EEA">
      <w:pPr>
        <w:spacing w:line="480" w:lineRule="auto"/>
        <w:rPr>
          <w:rFonts w:ascii="Times New Roman" w:hAnsi="Times New Roman" w:cs="Times New Roman"/>
          <w:i/>
        </w:rPr>
      </w:pPr>
      <w:r w:rsidRPr="00430710">
        <w:rPr>
          <w:rFonts w:ascii="Times New Roman" w:hAnsi="Times New Roman" w:cs="Times New Roman"/>
        </w:rPr>
        <w:t>This work would not have existed, were it not for the kind financial support of the American nation, through the National Institute of Health and Boston University.</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1C14BCFE" w:rsidR="000D41D7" w:rsidRDefault="00430710" w:rsidP="003547DD">
      <w:pPr>
        <w:spacing w:line="480" w:lineRule="auto"/>
        <w:jc w:val="center"/>
        <w:rPr>
          <w:rFonts w:ascii="Times New Roman" w:hAnsi="Times New Roman" w:cs="Times New Roman"/>
          <w:b/>
        </w:rPr>
      </w:pPr>
      <w:r w:rsidRPr="00430710">
        <w:rPr>
          <w:rFonts w:ascii="Times New Roman" w:hAnsi="Times New Roman" w:cs="Times New Roman"/>
          <w:b/>
        </w:rPr>
        <w:lastRenderedPageBreak/>
        <w:t>A MURINE MODEL OF GLUCOCORTICOID MYOPATHY</w:t>
      </w:r>
    </w:p>
    <w:p w14:paraId="15116453" w14:textId="6798871A" w:rsidR="000D41D7"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ALLEVIATION USING ANDROGEN THERAPY</w:t>
      </w:r>
    </w:p>
    <w:p w14:paraId="627C976D" w14:textId="7F813D2C"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NICOLAE LUCIAN SANDOR</w:t>
      </w:r>
    </w:p>
    <w:p w14:paraId="420ABBD8" w14:textId="5182017B"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rPr>
        <w:t>Boston University School of Medicine, 2015</w:t>
      </w:r>
    </w:p>
    <w:p w14:paraId="01CAEA66" w14:textId="3E93E53F"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r>
      <w:r w:rsidR="00430710" w:rsidRPr="00430710">
        <w:rPr>
          <w:rFonts w:ascii="Times New Roman" w:hAnsi="Times New Roman" w:cs="Times New Roman"/>
        </w:rPr>
        <w:t>Monty Montano, PhD, Assistant Professor of Medicine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1" w:name="_Toc422957887"/>
      <w:r w:rsidRPr="000A05E4">
        <w:rPr>
          <w:b w:val="0"/>
        </w:rPr>
        <w:t>ABSTRACT</w:t>
      </w:r>
      <w:bookmarkEnd w:id="1"/>
    </w:p>
    <w:p w14:paraId="13592EA6" w14:textId="1C8E538B" w:rsidR="00430710" w:rsidRPr="00430710" w:rsidRDefault="00864EEA" w:rsidP="00430710">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w:t>
      </w:r>
      <w:r w:rsidR="00430710">
        <w:rPr>
          <w:rFonts w:ascii="Times New Roman" w:hAnsi="Times New Roman" w:cs="Times New Roman"/>
        </w:rPr>
        <w:t xml:space="preserve"> </w:t>
      </w:r>
      <w:r w:rsidR="00430710" w:rsidRPr="00430710">
        <w:rPr>
          <w:rFonts w:ascii="Times New Roman" w:hAnsi="Times New Roman" w:cs="Times New Roman"/>
        </w:rPr>
        <w:t>week, lost 3% of their total body weight. Based on NMR lean body mass quantification and muscle dissection, more than 10% of their muscle mass was lost. More than half of the D-induced muscle loss could be reversed by</w:t>
      </w:r>
      <w:r w:rsidR="00430710">
        <w:rPr>
          <w:rFonts w:ascii="Times New Roman" w:hAnsi="Times New Roman" w:cs="Times New Roman"/>
        </w:rPr>
        <w:t xml:space="preserve"> </w:t>
      </w:r>
      <w:r w:rsidR="00430710" w:rsidRPr="00430710">
        <w:rPr>
          <w:rFonts w:ascii="Times New Roman" w:hAnsi="Times New Roman" w:cs="Times New Roman"/>
        </w:rPr>
        <w:t>co-administration of 0.7 mg/kg/day of testosterone (T). To my knowledge, this is the first mouse model of GAML demonstrating alleviation by T.</w:t>
      </w:r>
    </w:p>
    <w:p w14:paraId="44E230DE" w14:textId="77777777" w:rsidR="00132207" w:rsidRDefault="00430710" w:rsidP="00132207">
      <w:pPr>
        <w:spacing w:line="480" w:lineRule="auto"/>
        <w:rPr>
          <w:rFonts w:ascii="Times New Roman" w:hAnsi="Times New Roman" w:cs="Times New Roman"/>
        </w:rPr>
      </w:pPr>
      <w:r>
        <w:rPr>
          <w:rFonts w:ascii="Times New Roman" w:hAnsi="Times New Roman" w:cs="Times New Roman"/>
        </w:rPr>
        <w:tab/>
      </w:r>
      <w:r w:rsidRPr="00430710">
        <w:rPr>
          <w:rFonts w:ascii="Times New Roman" w:hAnsi="Times New Roman" w:cs="Times New Roman"/>
        </w:rP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w:t>
      </w:r>
      <w:r w:rsidRPr="00430710">
        <w:rPr>
          <w:rFonts w:ascii="Times New Roman" w:hAnsi="Times New Roman" w:cs="Times New Roman"/>
        </w:rPr>
        <w:lastRenderedPageBreak/>
        <w:t>expression were correlated with changes in</w:t>
      </w:r>
      <w:r>
        <w:rPr>
          <w:rFonts w:ascii="Times New Roman" w:hAnsi="Times New Roman" w:cs="Times New Roman"/>
        </w:rPr>
        <w:t xml:space="preserve"> </w:t>
      </w:r>
      <w:r w:rsidRPr="00430710">
        <w:rPr>
          <w:rFonts w:ascii="Times New Roman" w:hAnsi="Times New Roman" w:cs="Times New Roman"/>
        </w:rPr>
        <w:t>expression of Foxo 1, 3a, and 4. Pro-catabolic factors REDD1 and Klf15 were repressed by T co-administration.</w:t>
      </w:r>
    </w:p>
    <w:p w14:paraId="005F8943"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C2C12 differentiated myotubes were used to model GAML in vitro. Myotube diameter and total protein were reduced by D, and restored by T</w:t>
      </w:r>
      <w:r w:rsidR="00430710">
        <w:rPr>
          <w:rFonts w:ascii="Times New Roman" w:hAnsi="Times New Roman" w:cs="Times New Roman"/>
        </w:rPr>
        <w:t xml:space="preserve"> </w:t>
      </w:r>
      <w:r w:rsidR="00430710" w:rsidRPr="00430710">
        <w:rPr>
          <w:rFonts w:ascii="Times New Roman" w:hAnsi="Times New Roman" w:cs="Times New Roman"/>
        </w:rPr>
        <w:t>co-administration. Changes in C2C12 total protein were correlated with changes in protein degradation. D-induced proteolysis was inhibited by the proteasome inhibitor MG132.</w:t>
      </w:r>
    </w:p>
    <w:p w14:paraId="5333D98D"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vivo, D reduced intramuscular IGF-I expression, an effect reversed by T co-administration. In C2C12, inhibition of IGF-1R signaling with picropodophyllin did not modify T protective effect. Mechanisms potentially explaining these observations are discussed.</w:t>
      </w:r>
    </w:p>
    <w:p w14:paraId="34937A64" w14:textId="0531B4DE" w:rsidR="00864EEA"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453A3434" w:rsidR="00ED3F96" w:rsidRPr="00ED3F96" w:rsidRDefault="005868E2" w:rsidP="00BD7A28">
      <w:pPr>
        <w:pStyle w:val="Heading1"/>
      </w:pPr>
      <w:bookmarkStart w:id="2" w:name="_Toc422957888"/>
      <w:r>
        <w:lastRenderedPageBreak/>
        <w:t>TABLE OF CONTENT</w:t>
      </w:r>
      <w:r w:rsidR="00BD7A28">
        <w:t>S</w:t>
      </w:r>
      <w:bookmarkEnd w:id="2"/>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490A7EC7" w14:textId="77777777" w:rsidR="00C61E21" w:rsidRDefault="00BD7A28">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22957886" w:history="1">
            <w:r w:rsidR="00C61E21" w:rsidRPr="009477BD">
              <w:rPr>
                <w:rStyle w:val="Hyperlink"/>
                <w:noProof/>
              </w:rPr>
              <w:t>ACKNOWLEDGMENTS</w:t>
            </w:r>
            <w:r w:rsidR="00C61E21">
              <w:rPr>
                <w:noProof/>
                <w:webHidden/>
              </w:rPr>
              <w:tab/>
            </w:r>
            <w:r w:rsidR="00C61E21">
              <w:rPr>
                <w:noProof/>
                <w:webHidden/>
              </w:rPr>
              <w:fldChar w:fldCharType="begin"/>
            </w:r>
            <w:r w:rsidR="00C61E21">
              <w:rPr>
                <w:noProof/>
                <w:webHidden/>
              </w:rPr>
              <w:instrText xml:space="preserve"> PAGEREF _Toc422957886 \h </w:instrText>
            </w:r>
            <w:r w:rsidR="00C61E21">
              <w:rPr>
                <w:noProof/>
                <w:webHidden/>
              </w:rPr>
            </w:r>
            <w:r w:rsidR="00C61E21">
              <w:rPr>
                <w:noProof/>
                <w:webHidden/>
              </w:rPr>
              <w:fldChar w:fldCharType="separate"/>
            </w:r>
            <w:r w:rsidR="00C61E21">
              <w:rPr>
                <w:noProof/>
                <w:webHidden/>
              </w:rPr>
              <w:t>v</w:t>
            </w:r>
            <w:r w:rsidR="00C61E21">
              <w:rPr>
                <w:noProof/>
                <w:webHidden/>
              </w:rPr>
              <w:fldChar w:fldCharType="end"/>
            </w:r>
          </w:hyperlink>
        </w:p>
        <w:p w14:paraId="32AE8085" w14:textId="77777777" w:rsidR="00C61E21" w:rsidRDefault="00C61E21">
          <w:pPr>
            <w:pStyle w:val="TOC1"/>
            <w:tabs>
              <w:tab w:val="right" w:leader="dot" w:pos="8630"/>
            </w:tabs>
            <w:rPr>
              <w:rFonts w:asciiTheme="minorHAnsi" w:hAnsiTheme="minorHAnsi"/>
              <w:noProof/>
              <w:sz w:val="22"/>
              <w:szCs w:val="22"/>
            </w:rPr>
          </w:pPr>
          <w:hyperlink w:anchor="_Toc422957887" w:history="1">
            <w:r w:rsidRPr="009477BD">
              <w:rPr>
                <w:rStyle w:val="Hyperlink"/>
                <w:noProof/>
              </w:rPr>
              <w:t>ABSTRACT</w:t>
            </w:r>
            <w:r>
              <w:rPr>
                <w:noProof/>
                <w:webHidden/>
              </w:rPr>
              <w:tab/>
            </w:r>
            <w:r>
              <w:rPr>
                <w:noProof/>
                <w:webHidden/>
              </w:rPr>
              <w:fldChar w:fldCharType="begin"/>
            </w:r>
            <w:r>
              <w:rPr>
                <w:noProof/>
                <w:webHidden/>
              </w:rPr>
              <w:instrText xml:space="preserve"> PAGEREF _Toc422957887 \h </w:instrText>
            </w:r>
            <w:r>
              <w:rPr>
                <w:noProof/>
                <w:webHidden/>
              </w:rPr>
            </w:r>
            <w:r>
              <w:rPr>
                <w:noProof/>
                <w:webHidden/>
              </w:rPr>
              <w:fldChar w:fldCharType="separate"/>
            </w:r>
            <w:r>
              <w:rPr>
                <w:noProof/>
                <w:webHidden/>
              </w:rPr>
              <w:t>vi</w:t>
            </w:r>
            <w:r>
              <w:rPr>
                <w:noProof/>
                <w:webHidden/>
              </w:rPr>
              <w:fldChar w:fldCharType="end"/>
            </w:r>
          </w:hyperlink>
        </w:p>
        <w:p w14:paraId="6B853B31" w14:textId="77777777" w:rsidR="00C61E21" w:rsidRDefault="00C61E21">
          <w:pPr>
            <w:pStyle w:val="TOC1"/>
            <w:tabs>
              <w:tab w:val="right" w:leader="dot" w:pos="8630"/>
            </w:tabs>
            <w:rPr>
              <w:rFonts w:asciiTheme="minorHAnsi" w:hAnsiTheme="minorHAnsi"/>
              <w:noProof/>
              <w:sz w:val="22"/>
              <w:szCs w:val="22"/>
            </w:rPr>
          </w:pPr>
          <w:hyperlink w:anchor="_Toc422957888" w:history="1">
            <w:r w:rsidRPr="009477BD">
              <w:rPr>
                <w:rStyle w:val="Hyperlink"/>
                <w:noProof/>
              </w:rPr>
              <w:t>TABLE OF CONTENTS</w:t>
            </w:r>
            <w:r>
              <w:rPr>
                <w:noProof/>
                <w:webHidden/>
              </w:rPr>
              <w:tab/>
            </w:r>
            <w:r>
              <w:rPr>
                <w:noProof/>
                <w:webHidden/>
              </w:rPr>
              <w:fldChar w:fldCharType="begin"/>
            </w:r>
            <w:r>
              <w:rPr>
                <w:noProof/>
                <w:webHidden/>
              </w:rPr>
              <w:instrText xml:space="preserve"> PAGEREF _Toc422957888 \h </w:instrText>
            </w:r>
            <w:r>
              <w:rPr>
                <w:noProof/>
                <w:webHidden/>
              </w:rPr>
            </w:r>
            <w:r>
              <w:rPr>
                <w:noProof/>
                <w:webHidden/>
              </w:rPr>
              <w:fldChar w:fldCharType="separate"/>
            </w:r>
            <w:r>
              <w:rPr>
                <w:noProof/>
                <w:webHidden/>
              </w:rPr>
              <w:t>viii</w:t>
            </w:r>
            <w:r>
              <w:rPr>
                <w:noProof/>
                <w:webHidden/>
              </w:rPr>
              <w:fldChar w:fldCharType="end"/>
            </w:r>
          </w:hyperlink>
        </w:p>
        <w:p w14:paraId="713CAE93" w14:textId="77777777" w:rsidR="00C61E21" w:rsidRDefault="00C61E21">
          <w:pPr>
            <w:pStyle w:val="TOC1"/>
            <w:tabs>
              <w:tab w:val="right" w:leader="dot" w:pos="8630"/>
            </w:tabs>
            <w:rPr>
              <w:rFonts w:asciiTheme="minorHAnsi" w:hAnsiTheme="minorHAnsi"/>
              <w:noProof/>
              <w:sz w:val="22"/>
              <w:szCs w:val="22"/>
            </w:rPr>
          </w:pPr>
          <w:hyperlink w:anchor="_Toc422957889" w:history="1">
            <w:r w:rsidRPr="009477BD">
              <w:rPr>
                <w:rStyle w:val="Hyperlink"/>
                <w:noProof/>
              </w:rPr>
              <w:t>LIST OF TABLES</w:t>
            </w:r>
            <w:r>
              <w:rPr>
                <w:noProof/>
                <w:webHidden/>
              </w:rPr>
              <w:tab/>
            </w:r>
            <w:r>
              <w:rPr>
                <w:noProof/>
                <w:webHidden/>
              </w:rPr>
              <w:fldChar w:fldCharType="begin"/>
            </w:r>
            <w:r>
              <w:rPr>
                <w:noProof/>
                <w:webHidden/>
              </w:rPr>
              <w:instrText xml:space="preserve"> PAGEREF _Toc422957889 \h </w:instrText>
            </w:r>
            <w:r>
              <w:rPr>
                <w:noProof/>
                <w:webHidden/>
              </w:rPr>
            </w:r>
            <w:r>
              <w:rPr>
                <w:noProof/>
                <w:webHidden/>
              </w:rPr>
              <w:fldChar w:fldCharType="separate"/>
            </w:r>
            <w:r>
              <w:rPr>
                <w:noProof/>
                <w:webHidden/>
              </w:rPr>
              <w:t>xi</w:t>
            </w:r>
            <w:r>
              <w:rPr>
                <w:noProof/>
                <w:webHidden/>
              </w:rPr>
              <w:fldChar w:fldCharType="end"/>
            </w:r>
          </w:hyperlink>
        </w:p>
        <w:p w14:paraId="40022D45" w14:textId="77777777" w:rsidR="00C61E21" w:rsidRDefault="00C61E21">
          <w:pPr>
            <w:pStyle w:val="TOC1"/>
            <w:tabs>
              <w:tab w:val="right" w:leader="dot" w:pos="8630"/>
            </w:tabs>
            <w:rPr>
              <w:rFonts w:asciiTheme="minorHAnsi" w:hAnsiTheme="minorHAnsi"/>
              <w:noProof/>
              <w:sz w:val="22"/>
              <w:szCs w:val="22"/>
            </w:rPr>
          </w:pPr>
          <w:hyperlink w:anchor="_Toc422957890" w:history="1">
            <w:r w:rsidRPr="009477BD">
              <w:rPr>
                <w:rStyle w:val="Hyperlink"/>
                <w:noProof/>
              </w:rPr>
              <w:t>LIST OF FIGURES</w:t>
            </w:r>
            <w:r>
              <w:rPr>
                <w:noProof/>
                <w:webHidden/>
              </w:rPr>
              <w:tab/>
            </w:r>
            <w:r>
              <w:rPr>
                <w:noProof/>
                <w:webHidden/>
              </w:rPr>
              <w:fldChar w:fldCharType="begin"/>
            </w:r>
            <w:r>
              <w:rPr>
                <w:noProof/>
                <w:webHidden/>
              </w:rPr>
              <w:instrText xml:space="preserve"> PAGEREF _Toc422957890 \h </w:instrText>
            </w:r>
            <w:r>
              <w:rPr>
                <w:noProof/>
                <w:webHidden/>
              </w:rPr>
            </w:r>
            <w:r>
              <w:rPr>
                <w:noProof/>
                <w:webHidden/>
              </w:rPr>
              <w:fldChar w:fldCharType="separate"/>
            </w:r>
            <w:r>
              <w:rPr>
                <w:noProof/>
                <w:webHidden/>
              </w:rPr>
              <w:t>xii</w:t>
            </w:r>
            <w:r>
              <w:rPr>
                <w:noProof/>
                <w:webHidden/>
              </w:rPr>
              <w:fldChar w:fldCharType="end"/>
            </w:r>
          </w:hyperlink>
        </w:p>
        <w:p w14:paraId="2E8F9140" w14:textId="77777777" w:rsidR="00C61E21" w:rsidRDefault="00C61E21">
          <w:pPr>
            <w:pStyle w:val="TOC1"/>
            <w:tabs>
              <w:tab w:val="right" w:leader="dot" w:pos="8630"/>
            </w:tabs>
            <w:rPr>
              <w:rFonts w:asciiTheme="minorHAnsi" w:hAnsiTheme="minorHAnsi"/>
              <w:noProof/>
              <w:sz w:val="22"/>
              <w:szCs w:val="22"/>
            </w:rPr>
          </w:pPr>
          <w:hyperlink w:anchor="_Toc422957891" w:history="1">
            <w:r w:rsidRPr="009477BD">
              <w:rPr>
                <w:rStyle w:val="Hyperlink"/>
                <w:noProof/>
              </w:rPr>
              <w:t>LIST OF ABBREVIATIONS</w:t>
            </w:r>
            <w:r>
              <w:rPr>
                <w:noProof/>
                <w:webHidden/>
              </w:rPr>
              <w:tab/>
            </w:r>
            <w:r>
              <w:rPr>
                <w:noProof/>
                <w:webHidden/>
              </w:rPr>
              <w:fldChar w:fldCharType="begin"/>
            </w:r>
            <w:r>
              <w:rPr>
                <w:noProof/>
                <w:webHidden/>
              </w:rPr>
              <w:instrText xml:space="preserve"> PAGEREF _Toc422957891 \h </w:instrText>
            </w:r>
            <w:r>
              <w:rPr>
                <w:noProof/>
                <w:webHidden/>
              </w:rPr>
            </w:r>
            <w:r>
              <w:rPr>
                <w:noProof/>
                <w:webHidden/>
              </w:rPr>
              <w:fldChar w:fldCharType="separate"/>
            </w:r>
            <w:r>
              <w:rPr>
                <w:noProof/>
                <w:webHidden/>
              </w:rPr>
              <w:t>xiii</w:t>
            </w:r>
            <w:r>
              <w:rPr>
                <w:noProof/>
                <w:webHidden/>
              </w:rPr>
              <w:fldChar w:fldCharType="end"/>
            </w:r>
          </w:hyperlink>
        </w:p>
        <w:p w14:paraId="54C40E47" w14:textId="77777777" w:rsidR="00C61E21" w:rsidRDefault="00C61E21">
          <w:pPr>
            <w:pStyle w:val="TOC1"/>
            <w:tabs>
              <w:tab w:val="right" w:leader="dot" w:pos="8630"/>
            </w:tabs>
            <w:rPr>
              <w:rFonts w:asciiTheme="minorHAnsi" w:hAnsiTheme="minorHAnsi"/>
              <w:noProof/>
              <w:sz w:val="22"/>
              <w:szCs w:val="22"/>
            </w:rPr>
          </w:pPr>
          <w:hyperlink w:anchor="_Toc422957892" w:history="1">
            <w:r w:rsidRPr="009477BD">
              <w:rPr>
                <w:rStyle w:val="Hyperlink"/>
                <w:noProof/>
              </w:rPr>
              <w:t>CLINICAL QUESTIONS AND EVIDENCE</w:t>
            </w:r>
            <w:r>
              <w:rPr>
                <w:noProof/>
                <w:webHidden/>
              </w:rPr>
              <w:tab/>
            </w:r>
            <w:r>
              <w:rPr>
                <w:noProof/>
                <w:webHidden/>
              </w:rPr>
              <w:fldChar w:fldCharType="begin"/>
            </w:r>
            <w:r>
              <w:rPr>
                <w:noProof/>
                <w:webHidden/>
              </w:rPr>
              <w:instrText xml:space="preserve"> PAGEREF _Toc422957892 \h </w:instrText>
            </w:r>
            <w:r>
              <w:rPr>
                <w:noProof/>
                <w:webHidden/>
              </w:rPr>
            </w:r>
            <w:r>
              <w:rPr>
                <w:noProof/>
                <w:webHidden/>
              </w:rPr>
              <w:fldChar w:fldCharType="separate"/>
            </w:r>
            <w:r>
              <w:rPr>
                <w:noProof/>
                <w:webHidden/>
              </w:rPr>
              <w:t>1</w:t>
            </w:r>
            <w:r>
              <w:rPr>
                <w:noProof/>
                <w:webHidden/>
              </w:rPr>
              <w:fldChar w:fldCharType="end"/>
            </w:r>
          </w:hyperlink>
        </w:p>
        <w:p w14:paraId="0064A552" w14:textId="77777777" w:rsidR="00C61E21" w:rsidRDefault="00C61E21">
          <w:pPr>
            <w:pStyle w:val="TOC2"/>
            <w:tabs>
              <w:tab w:val="right" w:leader="dot" w:pos="8630"/>
            </w:tabs>
            <w:rPr>
              <w:rFonts w:asciiTheme="minorHAnsi" w:hAnsiTheme="minorHAnsi"/>
              <w:noProof/>
              <w:sz w:val="22"/>
            </w:rPr>
          </w:pPr>
          <w:hyperlink w:anchor="_Toc422957893" w:history="1">
            <w:r w:rsidRPr="009477BD">
              <w:rPr>
                <w:rStyle w:val="Hyperlink"/>
                <w:noProof/>
              </w:rPr>
              <w:t>Cushing’s syndrome and hints of an atrophy mechanism</w:t>
            </w:r>
            <w:r>
              <w:rPr>
                <w:noProof/>
                <w:webHidden/>
              </w:rPr>
              <w:tab/>
            </w:r>
            <w:r>
              <w:rPr>
                <w:noProof/>
                <w:webHidden/>
              </w:rPr>
              <w:fldChar w:fldCharType="begin"/>
            </w:r>
            <w:r>
              <w:rPr>
                <w:noProof/>
                <w:webHidden/>
              </w:rPr>
              <w:instrText xml:space="preserve"> PAGEREF _Toc422957893 \h </w:instrText>
            </w:r>
            <w:r>
              <w:rPr>
                <w:noProof/>
                <w:webHidden/>
              </w:rPr>
            </w:r>
            <w:r>
              <w:rPr>
                <w:noProof/>
                <w:webHidden/>
              </w:rPr>
              <w:fldChar w:fldCharType="separate"/>
            </w:r>
            <w:r>
              <w:rPr>
                <w:noProof/>
                <w:webHidden/>
              </w:rPr>
              <w:t>1</w:t>
            </w:r>
            <w:r>
              <w:rPr>
                <w:noProof/>
                <w:webHidden/>
              </w:rPr>
              <w:fldChar w:fldCharType="end"/>
            </w:r>
          </w:hyperlink>
        </w:p>
        <w:p w14:paraId="3026E101" w14:textId="77777777" w:rsidR="00C61E21" w:rsidRDefault="00C61E21">
          <w:pPr>
            <w:pStyle w:val="TOC2"/>
            <w:tabs>
              <w:tab w:val="right" w:leader="dot" w:pos="8630"/>
            </w:tabs>
            <w:rPr>
              <w:rFonts w:asciiTheme="minorHAnsi" w:hAnsiTheme="minorHAnsi"/>
              <w:noProof/>
              <w:sz w:val="22"/>
            </w:rPr>
          </w:pPr>
          <w:hyperlink w:anchor="_Toc422957894" w:history="1">
            <w:r w:rsidRPr="009477BD">
              <w:rPr>
                <w:rStyle w:val="Hyperlink"/>
                <w:noProof/>
              </w:rPr>
              <w:t>Glucocorticoid therapy</w:t>
            </w:r>
            <w:r>
              <w:rPr>
                <w:noProof/>
                <w:webHidden/>
              </w:rPr>
              <w:tab/>
            </w:r>
            <w:r>
              <w:rPr>
                <w:noProof/>
                <w:webHidden/>
              </w:rPr>
              <w:fldChar w:fldCharType="begin"/>
            </w:r>
            <w:r>
              <w:rPr>
                <w:noProof/>
                <w:webHidden/>
              </w:rPr>
              <w:instrText xml:space="preserve"> PAGEREF _Toc422957894 \h </w:instrText>
            </w:r>
            <w:r>
              <w:rPr>
                <w:noProof/>
                <w:webHidden/>
              </w:rPr>
            </w:r>
            <w:r>
              <w:rPr>
                <w:noProof/>
                <w:webHidden/>
              </w:rPr>
              <w:fldChar w:fldCharType="separate"/>
            </w:r>
            <w:r>
              <w:rPr>
                <w:noProof/>
                <w:webHidden/>
              </w:rPr>
              <w:t>4</w:t>
            </w:r>
            <w:r>
              <w:rPr>
                <w:noProof/>
                <w:webHidden/>
              </w:rPr>
              <w:fldChar w:fldCharType="end"/>
            </w:r>
          </w:hyperlink>
        </w:p>
        <w:p w14:paraId="5E92AF44" w14:textId="77777777" w:rsidR="00C61E21" w:rsidRDefault="00C61E21">
          <w:pPr>
            <w:pStyle w:val="TOC2"/>
            <w:tabs>
              <w:tab w:val="right" w:leader="dot" w:pos="8630"/>
            </w:tabs>
            <w:rPr>
              <w:rFonts w:asciiTheme="minorHAnsi" w:hAnsiTheme="minorHAnsi"/>
              <w:noProof/>
              <w:sz w:val="22"/>
            </w:rPr>
          </w:pPr>
          <w:hyperlink w:anchor="_Toc422957895" w:history="1">
            <w:r w:rsidRPr="009477BD">
              <w:rPr>
                <w:rStyle w:val="Hyperlink"/>
                <w:noProof/>
              </w:rPr>
              <w:t>Hypercortisolism-induced muscle loss</w:t>
            </w:r>
            <w:r>
              <w:rPr>
                <w:noProof/>
                <w:webHidden/>
              </w:rPr>
              <w:tab/>
            </w:r>
            <w:r>
              <w:rPr>
                <w:noProof/>
                <w:webHidden/>
              </w:rPr>
              <w:fldChar w:fldCharType="begin"/>
            </w:r>
            <w:r>
              <w:rPr>
                <w:noProof/>
                <w:webHidden/>
              </w:rPr>
              <w:instrText xml:space="preserve"> PAGEREF _Toc422957895 \h </w:instrText>
            </w:r>
            <w:r>
              <w:rPr>
                <w:noProof/>
                <w:webHidden/>
              </w:rPr>
            </w:r>
            <w:r>
              <w:rPr>
                <w:noProof/>
                <w:webHidden/>
              </w:rPr>
              <w:fldChar w:fldCharType="separate"/>
            </w:r>
            <w:r>
              <w:rPr>
                <w:noProof/>
                <w:webHidden/>
              </w:rPr>
              <w:t>11</w:t>
            </w:r>
            <w:r>
              <w:rPr>
                <w:noProof/>
                <w:webHidden/>
              </w:rPr>
              <w:fldChar w:fldCharType="end"/>
            </w:r>
          </w:hyperlink>
        </w:p>
        <w:p w14:paraId="3C5AAC01" w14:textId="77777777" w:rsidR="00C61E21" w:rsidRDefault="00C61E21">
          <w:pPr>
            <w:pStyle w:val="TOC2"/>
            <w:tabs>
              <w:tab w:val="right" w:leader="dot" w:pos="8630"/>
            </w:tabs>
            <w:rPr>
              <w:rFonts w:asciiTheme="minorHAnsi" w:hAnsiTheme="minorHAnsi"/>
              <w:noProof/>
              <w:sz w:val="22"/>
            </w:rPr>
          </w:pPr>
          <w:hyperlink w:anchor="_Toc422957896" w:history="1">
            <w:r w:rsidRPr="009477BD">
              <w:rPr>
                <w:rStyle w:val="Hyperlink"/>
                <w:noProof/>
              </w:rPr>
              <w:t>Muscle protection with androgen therapy</w:t>
            </w:r>
            <w:r>
              <w:rPr>
                <w:noProof/>
                <w:webHidden/>
              </w:rPr>
              <w:tab/>
            </w:r>
            <w:r>
              <w:rPr>
                <w:noProof/>
                <w:webHidden/>
              </w:rPr>
              <w:fldChar w:fldCharType="begin"/>
            </w:r>
            <w:r>
              <w:rPr>
                <w:noProof/>
                <w:webHidden/>
              </w:rPr>
              <w:instrText xml:space="preserve"> PAGEREF _Toc422957896 \h </w:instrText>
            </w:r>
            <w:r>
              <w:rPr>
                <w:noProof/>
                <w:webHidden/>
              </w:rPr>
            </w:r>
            <w:r>
              <w:rPr>
                <w:noProof/>
                <w:webHidden/>
              </w:rPr>
              <w:fldChar w:fldCharType="separate"/>
            </w:r>
            <w:r>
              <w:rPr>
                <w:noProof/>
                <w:webHidden/>
              </w:rPr>
              <w:t>22</w:t>
            </w:r>
            <w:r>
              <w:rPr>
                <w:noProof/>
                <w:webHidden/>
              </w:rPr>
              <w:fldChar w:fldCharType="end"/>
            </w:r>
          </w:hyperlink>
        </w:p>
        <w:p w14:paraId="7D857634" w14:textId="77777777" w:rsidR="00C61E21" w:rsidRDefault="00C61E21">
          <w:pPr>
            <w:pStyle w:val="TOC2"/>
            <w:tabs>
              <w:tab w:val="right" w:leader="dot" w:pos="8630"/>
            </w:tabs>
            <w:rPr>
              <w:rFonts w:asciiTheme="minorHAnsi" w:hAnsiTheme="minorHAnsi"/>
              <w:noProof/>
              <w:sz w:val="22"/>
            </w:rPr>
          </w:pPr>
          <w:hyperlink w:anchor="_Toc422957897" w:history="1">
            <w:r w:rsidRPr="009477BD">
              <w:rPr>
                <w:rStyle w:val="Hyperlink"/>
                <w:noProof/>
              </w:rPr>
              <w:t>Hypercortisolism-induced changes in endogenous androgens levels</w:t>
            </w:r>
            <w:r>
              <w:rPr>
                <w:noProof/>
                <w:webHidden/>
              </w:rPr>
              <w:tab/>
            </w:r>
            <w:r>
              <w:rPr>
                <w:noProof/>
                <w:webHidden/>
              </w:rPr>
              <w:fldChar w:fldCharType="begin"/>
            </w:r>
            <w:r>
              <w:rPr>
                <w:noProof/>
                <w:webHidden/>
              </w:rPr>
              <w:instrText xml:space="preserve"> PAGEREF _Toc422957897 \h </w:instrText>
            </w:r>
            <w:r>
              <w:rPr>
                <w:noProof/>
                <w:webHidden/>
              </w:rPr>
            </w:r>
            <w:r>
              <w:rPr>
                <w:noProof/>
                <w:webHidden/>
              </w:rPr>
              <w:fldChar w:fldCharType="separate"/>
            </w:r>
            <w:r>
              <w:rPr>
                <w:noProof/>
                <w:webHidden/>
              </w:rPr>
              <w:t>31</w:t>
            </w:r>
            <w:r>
              <w:rPr>
                <w:noProof/>
                <w:webHidden/>
              </w:rPr>
              <w:fldChar w:fldCharType="end"/>
            </w:r>
          </w:hyperlink>
        </w:p>
        <w:p w14:paraId="0414B2EA" w14:textId="77777777" w:rsidR="00C61E21" w:rsidRDefault="00C61E21">
          <w:pPr>
            <w:pStyle w:val="TOC2"/>
            <w:tabs>
              <w:tab w:val="right" w:leader="dot" w:pos="8630"/>
            </w:tabs>
            <w:rPr>
              <w:rFonts w:asciiTheme="minorHAnsi" w:hAnsiTheme="minorHAnsi"/>
              <w:noProof/>
              <w:sz w:val="22"/>
            </w:rPr>
          </w:pPr>
          <w:hyperlink w:anchor="_Toc422957898" w:history="1">
            <w:r w:rsidRPr="009477BD">
              <w:rPr>
                <w:rStyle w:val="Hyperlink"/>
                <w:noProof/>
              </w:rPr>
              <w:t>Molecular mechanisms of androgenic myoprotection in humans</w:t>
            </w:r>
            <w:r>
              <w:rPr>
                <w:noProof/>
                <w:webHidden/>
              </w:rPr>
              <w:tab/>
            </w:r>
            <w:r>
              <w:rPr>
                <w:noProof/>
                <w:webHidden/>
              </w:rPr>
              <w:fldChar w:fldCharType="begin"/>
            </w:r>
            <w:r>
              <w:rPr>
                <w:noProof/>
                <w:webHidden/>
              </w:rPr>
              <w:instrText xml:space="preserve"> PAGEREF _Toc422957898 \h </w:instrText>
            </w:r>
            <w:r>
              <w:rPr>
                <w:noProof/>
                <w:webHidden/>
              </w:rPr>
            </w:r>
            <w:r>
              <w:rPr>
                <w:noProof/>
                <w:webHidden/>
              </w:rPr>
              <w:fldChar w:fldCharType="separate"/>
            </w:r>
            <w:r>
              <w:rPr>
                <w:noProof/>
                <w:webHidden/>
              </w:rPr>
              <w:t>35</w:t>
            </w:r>
            <w:r>
              <w:rPr>
                <w:noProof/>
                <w:webHidden/>
              </w:rPr>
              <w:fldChar w:fldCharType="end"/>
            </w:r>
          </w:hyperlink>
        </w:p>
        <w:p w14:paraId="29205E9A" w14:textId="77777777" w:rsidR="00C61E21" w:rsidRDefault="00C61E21">
          <w:pPr>
            <w:pStyle w:val="TOC1"/>
            <w:tabs>
              <w:tab w:val="right" w:leader="dot" w:pos="8630"/>
            </w:tabs>
            <w:rPr>
              <w:rFonts w:asciiTheme="minorHAnsi" w:hAnsiTheme="minorHAnsi"/>
              <w:noProof/>
              <w:sz w:val="22"/>
              <w:szCs w:val="22"/>
            </w:rPr>
          </w:pPr>
          <w:hyperlink w:anchor="_Toc422957899" w:history="1">
            <w:r w:rsidRPr="009477BD">
              <w:rPr>
                <w:rStyle w:val="Hyperlink"/>
                <w:noProof/>
              </w:rPr>
              <w:t>BIOLOGICAL PREMISES</w:t>
            </w:r>
            <w:r>
              <w:rPr>
                <w:noProof/>
                <w:webHidden/>
              </w:rPr>
              <w:tab/>
            </w:r>
            <w:r>
              <w:rPr>
                <w:noProof/>
                <w:webHidden/>
              </w:rPr>
              <w:fldChar w:fldCharType="begin"/>
            </w:r>
            <w:r>
              <w:rPr>
                <w:noProof/>
                <w:webHidden/>
              </w:rPr>
              <w:instrText xml:space="preserve"> PAGEREF _Toc422957899 \h </w:instrText>
            </w:r>
            <w:r>
              <w:rPr>
                <w:noProof/>
                <w:webHidden/>
              </w:rPr>
            </w:r>
            <w:r>
              <w:rPr>
                <w:noProof/>
                <w:webHidden/>
              </w:rPr>
              <w:fldChar w:fldCharType="separate"/>
            </w:r>
            <w:r>
              <w:rPr>
                <w:noProof/>
                <w:webHidden/>
              </w:rPr>
              <w:t>41</w:t>
            </w:r>
            <w:r>
              <w:rPr>
                <w:noProof/>
                <w:webHidden/>
              </w:rPr>
              <w:fldChar w:fldCharType="end"/>
            </w:r>
          </w:hyperlink>
        </w:p>
        <w:p w14:paraId="59D9F822" w14:textId="77777777" w:rsidR="00C61E21" w:rsidRDefault="00C61E21">
          <w:pPr>
            <w:pStyle w:val="TOC2"/>
            <w:tabs>
              <w:tab w:val="right" w:leader="dot" w:pos="8630"/>
            </w:tabs>
            <w:rPr>
              <w:rFonts w:asciiTheme="minorHAnsi" w:hAnsiTheme="minorHAnsi"/>
              <w:noProof/>
              <w:sz w:val="22"/>
            </w:rPr>
          </w:pPr>
          <w:hyperlink w:anchor="_Toc422957900" w:history="1">
            <w:r w:rsidRPr="009477BD">
              <w:rPr>
                <w:rStyle w:val="Hyperlink"/>
                <w:noProof/>
              </w:rPr>
              <w:t>Skeletal muscle histology</w:t>
            </w:r>
            <w:r>
              <w:rPr>
                <w:noProof/>
                <w:webHidden/>
              </w:rPr>
              <w:tab/>
            </w:r>
            <w:r>
              <w:rPr>
                <w:noProof/>
                <w:webHidden/>
              </w:rPr>
              <w:fldChar w:fldCharType="begin"/>
            </w:r>
            <w:r>
              <w:rPr>
                <w:noProof/>
                <w:webHidden/>
              </w:rPr>
              <w:instrText xml:space="preserve"> PAGEREF _Toc422957900 \h </w:instrText>
            </w:r>
            <w:r>
              <w:rPr>
                <w:noProof/>
                <w:webHidden/>
              </w:rPr>
            </w:r>
            <w:r>
              <w:rPr>
                <w:noProof/>
                <w:webHidden/>
              </w:rPr>
              <w:fldChar w:fldCharType="separate"/>
            </w:r>
            <w:r>
              <w:rPr>
                <w:noProof/>
                <w:webHidden/>
              </w:rPr>
              <w:t>41</w:t>
            </w:r>
            <w:r>
              <w:rPr>
                <w:noProof/>
                <w:webHidden/>
              </w:rPr>
              <w:fldChar w:fldCharType="end"/>
            </w:r>
          </w:hyperlink>
        </w:p>
        <w:p w14:paraId="1A11276A" w14:textId="77777777" w:rsidR="00C61E21" w:rsidRDefault="00C61E21">
          <w:pPr>
            <w:pStyle w:val="TOC2"/>
            <w:tabs>
              <w:tab w:val="right" w:leader="dot" w:pos="8630"/>
            </w:tabs>
            <w:rPr>
              <w:rFonts w:asciiTheme="minorHAnsi" w:hAnsiTheme="minorHAnsi"/>
              <w:noProof/>
              <w:sz w:val="22"/>
            </w:rPr>
          </w:pPr>
          <w:hyperlink w:anchor="_Toc422957901" w:history="1">
            <w:r w:rsidRPr="009477BD">
              <w:rPr>
                <w:rStyle w:val="Hyperlink"/>
                <w:noProof/>
              </w:rPr>
              <w:t>Pre-adult muscle development</w:t>
            </w:r>
            <w:r>
              <w:rPr>
                <w:noProof/>
                <w:webHidden/>
              </w:rPr>
              <w:tab/>
            </w:r>
            <w:r>
              <w:rPr>
                <w:noProof/>
                <w:webHidden/>
              </w:rPr>
              <w:fldChar w:fldCharType="begin"/>
            </w:r>
            <w:r>
              <w:rPr>
                <w:noProof/>
                <w:webHidden/>
              </w:rPr>
              <w:instrText xml:space="preserve"> PAGEREF _Toc422957901 \h </w:instrText>
            </w:r>
            <w:r>
              <w:rPr>
                <w:noProof/>
                <w:webHidden/>
              </w:rPr>
            </w:r>
            <w:r>
              <w:rPr>
                <w:noProof/>
                <w:webHidden/>
              </w:rPr>
              <w:fldChar w:fldCharType="separate"/>
            </w:r>
            <w:r>
              <w:rPr>
                <w:noProof/>
                <w:webHidden/>
              </w:rPr>
              <w:t>44</w:t>
            </w:r>
            <w:r>
              <w:rPr>
                <w:noProof/>
                <w:webHidden/>
              </w:rPr>
              <w:fldChar w:fldCharType="end"/>
            </w:r>
          </w:hyperlink>
        </w:p>
        <w:p w14:paraId="1F21D90A" w14:textId="77777777" w:rsidR="00C61E21" w:rsidRDefault="00C61E21">
          <w:pPr>
            <w:pStyle w:val="TOC2"/>
            <w:tabs>
              <w:tab w:val="right" w:leader="dot" w:pos="8630"/>
            </w:tabs>
            <w:rPr>
              <w:rFonts w:asciiTheme="minorHAnsi" w:hAnsiTheme="minorHAnsi"/>
              <w:noProof/>
              <w:sz w:val="22"/>
            </w:rPr>
          </w:pPr>
          <w:hyperlink w:anchor="_Toc422957902" w:history="1">
            <w:r w:rsidRPr="009477BD">
              <w:rPr>
                <w:rStyle w:val="Hyperlink"/>
                <w:noProof/>
              </w:rPr>
              <w:t>Physiological muscle metabolism</w:t>
            </w:r>
            <w:r>
              <w:rPr>
                <w:noProof/>
                <w:webHidden/>
              </w:rPr>
              <w:tab/>
            </w:r>
            <w:r>
              <w:rPr>
                <w:noProof/>
                <w:webHidden/>
              </w:rPr>
              <w:fldChar w:fldCharType="begin"/>
            </w:r>
            <w:r>
              <w:rPr>
                <w:noProof/>
                <w:webHidden/>
              </w:rPr>
              <w:instrText xml:space="preserve"> PAGEREF _Toc422957902 \h </w:instrText>
            </w:r>
            <w:r>
              <w:rPr>
                <w:noProof/>
                <w:webHidden/>
              </w:rPr>
            </w:r>
            <w:r>
              <w:rPr>
                <w:noProof/>
                <w:webHidden/>
              </w:rPr>
              <w:fldChar w:fldCharType="separate"/>
            </w:r>
            <w:r>
              <w:rPr>
                <w:noProof/>
                <w:webHidden/>
              </w:rPr>
              <w:t>47</w:t>
            </w:r>
            <w:r>
              <w:rPr>
                <w:noProof/>
                <w:webHidden/>
              </w:rPr>
              <w:fldChar w:fldCharType="end"/>
            </w:r>
          </w:hyperlink>
        </w:p>
        <w:p w14:paraId="70900BB4" w14:textId="77777777" w:rsidR="00C61E21" w:rsidRDefault="00C61E21">
          <w:pPr>
            <w:pStyle w:val="TOC2"/>
            <w:tabs>
              <w:tab w:val="right" w:leader="dot" w:pos="8630"/>
            </w:tabs>
            <w:rPr>
              <w:rFonts w:asciiTheme="minorHAnsi" w:hAnsiTheme="minorHAnsi"/>
              <w:noProof/>
              <w:sz w:val="22"/>
            </w:rPr>
          </w:pPr>
          <w:hyperlink w:anchor="_Toc422957903" w:history="1">
            <w:r w:rsidRPr="009477BD">
              <w:rPr>
                <w:rStyle w:val="Hyperlink"/>
                <w:noProof/>
              </w:rPr>
              <w:t>Adult muscle remodeling</w:t>
            </w:r>
            <w:r>
              <w:rPr>
                <w:noProof/>
                <w:webHidden/>
              </w:rPr>
              <w:tab/>
            </w:r>
            <w:r>
              <w:rPr>
                <w:noProof/>
                <w:webHidden/>
              </w:rPr>
              <w:fldChar w:fldCharType="begin"/>
            </w:r>
            <w:r>
              <w:rPr>
                <w:noProof/>
                <w:webHidden/>
              </w:rPr>
              <w:instrText xml:space="preserve"> PAGEREF _Toc422957903 \h </w:instrText>
            </w:r>
            <w:r>
              <w:rPr>
                <w:noProof/>
                <w:webHidden/>
              </w:rPr>
            </w:r>
            <w:r>
              <w:rPr>
                <w:noProof/>
                <w:webHidden/>
              </w:rPr>
              <w:fldChar w:fldCharType="separate"/>
            </w:r>
            <w:r>
              <w:rPr>
                <w:noProof/>
                <w:webHidden/>
              </w:rPr>
              <w:t>51</w:t>
            </w:r>
            <w:r>
              <w:rPr>
                <w:noProof/>
                <w:webHidden/>
              </w:rPr>
              <w:fldChar w:fldCharType="end"/>
            </w:r>
          </w:hyperlink>
        </w:p>
        <w:p w14:paraId="611DE5A2" w14:textId="77777777" w:rsidR="00C61E21" w:rsidRDefault="00C61E21">
          <w:pPr>
            <w:pStyle w:val="TOC2"/>
            <w:tabs>
              <w:tab w:val="right" w:leader="dot" w:pos="8630"/>
            </w:tabs>
            <w:rPr>
              <w:rFonts w:asciiTheme="minorHAnsi" w:hAnsiTheme="minorHAnsi"/>
              <w:noProof/>
              <w:sz w:val="22"/>
            </w:rPr>
          </w:pPr>
          <w:hyperlink w:anchor="_Toc422957904" w:history="1">
            <w:r w:rsidRPr="009477BD">
              <w:rPr>
                <w:rStyle w:val="Hyperlink"/>
                <w:noProof/>
              </w:rPr>
              <w:t>Hormonal control of muscle mass</w:t>
            </w:r>
            <w:r>
              <w:rPr>
                <w:noProof/>
                <w:webHidden/>
              </w:rPr>
              <w:tab/>
            </w:r>
            <w:r>
              <w:rPr>
                <w:noProof/>
                <w:webHidden/>
              </w:rPr>
              <w:fldChar w:fldCharType="begin"/>
            </w:r>
            <w:r>
              <w:rPr>
                <w:noProof/>
                <w:webHidden/>
              </w:rPr>
              <w:instrText xml:space="preserve"> PAGEREF _Toc422957904 \h </w:instrText>
            </w:r>
            <w:r>
              <w:rPr>
                <w:noProof/>
                <w:webHidden/>
              </w:rPr>
            </w:r>
            <w:r>
              <w:rPr>
                <w:noProof/>
                <w:webHidden/>
              </w:rPr>
              <w:fldChar w:fldCharType="separate"/>
            </w:r>
            <w:r>
              <w:rPr>
                <w:noProof/>
                <w:webHidden/>
              </w:rPr>
              <w:t>54</w:t>
            </w:r>
            <w:r>
              <w:rPr>
                <w:noProof/>
                <w:webHidden/>
              </w:rPr>
              <w:fldChar w:fldCharType="end"/>
            </w:r>
          </w:hyperlink>
        </w:p>
        <w:p w14:paraId="52FF71C2" w14:textId="77777777" w:rsidR="00C61E21" w:rsidRDefault="00C61E21">
          <w:pPr>
            <w:pStyle w:val="TOC2"/>
            <w:tabs>
              <w:tab w:val="right" w:leader="dot" w:pos="8630"/>
            </w:tabs>
            <w:rPr>
              <w:rFonts w:asciiTheme="minorHAnsi" w:hAnsiTheme="minorHAnsi"/>
              <w:noProof/>
              <w:sz w:val="22"/>
            </w:rPr>
          </w:pPr>
          <w:hyperlink w:anchor="_Toc422957905" w:history="1">
            <w:r w:rsidRPr="009477BD">
              <w:rPr>
                <w:rStyle w:val="Hyperlink"/>
                <w:noProof/>
              </w:rPr>
              <w:t>Interaction of muscle mass and vascularization</w:t>
            </w:r>
            <w:r>
              <w:rPr>
                <w:noProof/>
                <w:webHidden/>
              </w:rPr>
              <w:tab/>
            </w:r>
            <w:r>
              <w:rPr>
                <w:noProof/>
                <w:webHidden/>
              </w:rPr>
              <w:fldChar w:fldCharType="begin"/>
            </w:r>
            <w:r>
              <w:rPr>
                <w:noProof/>
                <w:webHidden/>
              </w:rPr>
              <w:instrText xml:space="preserve"> PAGEREF _Toc422957905 \h </w:instrText>
            </w:r>
            <w:r>
              <w:rPr>
                <w:noProof/>
                <w:webHidden/>
              </w:rPr>
            </w:r>
            <w:r>
              <w:rPr>
                <w:noProof/>
                <w:webHidden/>
              </w:rPr>
              <w:fldChar w:fldCharType="separate"/>
            </w:r>
            <w:r>
              <w:rPr>
                <w:noProof/>
                <w:webHidden/>
              </w:rPr>
              <w:t>56</w:t>
            </w:r>
            <w:r>
              <w:rPr>
                <w:noProof/>
                <w:webHidden/>
              </w:rPr>
              <w:fldChar w:fldCharType="end"/>
            </w:r>
          </w:hyperlink>
        </w:p>
        <w:p w14:paraId="2CBC0D9F" w14:textId="77777777" w:rsidR="00C61E21" w:rsidRDefault="00C61E21">
          <w:pPr>
            <w:pStyle w:val="TOC2"/>
            <w:tabs>
              <w:tab w:val="right" w:leader="dot" w:pos="8630"/>
            </w:tabs>
            <w:rPr>
              <w:rFonts w:asciiTheme="minorHAnsi" w:hAnsiTheme="minorHAnsi"/>
              <w:noProof/>
              <w:sz w:val="22"/>
            </w:rPr>
          </w:pPr>
          <w:hyperlink w:anchor="_Toc422957906" w:history="1">
            <w:r w:rsidRPr="009477BD">
              <w:rPr>
                <w:rStyle w:val="Hyperlink"/>
                <w:noProof/>
              </w:rPr>
              <w:t>Control of muscle mass through innervation</w:t>
            </w:r>
            <w:r>
              <w:rPr>
                <w:noProof/>
                <w:webHidden/>
              </w:rPr>
              <w:tab/>
            </w:r>
            <w:r>
              <w:rPr>
                <w:noProof/>
                <w:webHidden/>
              </w:rPr>
              <w:fldChar w:fldCharType="begin"/>
            </w:r>
            <w:r>
              <w:rPr>
                <w:noProof/>
                <w:webHidden/>
              </w:rPr>
              <w:instrText xml:space="preserve"> PAGEREF _Toc422957906 \h </w:instrText>
            </w:r>
            <w:r>
              <w:rPr>
                <w:noProof/>
                <w:webHidden/>
              </w:rPr>
            </w:r>
            <w:r>
              <w:rPr>
                <w:noProof/>
                <w:webHidden/>
              </w:rPr>
              <w:fldChar w:fldCharType="separate"/>
            </w:r>
            <w:r>
              <w:rPr>
                <w:noProof/>
                <w:webHidden/>
              </w:rPr>
              <w:t>58</w:t>
            </w:r>
            <w:r>
              <w:rPr>
                <w:noProof/>
                <w:webHidden/>
              </w:rPr>
              <w:fldChar w:fldCharType="end"/>
            </w:r>
          </w:hyperlink>
        </w:p>
        <w:p w14:paraId="4563670D" w14:textId="77777777" w:rsidR="00C61E21" w:rsidRDefault="00C61E21">
          <w:pPr>
            <w:pStyle w:val="TOC2"/>
            <w:tabs>
              <w:tab w:val="right" w:leader="dot" w:pos="8630"/>
            </w:tabs>
            <w:rPr>
              <w:rFonts w:asciiTheme="minorHAnsi" w:hAnsiTheme="minorHAnsi"/>
              <w:noProof/>
              <w:sz w:val="22"/>
            </w:rPr>
          </w:pPr>
          <w:hyperlink w:anchor="_Toc422957907" w:history="1">
            <w:r w:rsidRPr="009477BD">
              <w:rPr>
                <w:rStyle w:val="Hyperlink"/>
                <w:noProof/>
              </w:rPr>
              <w:t>Animal models of glucocorticoid myopathy</w:t>
            </w:r>
            <w:r>
              <w:rPr>
                <w:noProof/>
                <w:webHidden/>
              </w:rPr>
              <w:tab/>
            </w:r>
            <w:r>
              <w:rPr>
                <w:noProof/>
                <w:webHidden/>
              </w:rPr>
              <w:fldChar w:fldCharType="begin"/>
            </w:r>
            <w:r>
              <w:rPr>
                <w:noProof/>
                <w:webHidden/>
              </w:rPr>
              <w:instrText xml:space="preserve"> PAGEREF _Toc422957907 \h </w:instrText>
            </w:r>
            <w:r>
              <w:rPr>
                <w:noProof/>
                <w:webHidden/>
              </w:rPr>
            </w:r>
            <w:r>
              <w:rPr>
                <w:noProof/>
                <w:webHidden/>
              </w:rPr>
              <w:fldChar w:fldCharType="separate"/>
            </w:r>
            <w:r>
              <w:rPr>
                <w:noProof/>
                <w:webHidden/>
              </w:rPr>
              <w:t>64</w:t>
            </w:r>
            <w:r>
              <w:rPr>
                <w:noProof/>
                <w:webHidden/>
              </w:rPr>
              <w:fldChar w:fldCharType="end"/>
            </w:r>
          </w:hyperlink>
        </w:p>
        <w:p w14:paraId="117532D8" w14:textId="77777777" w:rsidR="00C61E21" w:rsidRDefault="00C61E21">
          <w:pPr>
            <w:pStyle w:val="TOC2"/>
            <w:tabs>
              <w:tab w:val="right" w:leader="dot" w:pos="8630"/>
            </w:tabs>
            <w:rPr>
              <w:rFonts w:asciiTheme="minorHAnsi" w:hAnsiTheme="minorHAnsi"/>
              <w:noProof/>
              <w:sz w:val="22"/>
            </w:rPr>
          </w:pPr>
          <w:hyperlink w:anchor="_Toc422957908" w:history="1">
            <w:r w:rsidRPr="009477BD">
              <w:rPr>
                <w:rStyle w:val="Hyperlink"/>
                <w:noProof/>
              </w:rPr>
              <w:t>Glucocorticoid stimulation of ubiquitin-proteasome system</w:t>
            </w:r>
            <w:r>
              <w:rPr>
                <w:noProof/>
                <w:webHidden/>
              </w:rPr>
              <w:tab/>
            </w:r>
            <w:r>
              <w:rPr>
                <w:noProof/>
                <w:webHidden/>
              </w:rPr>
              <w:fldChar w:fldCharType="begin"/>
            </w:r>
            <w:r>
              <w:rPr>
                <w:noProof/>
                <w:webHidden/>
              </w:rPr>
              <w:instrText xml:space="preserve"> PAGEREF _Toc422957908 \h </w:instrText>
            </w:r>
            <w:r>
              <w:rPr>
                <w:noProof/>
                <w:webHidden/>
              </w:rPr>
            </w:r>
            <w:r>
              <w:rPr>
                <w:noProof/>
                <w:webHidden/>
              </w:rPr>
              <w:fldChar w:fldCharType="separate"/>
            </w:r>
            <w:r>
              <w:rPr>
                <w:noProof/>
                <w:webHidden/>
              </w:rPr>
              <w:t>68</w:t>
            </w:r>
            <w:r>
              <w:rPr>
                <w:noProof/>
                <w:webHidden/>
              </w:rPr>
              <w:fldChar w:fldCharType="end"/>
            </w:r>
          </w:hyperlink>
        </w:p>
        <w:p w14:paraId="582C4921" w14:textId="77777777" w:rsidR="00C61E21" w:rsidRDefault="00C61E21">
          <w:pPr>
            <w:pStyle w:val="TOC2"/>
            <w:tabs>
              <w:tab w:val="right" w:leader="dot" w:pos="8630"/>
            </w:tabs>
            <w:rPr>
              <w:rFonts w:asciiTheme="minorHAnsi" w:hAnsiTheme="minorHAnsi"/>
              <w:noProof/>
              <w:sz w:val="22"/>
            </w:rPr>
          </w:pPr>
          <w:hyperlink w:anchor="_Toc422957909" w:history="1">
            <w:r w:rsidRPr="009477BD">
              <w:rPr>
                <w:rStyle w:val="Hyperlink"/>
                <w:noProof/>
              </w:rPr>
              <w:t>Glucocorticoid-induced loss of sensitivity on the IRS - Akt axis</w:t>
            </w:r>
            <w:r>
              <w:rPr>
                <w:noProof/>
                <w:webHidden/>
              </w:rPr>
              <w:tab/>
            </w:r>
            <w:r>
              <w:rPr>
                <w:noProof/>
                <w:webHidden/>
              </w:rPr>
              <w:fldChar w:fldCharType="begin"/>
            </w:r>
            <w:r>
              <w:rPr>
                <w:noProof/>
                <w:webHidden/>
              </w:rPr>
              <w:instrText xml:space="preserve"> PAGEREF _Toc422957909 \h </w:instrText>
            </w:r>
            <w:r>
              <w:rPr>
                <w:noProof/>
                <w:webHidden/>
              </w:rPr>
            </w:r>
            <w:r>
              <w:rPr>
                <w:noProof/>
                <w:webHidden/>
              </w:rPr>
              <w:fldChar w:fldCharType="separate"/>
            </w:r>
            <w:r>
              <w:rPr>
                <w:noProof/>
                <w:webHidden/>
              </w:rPr>
              <w:t>73</w:t>
            </w:r>
            <w:r>
              <w:rPr>
                <w:noProof/>
                <w:webHidden/>
              </w:rPr>
              <w:fldChar w:fldCharType="end"/>
            </w:r>
          </w:hyperlink>
        </w:p>
        <w:p w14:paraId="35FE6DD3" w14:textId="77777777" w:rsidR="00C61E21" w:rsidRDefault="00C61E21">
          <w:pPr>
            <w:pStyle w:val="TOC2"/>
            <w:tabs>
              <w:tab w:val="right" w:leader="dot" w:pos="8630"/>
            </w:tabs>
            <w:rPr>
              <w:rFonts w:asciiTheme="minorHAnsi" w:hAnsiTheme="minorHAnsi"/>
              <w:noProof/>
              <w:sz w:val="22"/>
            </w:rPr>
          </w:pPr>
          <w:hyperlink w:anchor="_Toc422957910" w:history="1">
            <w:r w:rsidRPr="009477BD">
              <w:rPr>
                <w:rStyle w:val="Hyperlink"/>
                <w:noProof/>
              </w:rPr>
              <w:t>Glucocorticoid inhibition of mTOR</w:t>
            </w:r>
            <w:r>
              <w:rPr>
                <w:noProof/>
                <w:webHidden/>
              </w:rPr>
              <w:tab/>
            </w:r>
            <w:r>
              <w:rPr>
                <w:noProof/>
                <w:webHidden/>
              </w:rPr>
              <w:fldChar w:fldCharType="begin"/>
            </w:r>
            <w:r>
              <w:rPr>
                <w:noProof/>
                <w:webHidden/>
              </w:rPr>
              <w:instrText xml:space="preserve"> PAGEREF _Toc422957910 \h </w:instrText>
            </w:r>
            <w:r>
              <w:rPr>
                <w:noProof/>
                <w:webHidden/>
              </w:rPr>
            </w:r>
            <w:r>
              <w:rPr>
                <w:noProof/>
                <w:webHidden/>
              </w:rPr>
              <w:fldChar w:fldCharType="separate"/>
            </w:r>
            <w:r>
              <w:rPr>
                <w:noProof/>
                <w:webHidden/>
              </w:rPr>
              <w:t>79</w:t>
            </w:r>
            <w:r>
              <w:rPr>
                <w:noProof/>
                <w:webHidden/>
              </w:rPr>
              <w:fldChar w:fldCharType="end"/>
            </w:r>
          </w:hyperlink>
        </w:p>
        <w:p w14:paraId="7CC814A3" w14:textId="77777777" w:rsidR="00C61E21" w:rsidRDefault="00C61E21">
          <w:pPr>
            <w:pStyle w:val="TOC2"/>
            <w:tabs>
              <w:tab w:val="right" w:leader="dot" w:pos="8630"/>
            </w:tabs>
            <w:rPr>
              <w:rFonts w:asciiTheme="minorHAnsi" w:hAnsiTheme="minorHAnsi"/>
              <w:noProof/>
              <w:sz w:val="22"/>
            </w:rPr>
          </w:pPr>
          <w:hyperlink w:anchor="_Toc422957911" w:history="1">
            <w:r w:rsidRPr="009477BD">
              <w:rPr>
                <w:rStyle w:val="Hyperlink"/>
                <w:noProof/>
              </w:rPr>
              <w:t>Glucocorticoid activation of Foxo transcriptional program</w:t>
            </w:r>
            <w:r>
              <w:rPr>
                <w:noProof/>
                <w:webHidden/>
              </w:rPr>
              <w:tab/>
            </w:r>
            <w:r>
              <w:rPr>
                <w:noProof/>
                <w:webHidden/>
              </w:rPr>
              <w:fldChar w:fldCharType="begin"/>
            </w:r>
            <w:r>
              <w:rPr>
                <w:noProof/>
                <w:webHidden/>
              </w:rPr>
              <w:instrText xml:space="preserve"> PAGEREF _Toc422957911 \h </w:instrText>
            </w:r>
            <w:r>
              <w:rPr>
                <w:noProof/>
                <w:webHidden/>
              </w:rPr>
            </w:r>
            <w:r>
              <w:rPr>
                <w:noProof/>
                <w:webHidden/>
              </w:rPr>
              <w:fldChar w:fldCharType="separate"/>
            </w:r>
            <w:r>
              <w:rPr>
                <w:noProof/>
                <w:webHidden/>
              </w:rPr>
              <w:t>83</w:t>
            </w:r>
            <w:r>
              <w:rPr>
                <w:noProof/>
                <w:webHidden/>
              </w:rPr>
              <w:fldChar w:fldCharType="end"/>
            </w:r>
          </w:hyperlink>
        </w:p>
        <w:p w14:paraId="22CC9B04" w14:textId="77777777" w:rsidR="00C61E21" w:rsidRDefault="00C61E21">
          <w:pPr>
            <w:pStyle w:val="TOC2"/>
            <w:tabs>
              <w:tab w:val="right" w:leader="dot" w:pos="8630"/>
            </w:tabs>
            <w:rPr>
              <w:rFonts w:asciiTheme="minorHAnsi" w:hAnsiTheme="minorHAnsi"/>
              <w:noProof/>
              <w:sz w:val="22"/>
            </w:rPr>
          </w:pPr>
          <w:hyperlink w:anchor="_Toc422957912" w:history="1">
            <w:r w:rsidRPr="009477BD">
              <w:rPr>
                <w:rStyle w:val="Hyperlink"/>
                <w:noProof/>
              </w:rPr>
              <w:t>Glucocorticoid activation of myostatin</w:t>
            </w:r>
            <w:r>
              <w:rPr>
                <w:noProof/>
                <w:webHidden/>
              </w:rPr>
              <w:tab/>
            </w:r>
            <w:r>
              <w:rPr>
                <w:noProof/>
                <w:webHidden/>
              </w:rPr>
              <w:fldChar w:fldCharType="begin"/>
            </w:r>
            <w:r>
              <w:rPr>
                <w:noProof/>
                <w:webHidden/>
              </w:rPr>
              <w:instrText xml:space="preserve"> PAGEREF _Toc422957912 \h </w:instrText>
            </w:r>
            <w:r>
              <w:rPr>
                <w:noProof/>
                <w:webHidden/>
              </w:rPr>
            </w:r>
            <w:r>
              <w:rPr>
                <w:noProof/>
                <w:webHidden/>
              </w:rPr>
              <w:fldChar w:fldCharType="separate"/>
            </w:r>
            <w:r>
              <w:rPr>
                <w:noProof/>
                <w:webHidden/>
              </w:rPr>
              <w:t>86</w:t>
            </w:r>
            <w:r>
              <w:rPr>
                <w:noProof/>
                <w:webHidden/>
              </w:rPr>
              <w:fldChar w:fldCharType="end"/>
            </w:r>
          </w:hyperlink>
        </w:p>
        <w:p w14:paraId="1E63AE37" w14:textId="77777777" w:rsidR="00C61E21" w:rsidRDefault="00C61E21">
          <w:pPr>
            <w:pStyle w:val="TOC2"/>
            <w:tabs>
              <w:tab w:val="right" w:leader="dot" w:pos="8630"/>
            </w:tabs>
            <w:rPr>
              <w:rFonts w:asciiTheme="minorHAnsi" w:hAnsiTheme="minorHAnsi"/>
              <w:noProof/>
              <w:sz w:val="22"/>
            </w:rPr>
          </w:pPr>
          <w:hyperlink w:anchor="_Toc422957913" w:history="1">
            <w:r w:rsidRPr="009477BD">
              <w:rPr>
                <w:rStyle w:val="Hyperlink"/>
                <w:noProof/>
              </w:rPr>
              <w:t>Glucocorticoid modulation of protein synthesis</w:t>
            </w:r>
            <w:r>
              <w:rPr>
                <w:noProof/>
                <w:webHidden/>
              </w:rPr>
              <w:tab/>
            </w:r>
            <w:r>
              <w:rPr>
                <w:noProof/>
                <w:webHidden/>
              </w:rPr>
              <w:fldChar w:fldCharType="begin"/>
            </w:r>
            <w:r>
              <w:rPr>
                <w:noProof/>
                <w:webHidden/>
              </w:rPr>
              <w:instrText xml:space="preserve"> PAGEREF _Toc422957913 \h </w:instrText>
            </w:r>
            <w:r>
              <w:rPr>
                <w:noProof/>
                <w:webHidden/>
              </w:rPr>
            </w:r>
            <w:r>
              <w:rPr>
                <w:noProof/>
                <w:webHidden/>
              </w:rPr>
              <w:fldChar w:fldCharType="separate"/>
            </w:r>
            <w:r>
              <w:rPr>
                <w:noProof/>
                <w:webHidden/>
              </w:rPr>
              <w:t>89</w:t>
            </w:r>
            <w:r>
              <w:rPr>
                <w:noProof/>
                <w:webHidden/>
              </w:rPr>
              <w:fldChar w:fldCharType="end"/>
            </w:r>
          </w:hyperlink>
        </w:p>
        <w:p w14:paraId="711F2B93" w14:textId="77777777" w:rsidR="00C61E21" w:rsidRDefault="00C61E21">
          <w:pPr>
            <w:pStyle w:val="TOC2"/>
            <w:tabs>
              <w:tab w:val="right" w:leader="dot" w:pos="8630"/>
            </w:tabs>
            <w:rPr>
              <w:rFonts w:asciiTheme="minorHAnsi" w:hAnsiTheme="minorHAnsi"/>
              <w:noProof/>
              <w:sz w:val="22"/>
            </w:rPr>
          </w:pPr>
          <w:hyperlink w:anchor="_Toc422957914" w:history="1">
            <w:r w:rsidRPr="009477BD">
              <w:rPr>
                <w:rStyle w:val="Hyperlink"/>
                <w:noProof/>
              </w:rPr>
              <w:t>The effects of glucocorticoids on autophagy</w:t>
            </w:r>
            <w:r>
              <w:rPr>
                <w:noProof/>
                <w:webHidden/>
              </w:rPr>
              <w:tab/>
            </w:r>
            <w:r>
              <w:rPr>
                <w:noProof/>
                <w:webHidden/>
              </w:rPr>
              <w:fldChar w:fldCharType="begin"/>
            </w:r>
            <w:r>
              <w:rPr>
                <w:noProof/>
                <w:webHidden/>
              </w:rPr>
              <w:instrText xml:space="preserve"> PAGEREF _Toc422957914 \h </w:instrText>
            </w:r>
            <w:r>
              <w:rPr>
                <w:noProof/>
                <w:webHidden/>
              </w:rPr>
            </w:r>
            <w:r>
              <w:rPr>
                <w:noProof/>
                <w:webHidden/>
              </w:rPr>
              <w:fldChar w:fldCharType="separate"/>
            </w:r>
            <w:r>
              <w:rPr>
                <w:noProof/>
                <w:webHidden/>
              </w:rPr>
              <w:t>94</w:t>
            </w:r>
            <w:r>
              <w:rPr>
                <w:noProof/>
                <w:webHidden/>
              </w:rPr>
              <w:fldChar w:fldCharType="end"/>
            </w:r>
          </w:hyperlink>
        </w:p>
        <w:p w14:paraId="53D79E10" w14:textId="77777777" w:rsidR="00C61E21" w:rsidRDefault="00C61E21">
          <w:pPr>
            <w:pStyle w:val="TOC2"/>
            <w:tabs>
              <w:tab w:val="right" w:leader="dot" w:pos="8630"/>
            </w:tabs>
            <w:rPr>
              <w:rFonts w:asciiTheme="minorHAnsi" w:hAnsiTheme="minorHAnsi"/>
              <w:noProof/>
              <w:sz w:val="22"/>
            </w:rPr>
          </w:pPr>
          <w:hyperlink w:anchor="_Toc422957915" w:history="1">
            <w:r w:rsidRPr="009477BD">
              <w:rPr>
                <w:rStyle w:val="Hyperlink"/>
                <w:noProof/>
              </w:rPr>
              <w:t>Other proteolytic systems modulated by glucocorticoids</w:t>
            </w:r>
            <w:r>
              <w:rPr>
                <w:noProof/>
                <w:webHidden/>
              </w:rPr>
              <w:tab/>
            </w:r>
            <w:r>
              <w:rPr>
                <w:noProof/>
                <w:webHidden/>
              </w:rPr>
              <w:fldChar w:fldCharType="begin"/>
            </w:r>
            <w:r>
              <w:rPr>
                <w:noProof/>
                <w:webHidden/>
              </w:rPr>
              <w:instrText xml:space="preserve"> PAGEREF _Toc422957915 \h </w:instrText>
            </w:r>
            <w:r>
              <w:rPr>
                <w:noProof/>
                <w:webHidden/>
              </w:rPr>
            </w:r>
            <w:r>
              <w:rPr>
                <w:noProof/>
                <w:webHidden/>
              </w:rPr>
              <w:fldChar w:fldCharType="separate"/>
            </w:r>
            <w:r>
              <w:rPr>
                <w:noProof/>
                <w:webHidden/>
              </w:rPr>
              <w:t>96</w:t>
            </w:r>
            <w:r>
              <w:rPr>
                <w:noProof/>
                <w:webHidden/>
              </w:rPr>
              <w:fldChar w:fldCharType="end"/>
            </w:r>
          </w:hyperlink>
        </w:p>
        <w:p w14:paraId="11D7A8CD" w14:textId="77777777" w:rsidR="00C61E21" w:rsidRDefault="00C61E21">
          <w:pPr>
            <w:pStyle w:val="TOC2"/>
            <w:tabs>
              <w:tab w:val="right" w:leader="dot" w:pos="8630"/>
            </w:tabs>
            <w:rPr>
              <w:rFonts w:asciiTheme="minorHAnsi" w:hAnsiTheme="minorHAnsi"/>
              <w:noProof/>
              <w:sz w:val="22"/>
            </w:rPr>
          </w:pPr>
          <w:hyperlink w:anchor="_Toc422957916" w:history="1">
            <w:r w:rsidRPr="009477BD">
              <w:rPr>
                <w:rStyle w:val="Hyperlink"/>
                <w:noProof/>
              </w:rPr>
              <w:t>Alleviation of glucocorticoid myopathy by IGF-I</w:t>
            </w:r>
            <w:r>
              <w:rPr>
                <w:noProof/>
                <w:webHidden/>
              </w:rPr>
              <w:tab/>
            </w:r>
            <w:r>
              <w:rPr>
                <w:noProof/>
                <w:webHidden/>
              </w:rPr>
              <w:fldChar w:fldCharType="begin"/>
            </w:r>
            <w:r>
              <w:rPr>
                <w:noProof/>
                <w:webHidden/>
              </w:rPr>
              <w:instrText xml:space="preserve"> PAGEREF _Toc422957916 \h </w:instrText>
            </w:r>
            <w:r>
              <w:rPr>
                <w:noProof/>
                <w:webHidden/>
              </w:rPr>
            </w:r>
            <w:r>
              <w:rPr>
                <w:noProof/>
                <w:webHidden/>
              </w:rPr>
              <w:fldChar w:fldCharType="separate"/>
            </w:r>
            <w:r>
              <w:rPr>
                <w:noProof/>
                <w:webHidden/>
              </w:rPr>
              <w:t>98</w:t>
            </w:r>
            <w:r>
              <w:rPr>
                <w:noProof/>
                <w:webHidden/>
              </w:rPr>
              <w:fldChar w:fldCharType="end"/>
            </w:r>
          </w:hyperlink>
        </w:p>
        <w:p w14:paraId="197383E9" w14:textId="77777777" w:rsidR="00C61E21" w:rsidRDefault="00C61E21">
          <w:pPr>
            <w:pStyle w:val="TOC2"/>
            <w:tabs>
              <w:tab w:val="right" w:leader="dot" w:pos="8630"/>
            </w:tabs>
            <w:rPr>
              <w:rFonts w:asciiTheme="minorHAnsi" w:hAnsiTheme="minorHAnsi"/>
              <w:noProof/>
              <w:sz w:val="22"/>
            </w:rPr>
          </w:pPr>
          <w:hyperlink w:anchor="_Toc422957917" w:history="1">
            <w:r w:rsidRPr="009477BD">
              <w:rPr>
                <w:rStyle w:val="Hyperlink"/>
                <w:noProof/>
              </w:rPr>
              <w:t>Alleviation of glucocorticoid myopathy by anabolic steroids</w:t>
            </w:r>
            <w:r>
              <w:rPr>
                <w:noProof/>
                <w:webHidden/>
              </w:rPr>
              <w:tab/>
            </w:r>
            <w:r>
              <w:rPr>
                <w:noProof/>
                <w:webHidden/>
              </w:rPr>
              <w:fldChar w:fldCharType="begin"/>
            </w:r>
            <w:r>
              <w:rPr>
                <w:noProof/>
                <w:webHidden/>
              </w:rPr>
              <w:instrText xml:space="preserve"> PAGEREF _Toc422957917 \h </w:instrText>
            </w:r>
            <w:r>
              <w:rPr>
                <w:noProof/>
                <w:webHidden/>
              </w:rPr>
            </w:r>
            <w:r>
              <w:rPr>
                <w:noProof/>
                <w:webHidden/>
              </w:rPr>
              <w:fldChar w:fldCharType="separate"/>
            </w:r>
            <w:r>
              <w:rPr>
                <w:noProof/>
                <w:webHidden/>
              </w:rPr>
              <w:t>100</w:t>
            </w:r>
            <w:r>
              <w:rPr>
                <w:noProof/>
                <w:webHidden/>
              </w:rPr>
              <w:fldChar w:fldCharType="end"/>
            </w:r>
          </w:hyperlink>
        </w:p>
        <w:p w14:paraId="7F984766" w14:textId="77777777" w:rsidR="00C61E21" w:rsidRDefault="00C61E21">
          <w:pPr>
            <w:pStyle w:val="TOC1"/>
            <w:tabs>
              <w:tab w:val="right" w:leader="dot" w:pos="8630"/>
            </w:tabs>
            <w:rPr>
              <w:rFonts w:asciiTheme="minorHAnsi" w:hAnsiTheme="minorHAnsi"/>
              <w:noProof/>
              <w:sz w:val="22"/>
              <w:szCs w:val="22"/>
            </w:rPr>
          </w:pPr>
          <w:hyperlink w:anchor="_Toc422957918" w:history="1">
            <w:r w:rsidRPr="009477BD">
              <w:rPr>
                <w:rStyle w:val="Hyperlink"/>
                <w:noProof/>
              </w:rPr>
              <w:t>HYPOTHESES</w:t>
            </w:r>
            <w:r>
              <w:rPr>
                <w:noProof/>
                <w:webHidden/>
              </w:rPr>
              <w:tab/>
            </w:r>
            <w:r>
              <w:rPr>
                <w:noProof/>
                <w:webHidden/>
              </w:rPr>
              <w:fldChar w:fldCharType="begin"/>
            </w:r>
            <w:r>
              <w:rPr>
                <w:noProof/>
                <w:webHidden/>
              </w:rPr>
              <w:instrText xml:space="preserve"> PAGEREF _Toc422957918 \h </w:instrText>
            </w:r>
            <w:r>
              <w:rPr>
                <w:noProof/>
                <w:webHidden/>
              </w:rPr>
            </w:r>
            <w:r>
              <w:rPr>
                <w:noProof/>
                <w:webHidden/>
              </w:rPr>
              <w:fldChar w:fldCharType="separate"/>
            </w:r>
            <w:r>
              <w:rPr>
                <w:noProof/>
                <w:webHidden/>
              </w:rPr>
              <w:t>107</w:t>
            </w:r>
            <w:r>
              <w:rPr>
                <w:noProof/>
                <w:webHidden/>
              </w:rPr>
              <w:fldChar w:fldCharType="end"/>
            </w:r>
          </w:hyperlink>
        </w:p>
        <w:p w14:paraId="0FF81862" w14:textId="77777777" w:rsidR="00C61E21" w:rsidRDefault="00C61E21">
          <w:pPr>
            <w:pStyle w:val="TOC1"/>
            <w:tabs>
              <w:tab w:val="right" w:leader="dot" w:pos="8630"/>
            </w:tabs>
            <w:rPr>
              <w:rFonts w:asciiTheme="minorHAnsi" w:hAnsiTheme="minorHAnsi"/>
              <w:noProof/>
              <w:sz w:val="22"/>
              <w:szCs w:val="22"/>
            </w:rPr>
          </w:pPr>
          <w:hyperlink w:anchor="_Toc422957919" w:history="1">
            <w:r w:rsidRPr="009477BD">
              <w:rPr>
                <w:rStyle w:val="Hyperlink"/>
                <w:noProof/>
              </w:rPr>
              <w:t>METHODS</w:t>
            </w:r>
            <w:r>
              <w:rPr>
                <w:noProof/>
                <w:webHidden/>
              </w:rPr>
              <w:tab/>
            </w:r>
            <w:r>
              <w:rPr>
                <w:noProof/>
                <w:webHidden/>
              </w:rPr>
              <w:fldChar w:fldCharType="begin"/>
            </w:r>
            <w:r>
              <w:rPr>
                <w:noProof/>
                <w:webHidden/>
              </w:rPr>
              <w:instrText xml:space="preserve"> PAGEREF _Toc422957919 \h </w:instrText>
            </w:r>
            <w:r>
              <w:rPr>
                <w:noProof/>
                <w:webHidden/>
              </w:rPr>
            </w:r>
            <w:r>
              <w:rPr>
                <w:noProof/>
                <w:webHidden/>
              </w:rPr>
              <w:fldChar w:fldCharType="separate"/>
            </w:r>
            <w:r>
              <w:rPr>
                <w:noProof/>
                <w:webHidden/>
              </w:rPr>
              <w:t>110</w:t>
            </w:r>
            <w:r>
              <w:rPr>
                <w:noProof/>
                <w:webHidden/>
              </w:rPr>
              <w:fldChar w:fldCharType="end"/>
            </w:r>
          </w:hyperlink>
        </w:p>
        <w:p w14:paraId="3BCC12B0" w14:textId="77777777" w:rsidR="00C61E21" w:rsidRDefault="00C61E21">
          <w:pPr>
            <w:pStyle w:val="TOC2"/>
            <w:tabs>
              <w:tab w:val="right" w:leader="dot" w:pos="8630"/>
            </w:tabs>
            <w:rPr>
              <w:rFonts w:asciiTheme="minorHAnsi" w:hAnsiTheme="minorHAnsi"/>
              <w:noProof/>
              <w:sz w:val="22"/>
            </w:rPr>
          </w:pPr>
          <w:hyperlink w:anchor="_Toc422957920" w:history="1">
            <w:r w:rsidRPr="009477BD">
              <w:rPr>
                <w:rStyle w:val="Hyperlink"/>
                <w:noProof/>
              </w:rPr>
              <w:t>Ethical considerations</w:t>
            </w:r>
            <w:r>
              <w:rPr>
                <w:noProof/>
                <w:webHidden/>
              </w:rPr>
              <w:tab/>
            </w:r>
            <w:r>
              <w:rPr>
                <w:noProof/>
                <w:webHidden/>
              </w:rPr>
              <w:fldChar w:fldCharType="begin"/>
            </w:r>
            <w:r>
              <w:rPr>
                <w:noProof/>
                <w:webHidden/>
              </w:rPr>
              <w:instrText xml:space="preserve"> PAGEREF _Toc422957920 \h </w:instrText>
            </w:r>
            <w:r>
              <w:rPr>
                <w:noProof/>
                <w:webHidden/>
              </w:rPr>
            </w:r>
            <w:r>
              <w:rPr>
                <w:noProof/>
                <w:webHidden/>
              </w:rPr>
              <w:fldChar w:fldCharType="separate"/>
            </w:r>
            <w:r>
              <w:rPr>
                <w:noProof/>
                <w:webHidden/>
              </w:rPr>
              <w:t>110</w:t>
            </w:r>
            <w:r>
              <w:rPr>
                <w:noProof/>
                <w:webHidden/>
              </w:rPr>
              <w:fldChar w:fldCharType="end"/>
            </w:r>
          </w:hyperlink>
        </w:p>
        <w:p w14:paraId="1EF5AE6D" w14:textId="77777777" w:rsidR="00C61E21" w:rsidRDefault="00C61E21">
          <w:pPr>
            <w:pStyle w:val="TOC2"/>
            <w:tabs>
              <w:tab w:val="right" w:leader="dot" w:pos="8630"/>
            </w:tabs>
            <w:rPr>
              <w:rFonts w:asciiTheme="minorHAnsi" w:hAnsiTheme="minorHAnsi"/>
              <w:noProof/>
              <w:sz w:val="22"/>
            </w:rPr>
          </w:pPr>
          <w:hyperlink w:anchor="_Toc422957921" w:history="1">
            <w:r w:rsidRPr="009477BD">
              <w:rPr>
                <w:rStyle w:val="Hyperlink"/>
                <w:noProof/>
              </w:rPr>
              <w:t>Animal studies</w:t>
            </w:r>
            <w:r>
              <w:rPr>
                <w:noProof/>
                <w:webHidden/>
              </w:rPr>
              <w:tab/>
            </w:r>
            <w:r>
              <w:rPr>
                <w:noProof/>
                <w:webHidden/>
              </w:rPr>
              <w:fldChar w:fldCharType="begin"/>
            </w:r>
            <w:r>
              <w:rPr>
                <w:noProof/>
                <w:webHidden/>
              </w:rPr>
              <w:instrText xml:space="preserve"> PAGEREF _Toc422957921 \h </w:instrText>
            </w:r>
            <w:r>
              <w:rPr>
                <w:noProof/>
                <w:webHidden/>
              </w:rPr>
            </w:r>
            <w:r>
              <w:rPr>
                <w:noProof/>
                <w:webHidden/>
              </w:rPr>
              <w:fldChar w:fldCharType="separate"/>
            </w:r>
            <w:r>
              <w:rPr>
                <w:noProof/>
                <w:webHidden/>
              </w:rPr>
              <w:t>110</w:t>
            </w:r>
            <w:r>
              <w:rPr>
                <w:noProof/>
                <w:webHidden/>
              </w:rPr>
              <w:fldChar w:fldCharType="end"/>
            </w:r>
          </w:hyperlink>
        </w:p>
        <w:p w14:paraId="52313FD2" w14:textId="77777777" w:rsidR="00C61E21" w:rsidRDefault="00C61E21">
          <w:pPr>
            <w:pStyle w:val="TOC2"/>
            <w:tabs>
              <w:tab w:val="right" w:leader="dot" w:pos="8630"/>
            </w:tabs>
            <w:rPr>
              <w:rFonts w:asciiTheme="minorHAnsi" w:hAnsiTheme="minorHAnsi"/>
              <w:noProof/>
              <w:sz w:val="22"/>
            </w:rPr>
          </w:pPr>
          <w:hyperlink w:anchor="_Toc422957922" w:history="1">
            <w:r w:rsidRPr="009477BD">
              <w:rPr>
                <w:rStyle w:val="Hyperlink"/>
                <w:noProof/>
              </w:rPr>
              <w:t>Enzymatic assays</w:t>
            </w:r>
            <w:r>
              <w:rPr>
                <w:noProof/>
                <w:webHidden/>
              </w:rPr>
              <w:tab/>
            </w:r>
            <w:r>
              <w:rPr>
                <w:noProof/>
                <w:webHidden/>
              </w:rPr>
              <w:fldChar w:fldCharType="begin"/>
            </w:r>
            <w:r>
              <w:rPr>
                <w:noProof/>
                <w:webHidden/>
              </w:rPr>
              <w:instrText xml:space="preserve"> PAGEREF _Toc422957922 \h </w:instrText>
            </w:r>
            <w:r>
              <w:rPr>
                <w:noProof/>
                <w:webHidden/>
              </w:rPr>
            </w:r>
            <w:r>
              <w:rPr>
                <w:noProof/>
                <w:webHidden/>
              </w:rPr>
              <w:fldChar w:fldCharType="separate"/>
            </w:r>
            <w:r>
              <w:rPr>
                <w:noProof/>
                <w:webHidden/>
              </w:rPr>
              <w:t>112</w:t>
            </w:r>
            <w:r>
              <w:rPr>
                <w:noProof/>
                <w:webHidden/>
              </w:rPr>
              <w:fldChar w:fldCharType="end"/>
            </w:r>
          </w:hyperlink>
        </w:p>
        <w:p w14:paraId="466A4C48" w14:textId="77777777" w:rsidR="00C61E21" w:rsidRDefault="00C61E21">
          <w:pPr>
            <w:pStyle w:val="TOC2"/>
            <w:tabs>
              <w:tab w:val="right" w:leader="dot" w:pos="8630"/>
            </w:tabs>
            <w:rPr>
              <w:rFonts w:asciiTheme="minorHAnsi" w:hAnsiTheme="minorHAnsi"/>
              <w:noProof/>
              <w:sz w:val="22"/>
            </w:rPr>
          </w:pPr>
          <w:hyperlink w:anchor="_Toc422957923" w:history="1">
            <w:r w:rsidRPr="009477BD">
              <w:rPr>
                <w:rStyle w:val="Hyperlink"/>
                <w:noProof/>
              </w:rPr>
              <w:t>Immunoblot</w:t>
            </w:r>
            <w:r>
              <w:rPr>
                <w:noProof/>
                <w:webHidden/>
              </w:rPr>
              <w:tab/>
            </w:r>
            <w:r>
              <w:rPr>
                <w:noProof/>
                <w:webHidden/>
              </w:rPr>
              <w:fldChar w:fldCharType="begin"/>
            </w:r>
            <w:r>
              <w:rPr>
                <w:noProof/>
                <w:webHidden/>
              </w:rPr>
              <w:instrText xml:space="preserve"> PAGEREF _Toc422957923 \h </w:instrText>
            </w:r>
            <w:r>
              <w:rPr>
                <w:noProof/>
                <w:webHidden/>
              </w:rPr>
            </w:r>
            <w:r>
              <w:rPr>
                <w:noProof/>
                <w:webHidden/>
              </w:rPr>
              <w:fldChar w:fldCharType="separate"/>
            </w:r>
            <w:r>
              <w:rPr>
                <w:noProof/>
                <w:webHidden/>
              </w:rPr>
              <w:t>114</w:t>
            </w:r>
            <w:r>
              <w:rPr>
                <w:noProof/>
                <w:webHidden/>
              </w:rPr>
              <w:fldChar w:fldCharType="end"/>
            </w:r>
          </w:hyperlink>
        </w:p>
        <w:p w14:paraId="76FD3CB2" w14:textId="77777777" w:rsidR="00C61E21" w:rsidRDefault="00C61E21">
          <w:pPr>
            <w:pStyle w:val="TOC2"/>
            <w:tabs>
              <w:tab w:val="right" w:leader="dot" w:pos="8630"/>
            </w:tabs>
            <w:rPr>
              <w:rFonts w:asciiTheme="minorHAnsi" w:hAnsiTheme="minorHAnsi"/>
              <w:noProof/>
              <w:sz w:val="22"/>
            </w:rPr>
          </w:pPr>
          <w:hyperlink w:anchor="_Toc422957924" w:history="1">
            <w:r w:rsidRPr="009477BD">
              <w:rPr>
                <w:rStyle w:val="Hyperlink"/>
                <w:noProof/>
              </w:rPr>
              <w:t>Quantitative real-time polymerase chain reaction</w:t>
            </w:r>
            <w:r>
              <w:rPr>
                <w:noProof/>
                <w:webHidden/>
              </w:rPr>
              <w:tab/>
            </w:r>
            <w:r>
              <w:rPr>
                <w:noProof/>
                <w:webHidden/>
              </w:rPr>
              <w:fldChar w:fldCharType="begin"/>
            </w:r>
            <w:r>
              <w:rPr>
                <w:noProof/>
                <w:webHidden/>
              </w:rPr>
              <w:instrText xml:space="preserve"> PAGEREF _Toc422957924 \h </w:instrText>
            </w:r>
            <w:r>
              <w:rPr>
                <w:noProof/>
                <w:webHidden/>
              </w:rPr>
            </w:r>
            <w:r>
              <w:rPr>
                <w:noProof/>
                <w:webHidden/>
              </w:rPr>
              <w:fldChar w:fldCharType="separate"/>
            </w:r>
            <w:r>
              <w:rPr>
                <w:noProof/>
                <w:webHidden/>
              </w:rPr>
              <w:t>118</w:t>
            </w:r>
            <w:r>
              <w:rPr>
                <w:noProof/>
                <w:webHidden/>
              </w:rPr>
              <w:fldChar w:fldCharType="end"/>
            </w:r>
          </w:hyperlink>
        </w:p>
        <w:p w14:paraId="6C0E70FF" w14:textId="77777777" w:rsidR="00C61E21" w:rsidRDefault="00C61E21">
          <w:pPr>
            <w:pStyle w:val="TOC2"/>
            <w:tabs>
              <w:tab w:val="right" w:leader="dot" w:pos="8630"/>
            </w:tabs>
            <w:rPr>
              <w:rFonts w:asciiTheme="minorHAnsi" w:hAnsiTheme="minorHAnsi"/>
              <w:noProof/>
              <w:sz w:val="22"/>
            </w:rPr>
          </w:pPr>
          <w:hyperlink w:anchor="_Toc422957925" w:history="1">
            <w:r w:rsidRPr="009477BD">
              <w:rPr>
                <w:rStyle w:val="Hyperlink"/>
                <w:noProof/>
              </w:rPr>
              <w:t>Cell culture studies</w:t>
            </w:r>
            <w:r>
              <w:rPr>
                <w:noProof/>
                <w:webHidden/>
              </w:rPr>
              <w:tab/>
            </w:r>
            <w:r>
              <w:rPr>
                <w:noProof/>
                <w:webHidden/>
              </w:rPr>
              <w:fldChar w:fldCharType="begin"/>
            </w:r>
            <w:r>
              <w:rPr>
                <w:noProof/>
                <w:webHidden/>
              </w:rPr>
              <w:instrText xml:space="preserve"> PAGEREF _Toc422957925 \h </w:instrText>
            </w:r>
            <w:r>
              <w:rPr>
                <w:noProof/>
                <w:webHidden/>
              </w:rPr>
            </w:r>
            <w:r>
              <w:rPr>
                <w:noProof/>
                <w:webHidden/>
              </w:rPr>
              <w:fldChar w:fldCharType="separate"/>
            </w:r>
            <w:r>
              <w:rPr>
                <w:noProof/>
                <w:webHidden/>
              </w:rPr>
              <w:t>121</w:t>
            </w:r>
            <w:r>
              <w:rPr>
                <w:noProof/>
                <w:webHidden/>
              </w:rPr>
              <w:fldChar w:fldCharType="end"/>
            </w:r>
          </w:hyperlink>
        </w:p>
        <w:p w14:paraId="0111DC0E" w14:textId="77777777" w:rsidR="00C61E21" w:rsidRDefault="00C61E21">
          <w:pPr>
            <w:pStyle w:val="TOC2"/>
            <w:tabs>
              <w:tab w:val="right" w:leader="dot" w:pos="8630"/>
            </w:tabs>
            <w:rPr>
              <w:rFonts w:asciiTheme="minorHAnsi" w:hAnsiTheme="minorHAnsi"/>
              <w:noProof/>
              <w:sz w:val="22"/>
            </w:rPr>
          </w:pPr>
          <w:hyperlink w:anchor="_Toc422957926" w:history="1">
            <w:r w:rsidRPr="009477BD">
              <w:rPr>
                <w:rStyle w:val="Hyperlink"/>
                <w:noProof/>
              </w:rPr>
              <w:t>Immunofluorescence microscopy</w:t>
            </w:r>
            <w:r>
              <w:rPr>
                <w:noProof/>
                <w:webHidden/>
              </w:rPr>
              <w:tab/>
            </w:r>
            <w:r>
              <w:rPr>
                <w:noProof/>
                <w:webHidden/>
              </w:rPr>
              <w:fldChar w:fldCharType="begin"/>
            </w:r>
            <w:r>
              <w:rPr>
                <w:noProof/>
                <w:webHidden/>
              </w:rPr>
              <w:instrText xml:space="preserve"> PAGEREF _Toc422957926 \h </w:instrText>
            </w:r>
            <w:r>
              <w:rPr>
                <w:noProof/>
                <w:webHidden/>
              </w:rPr>
            </w:r>
            <w:r>
              <w:rPr>
                <w:noProof/>
                <w:webHidden/>
              </w:rPr>
              <w:fldChar w:fldCharType="separate"/>
            </w:r>
            <w:r>
              <w:rPr>
                <w:noProof/>
                <w:webHidden/>
              </w:rPr>
              <w:t>123</w:t>
            </w:r>
            <w:r>
              <w:rPr>
                <w:noProof/>
                <w:webHidden/>
              </w:rPr>
              <w:fldChar w:fldCharType="end"/>
            </w:r>
          </w:hyperlink>
        </w:p>
        <w:p w14:paraId="2533AA7A" w14:textId="77777777" w:rsidR="00C61E21" w:rsidRDefault="00C61E21">
          <w:pPr>
            <w:pStyle w:val="TOC2"/>
            <w:tabs>
              <w:tab w:val="right" w:leader="dot" w:pos="8630"/>
            </w:tabs>
            <w:rPr>
              <w:rFonts w:asciiTheme="minorHAnsi" w:hAnsiTheme="minorHAnsi"/>
              <w:noProof/>
              <w:sz w:val="22"/>
            </w:rPr>
          </w:pPr>
          <w:hyperlink w:anchor="_Toc422957927" w:history="1">
            <w:r w:rsidRPr="009477BD">
              <w:rPr>
                <w:rStyle w:val="Hyperlink"/>
                <w:noProof/>
              </w:rPr>
              <w:t>Measurement of muscle protein synthesis and degradation</w:t>
            </w:r>
            <w:r>
              <w:rPr>
                <w:noProof/>
                <w:webHidden/>
              </w:rPr>
              <w:tab/>
            </w:r>
            <w:r>
              <w:rPr>
                <w:noProof/>
                <w:webHidden/>
              </w:rPr>
              <w:fldChar w:fldCharType="begin"/>
            </w:r>
            <w:r>
              <w:rPr>
                <w:noProof/>
                <w:webHidden/>
              </w:rPr>
              <w:instrText xml:space="preserve"> PAGEREF _Toc422957927 \h </w:instrText>
            </w:r>
            <w:r>
              <w:rPr>
                <w:noProof/>
                <w:webHidden/>
              </w:rPr>
            </w:r>
            <w:r>
              <w:rPr>
                <w:noProof/>
                <w:webHidden/>
              </w:rPr>
              <w:fldChar w:fldCharType="separate"/>
            </w:r>
            <w:r>
              <w:rPr>
                <w:noProof/>
                <w:webHidden/>
              </w:rPr>
              <w:t>124</w:t>
            </w:r>
            <w:r>
              <w:rPr>
                <w:noProof/>
                <w:webHidden/>
              </w:rPr>
              <w:fldChar w:fldCharType="end"/>
            </w:r>
          </w:hyperlink>
        </w:p>
        <w:p w14:paraId="4A1FD64C" w14:textId="77777777" w:rsidR="00C61E21" w:rsidRDefault="00C61E21">
          <w:pPr>
            <w:pStyle w:val="TOC2"/>
            <w:tabs>
              <w:tab w:val="right" w:leader="dot" w:pos="8630"/>
            </w:tabs>
            <w:rPr>
              <w:rFonts w:asciiTheme="minorHAnsi" w:hAnsiTheme="minorHAnsi"/>
              <w:noProof/>
              <w:sz w:val="22"/>
            </w:rPr>
          </w:pPr>
          <w:hyperlink w:anchor="_Toc422957928" w:history="1">
            <w:r w:rsidRPr="009477BD">
              <w:rPr>
                <w:rStyle w:val="Hyperlink"/>
                <w:noProof/>
              </w:rPr>
              <w:t>Statistics</w:t>
            </w:r>
            <w:r>
              <w:rPr>
                <w:noProof/>
                <w:webHidden/>
              </w:rPr>
              <w:tab/>
            </w:r>
            <w:r>
              <w:rPr>
                <w:noProof/>
                <w:webHidden/>
              </w:rPr>
              <w:fldChar w:fldCharType="begin"/>
            </w:r>
            <w:r>
              <w:rPr>
                <w:noProof/>
                <w:webHidden/>
              </w:rPr>
              <w:instrText xml:space="preserve"> PAGEREF _Toc422957928 \h </w:instrText>
            </w:r>
            <w:r>
              <w:rPr>
                <w:noProof/>
                <w:webHidden/>
              </w:rPr>
            </w:r>
            <w:r>
              <w:rPr>
                <w:noProof/>
                <w:webHidden/>
              </w:rPr>
              <w:fldChar w:fldCharType="separate"/>
            </w:r>
            <w:r>
              <w:rPr>
                <w:noProof/>
                <w:webHidden/>
              </w:rPr>
              <w:t>126</w:t>
            </w:r>
            <w:r>
              <w:rPr>
                <w:noProof/>
                <w:webHidden/>
              </w:rPr>
              <w:fldChar w:fldCharType="end"/>
            </w:r>
          </w:hyperlink>
        </w:p>
        <w:p w14:paraId="426D0DFE" w14:textId="77777777" w:rsidR="00C61E21" w:rsidRDefault="00C61E21">
          <w:pPr>
            <w:pStyle w:val="TOC2"/>
            <w:tabs>
              <w:tab w:val="right" w:leader="dot" w:pos="8630"/>
            </w:tabs>
            <w:rPr>
              <w:rFonts w:asciiTheme="minorHAnsi" w:hAnsiTheme="minorHAnsi"/>
              <w:noProof/>
              <w:sz w:val="22"/>
            </w:rPr>
          </w:pPr>
          <w:hyperlink w:anchor="_Toc422957929" w:history="1">
            <w:r w:rsidRPr="009477BD">
              <w:rPr>
                <w:rStyle w:val="Hyperlink"/>
                <w:noProof/>
              </w:rPr>
              <w:t>Literature review</w:t>
            </w:r>
            <w:r>
              <w:rPr>
                <w:noProof/>
                <w:webHidden/>
              </w:rPr>
              <w:tab/>
            </w:r>
            <w:r>
              <w:rPr>
                <w:noProof/>
                <w:webHidden/>
              </w:rPr>
              <w:fldChar w:fldCharType="begin"/>
            </w:r>
            <w:r>
              <w:rPr>
                <w:noProof/>
                <w:webHidden/>
              </w:rPr>
              <w:instrText xml:space="preserve"> PAGEREF _Toc422957929 \h </w:instrText>
            </w:r>
            <w:r>
              <w:rPr>
                <w:noProof/>
                <w:webHidden/>
              </w:rPr>
            </w:r>
            <w:r>
              <w:rPr>
                <w:noProof/>
                <w:webHidden/>
              </w:rPr>
              <w:fldChar w:fldCharType="separate"/>
            </w:r>
            <w:r>
              <w:rPr>
                <w:noProof/>
                <w:webHidden/>
              </w:rPr>
              <w:t>126</w:t>
            </w:r>
            <w:r>
              <w:rPr>
                <w:noProof/>
                <w:webHidden/>
              </w:rPr>
              <w:fldChar w:fldCharType="end"/>
            </w:r>
          </w:hyperlink>
        </w:p>
        <w:p w14:paraId="6CBEAC7A" w14:textId="77777777" w:rsidR="00C61E21" w:rsidRDefault="00C61E21">
          <w:pPr>
            <w:pStyle w:val="TOC1"/>
            <w:tabs>
              <w:tab w:val="right" w:leader="dot" w:pos="8630"/>
            </w:tabs>
            <w:rPr>
              <w:rFonts w:asciiTheme="minorHAnsi" w:hAnsiTheme="minorHAnsi"/>
              <w:noProof/>
              <w:sz w:val="22"/>
              <w:szCs w:val="22"/>
            </w:rPr>
          </w:pPr>
          <w:hyperlink w:anchor="_Toc422957930" w:history="1">
            <w:r w:rsidRPr="009477BD">
              <w:rPr>
                <w:rStyle w:val="Hyperlink"/>
                <w:noProof/>
              </w:rPr>
              <w:t>IN VIVO EXPERIMENTS</w:t>
            </w:r>
            <w:r>
              <w:rPr>
                <w:noProof/>
                <w:webHidden/>
              </w:rPr>
              <w:tab/>
            </w:r>
            <w:r>
              <w:rPr>
                <w:noProof/>
                <w:webHidden/>
              </w:rPr>
              <w:fldChar w:fldCharType="begin"/>
            </w:r>
            <w:r>
              <w:rPr>
                <w:noProof/>
                <w:webHidden/>
              </w:rPr>
              <w:instrText xml:space="preserve"> PAGEREF _Toc422957930 \h </w:instrText>
            </w:r>
            <w:r>
              <w:rPr>
                <w:noProof/>
                <w:webHidden/>
              </w:rPr>
            </w:r>
            <w:r>
              <w:rPr>
                <w:noProof/>
                <w:webHidden/>
              </w:rPr>
              <w:fldChar w:fldCharType="separate"/>
            </w:r>
            <w:r>
              <w:rPr>
                <w:noProof/>
                <w:webHidden/>
              </w:rPr>
              <w:t>127</w:t>
            </w:r>
            <w:r>
              <w:rPr>
                <w:noProof/>
                <w:webHidden/>
              </w:rPr>
              <w:fldChar w:fldCharType="end"/>
            </w:r>
          </w:hyperlink>
        </w:p>
        <w:p w14:paraId="69EBB10A" w14:textId="77777777" w:rsidR="00C61E21" w:rsidRDefault="00C61E21">
          <w:pPr>
            <w:pStyle w:val="TOC2"/>
            <w:tabs>
              <w:tab w:val="right" w:leader="dot" w:pos="8630"/>
            </w:tabs>
            <w:rPr>
              <w:rFonts w:asciiTheme="minorHAnsi" w:hAnsiTheme="minorHAnsi"/>
              <w:noProof/>
              <w:sz w:val="22"/>
            </w:rPr>
          </w:pPr>
          <w:hyperlink w:anchor="_Toc422957931" w:history="1">
            <w:r w:rsidRPr="009477BD">
              <w:rPr>
                <w:rStyle w:val="Hyperlink"/>
                <w:noProof/>
              </w:rPr>
              <w:t>Testosterone reverses dexamethasone-induced muscle atrophy</w:t>
            </w:r>
            <w:r>
              <w:rPr>
                <w:noProof/>
                <w:webHidden/>
              </w:rPr>
              <w:tab/>
            </w:r>
            <w:r>
              <w:rPr>
                <w:noProof/>
                <w:webHidden/>
              </w:rPr>
              <w:fldChar w:fldCharType="begin"/>
            </w:r>
            <w:r>
              <w:rPr>
                <w:noProof/>
                <w:webHidden/>
              </w:rPr>
              <w:instrText xml:space="preserve"> PAGEREF _Toc422957931 \h </w:instrText>
            </w:r>
            <w:r>
              <w:rPr>
                <w:noProof/>
                <w:webHidden/>
              </w:rPr>
            </w:r>
            <w:r>
              <w:rPr>
                <w:noProof/>
                <w:webHidden/>
              </w:rPr>
              <w:fldChar w:fldCharType="separate"/>
            </w:r>
            <w:r>
              <w:rPr>
                <w:noProof/>
                <w:webHidden/>
              </w:rPr>
              <w:t>127</w:t>
            </w:r>
            <w:r>
              <w:rPr>
                <w:noProof/>
                <w:webHidden/>
              </w:rPr>
              <w:fldChar w:fldCharType="end"/>
            </w:r>
          </w:hyperlink>
        </w:p>
        <w:p w14:paraId="11F3BC0E" w14:textId="77777777" w:rsidR="00C61E21" w:rsidRDefault="00C61E21">
          <w:pPr>
            <w:pStyle w:val="TOC1"/>
            <w:tabs>
              <w:tab w:val="right" w:leader="dot" w:pos="8630"/>
            </w:tabs>
            <w:rPr>
              <w:rFonts w:asciiTheme="minorHAnsi" w:hAnsiTheme="minorHAnsi"/>
              <w:noProof/>
              <w:sz w:val="22"/>
              <w:szCs w:val="22"/>
            </w:rPr>
          </w:pPr>
          <w:hyperlink w:anchor="_Toc422957932" w:history="1">
            <w:r w:rsidRPr="009477BD">
              <w:rPr>
                <w:rStyle w:val="Hyperlink"/>
                <w:noProof/>
              </w:rPr>
              <w:t>BIBLIOGRAPHY</w:t>
            </w:r>
            <w:r>
              <w:rPr>
                <w:noProof/>
                <w:webHidden/>
              </w:rPr>
              <w:tab/>
            </w:r>
            <w:r>
              <w:rPr>
                <w:noProof/>
                <w:webHidden/>
              </w:rPr>
              <w:fldChar w:fldCharType="begin"/>
            </w:r>
            <w:r>
              <w:rPr>
                <w:noProof/>
                <w:webHidden/>
              </w:rPr>
              <w:instrText xml:space="preserve"> PAGEREF _Toc422957932 \h </w:instrText>
            </w:r>
            <w:r>
              <w:rPr>
                <w:noProof/>
                <w:webHidden/>
              </w:rPr>
            </w:r>
            <w:r>
              <w:rPr>
                <w:noProof/>
                <w:webHidden/>
              </w:rPr>
              <w:fldChar w:fldCharType="separate"/>
            </w:r>
            <w:r>
              <w:rPr>
                <w:noProof/>
                <w:webHidden/>
              </w:rPr>
              <w:t>128</w:t>
            </w:r>
            <w:r>
              <w:rPr>
                <w:noProof/>
                <w:webHidden/>
              </w:rPr>
              <w:fldChar w:fldCharType="end"/>
            </w:r>
          </w:hyperlink>
        </w:p>
        <w:p w14:paraId="4E821C62" w14:textId="77777777" w:rsidR="00C61E21" w:rsidRDefault="00C61E21">
          <w:pPr>
            <w:pStyle w:val="TOC1"/>
            <w:tabs>
              <w:tab w:val="right" w:leader="dot" w:pos="8630"/>
            </w:tabs>
            <w:rPr>
              <w:rFonts w:asciiTheme="minorHAnsi" w:hAnsiTheme="minorHAnsi"/>
              <w:noProof/>
              <w:sz w:val="22"/>
              <w:szCs w:val="22"/>
            </w:rPr>
          </w:pPr>
          <w:hyperlink w:anchor="_Toc422957933" w:history="1">
            <w:r w:rsidRPr="009477BD">
              <w:rPr>
                <w:rStyle w:val="Hyperlink"/>
                <w:noProof/>
              </w:rPr>
              <w:t>CURRICULUM VITAE</w:t>
            </w:r>
            <w:r>
              <w:rPr>
                <w:noProof/>
                <w:webHidden/>
              </w:rPr>
              <w:tab/>
            </w:r>
            <w:r>
              <w:rPr>
                <w:noProof/>
                <w:webHidden/>
              </w:rPr>
              <w:fldChar w:fldCharType="begin"/>
            </w:r>
            <w:r>
              <w:rPr>
                <w:noProof/>
                <w:webHidden/>
              </w:rPr>
              <w:instrText xml:space="preserve"> PAGEREF _Toc422957933 \h </w:instrText>
            </w:r>
            <w:r>
              <w:rPr>
                <w:noProof/>
                <w:webHidden/>
              </w:rPr>
            </w:r>
            <w:r>
              <w:rPr>
                <w:noProof/>
                <w:webHidden/>
              </w:rPr>
              <w:fldChar w:fldCharType="separate"/>
            </w:r>
            <w:r>
              <w:rPr>
                <w:noProof/>
                <w:webHidden/>
              </w:rPr>
              <w:t>129</w:t>
            </w:r>
            <w:r>
              <w:rPr>
                <w:noProof/>
                <w:webHidden/>
              </w:rPr>
              <w:fldChar w:fldCharType="end"/>
            </w:r>
          </w:hyperlink>
        </w:p>
        <w:p w14:paraId="159728A5" w14:textId="3D1907B9" w:rsidR="00BD7A28" w:rsidRDefault="00BD7A28">
          <w:r>
            <w:rPr>
              <w:b/>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6B11BF6D" w:rsidR="00F55E2B" w:rsidRDefault="00864EEA" w:rsidP="0072455D">
      <w:pPr>
        <w:pStyle w:val="Heading1"/>
      </w:pPr>
      <w:bookmarkStart w:id="3" w:name="_Toc422957889"/>
      <w:r>
        <w:lastRenderedPageBreak/>
        <w:t>LIST OF TABLES</w:t>
      </w:r>
      <w:bookmarkEnd w:id="3"/>
    </w:p>
    <w:p w14:paraId="295D53E9" w14:textId="77777777" w:rsidR="002C7841" w:rsidRDefault="001A02FD">
      <w:pPr>
        <w:pStyle w:val="TableofFigures"/>
        <w:tabs>
          <w:tab w:val="right" w:leader="dot" w:pos="8630"/>
        </w:tabs>
        <w:rPr>
          <w:rFonts w:asciiTheme="minorHAnsi" w:hAnsiTheme="minorHAnsi"/>
          <w:noProof/>
          <w:sz w:val="22"/>
          <w:szCs w:val="22"/>
        </w:rPr>
      </w:pPr>
      <w:r>
        <w:fldChar w:fldCharType="begin"/>
      </w:r>
      <w:r>
        <w:instrText xml:space="preserve"> TOC \t "BU Table Caption" \c "Table" </w:instrText>
      </w:r>
      <w:r>
        <w:fldChar w:fldCharType="separate"/>
      </w:r>
      <w:r w:rsidR="002C7841">
        <w:rPr>
          <w:noProof/>
        </w:rPr>
        <w:t>Table 1. Pharmacological agents used in Cushing’s disease of unidentified ectopic, or diffuse localization (reviewed in [1, 2])</w:t>
      </w:r>
      <w:r w:rsidR="002C7841">
        <w:rPr>
          <w:noProof/>
        </w:rPr>
        <w:tab/>
      </w:r>
      <w:r w:rsidR="002C7841">
        <w:rPr>
          <w:noProof/>
        </w:rPr>
        <w:fldChar w:fldCharType="begin"/>
      </w:r>
      <w:r w:rsidR="002C7841">
        <w:rPr>
          <w:noProof/>
        </w:rPr>
        <w:instrText xml:space="preserve"> PAGEREF _Toc422958750 \h </w:instrText>
      </w:r>
      <w:r w:rsidR="002C7841">
        <w:rPr>
          <w:noProof/>
        </w:rPr>
      </w:r>
      <w:r w:rsidR="002C7841">
        <w:rPr>
          <w:noProof/>
        </w:rPr>
        <w:fldChar w:fldCharType="separate"/>
      </w:r>
      <w:r w:rsidR="002C7841">
        <w:rPr>
          <w:noProof/>
        </w:rPr>
        <w:t>29</w:t>
      </w:r>
      <w:r w:rsidR="002C7841">
        <w:rPr>
          <w:noProof/>
        </w:rPr>
        <w:fldChar w:fldCharType="end"/>
      </w:r>
    </w:p>
    <w:p w14:paraId="7C68E93B" w14:textId="77777777" w:rsidR="002C7841" w:rsidRDefault="002C7841">
      <w:pPr>
        <w:pStyle w:val="TableofFigures"/>
        <w:tabs>
          <w:tab w:val="right" w:leader="dot" w:pos="8630"/>
        </w:tabs>
        <w:rPr>
          <w:rFonts w:asciiTheme="minorHAnsi" w:hAnsiTheme="minorHAnsi"/>
          <w:noProof/>
          <w:sz w:val="22"/>
          <w:szCs w:val="22"/>
        </w:rPr>
      </w:pPr>
      <w:r>
        <w:rPr>
          <w:noProof/>
        </w:rPr>
        <w:t>Table 1. List of RT-PCR primers.</w:t>
      </w:r>
      <w:r>
        <w:rPr>
          <w:noProof/>
        </w:rPr>
        <w:tab/>
      </w:r>
      <w:r>
        <w:rPr>
          <w:noProof/>
        </w:rPr>
        <w:fldChar w:fldCharType="begin"/>
      </w:r>
      <w:r>
        <w:rPr>
          <w:noProof/>
        </w:rPr>
        <w:instrText xml:space="preserve"> PAGEREF _Toc422958751 \h </w:instrText>
      </w:r>
      <w:r>
        <w:rPr>
          <w:noProof/>
        </w:rPr>
      </w:r>
      <w:r>
        <w:rPr>
          <w:noProof/>
        </w:rPr>
        <w:fldChar w:fldCharType="separate"/>
      </w:r>
      <w:r>
        <w:rPr>
          <w:noProof/>
        </w:rPr>
        <w:t>121</w:t>
      </w:r>
      <w:r>
        <w:rPr>
          <w:noProof/>
        </w:rPr>
        <w:fldChar w:fldCharType="end"/>
      </w:r>
    </w:p>
    <w:p w14:paraId="417C7B11" w14:textId="7DB50D2A" w:rsidR="008B0B42" w:rsidRPr="00B22DD9" w:rsidRDefault="001A02FD" w:rsidP="000C7509">
      <w:pPr>
        <w:rPr>
          <w:rFonts w:ascii="Times New Roman" w:hAnsi="Times New Roman" w:cs="Times New Roman"/>
          <w:i/>
        </w:rPr>
      </w:pPr>
      <w:r>
        <w:fldChar w:fldCharType="end"/>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8C8971E" w:rsidR="00D760CF" w:rsidRDefault="00D760CF" w:rsidP="0072455D">
      <w:pPr>
        <w:pStyle w:val="Heading1"/>
      </w:pPr>
      <w:bookmarkStart w:id="4" w:name="_Toc422957890"/>
      <w:r>
        <w:lastRenderedPageBreak/>
        <w:t>LIST OF FIGURES</w:t>
      </w:r>
      <w:bookmarkEnd w:id="4"/>
    </w:p>
    <w:p w14:paraId="4C6442B9" w14:textId="77777777" w:rsidR="002C7841" w:rsidRDefault="008A566E">
      <w:pPr>
        <w:pStyle w:val="TableofFigures"/>
        <w:tabs>
          <w:tab w:val="right" w:leader="dot" w:pos="8630"/>
        </w:tabs>
        <w:rPr>
          <w:rFonts w:asciiTheme="minorHAnsi" w:hAnsiTheme="minorHAnsi"/>
          <w:noProof/>
          <w:sz w:val="22"/>
          <w:szCs w:val="22"/>
        </w:rPr>
      </w:pPr>
      <w:r>
        <w:fldChar w:fldCharType="begin"/>
      </w:r>
      <w:r>
        <w:instrText xml:space="preserve"> TOC \t "BU Figure Caption,1" \c "Figure" </w:instrText>
      </w:r>
      <w:r>
        <w:fldChar w:fldCharType="separate"/>
      </w:r>
      <w:r w:rsidR="002C7841">
        <w:rPr>
          <w:noProof/>
        </w:rPr>
        <w:t>Figure 1. Experimental protocol for the in vivo studies.</w:t>
      </w:r>
      <w:r w:rsidR="002C7841">
        <w:rPr>
          <w:noProof/>
        </w:rPr>
        <w:tab/>
      </w:r>
      <w:r w:rsidR="002C7841">
        <w:rPr>
          <w:noProof/>
        </w:rPr>
        <w:fldChar w:fldCharType="begin"/>
      </w:r>
      <w:r w:rsidR="002C7841">
        <w:rPr>
          <w:noProof/>
        </w:rPr>
        <w:instrText xml:space="preserve"> PAGEREF _Toc422958755 \h </w:instrText>
      </w:r>
      <w:r w:rsidR="002C7841">
        <w:rPr>
          <w:noProof/>
        </w:rPr>
      </w:r>
      <w:r w:rsidR="002C7841">
        <w:rPr>
          <w:noProof/>
        </w:rPr>
        <w:fldChar w:fldCharType="separate"/>
      </w:r>
      <w:r w:rsidR="002C7841">
        <w:rPr>
          <w:noProof/>
        </w:rPr>
        <w:t>127</w:t>
      </w:r>
      <w:r w:rsidR="002C7841">
        <w:rPr>
          <w:noProof/>
        </w:rPr>
        <w:fldChar w:fldCharType="end"/>
      </w:r>
    </w:p>
    <w:p w14:paraId="5F8A0055" w14:textId="2AA45747" w:rsidR="008B0B42" w:rsidRDefault="008A566E" w:rsidP="000C7509">
      <w:pPr>
        <w:rPr>
          <w:rFonts w:ascii="Times New Roman" w:hAnsi="Times New Roman" w:cs="Times New Roman"/>
        </w:rPr>
      </w:pPr>
      <w:r>
        <w:fldChar w:fldCharType="end"/>
      </w: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70473A64" w14:textId="1016B486" w:rsidR="00F3373D" w:rsidRDefault="00F3373D">
      <w:pPr>
        <w:rPr>
          <w:rFonts w:ascii="Times New Roman" w:hAnsi="Times New Roman" w:cs="Times New Roman"/>
        </w:rPr>
      </w:pPr>
    </w:p>
    <w:p w14:paraId="1C0B5044" w14:textId="7D181624" w:rsidR="00F3373D" w:rsidRDefault="00F3373D" w:rsidP="0072455D">
      <w:pPr>
        <w:pStyle w:val="Heading1"/>
      </w:pPr>
      <w:bookmarkStart w:id="5" w:name="_Toc422957891"/>
      <w:r>
        <w:t>LIST OF ABBREVIATIONS</w:t>
      </w:r>
      <w:bookmarkEnd w:id="5"/>
    </w:p>
    <w:p w14:paraId="69786E58" w14:textId="77777777" w:rsidR="00542258" w:rsidRDefault="00542258" w:rsidP="00542258">
      <w:pPr>
        <w:pStyle w:val="BUListofAbbreviations"/>
      </w:pPr>
      <w:r>
        <w:t>24HUC</w:t>
      </w:r>
      <w:r>
        <w:tab/>
        <w:t>24-hour urine cortisol</w:t>
      </w:r>
    </w:p>
    <w:p w14:paraId="2F53F70C" w14:textId="77777777" w:rsidR="00542258" w:rsidRDefault="00542258" w:rsidP="00542258">
      <w:pPr>
        <w:pStyle w:val="BUListofAbbreviations"/>
      </w:pPr>
      <w:r>
        <w:t>3MH</w:t>
      </w:r>
      <w:r>
        <w:tab/>
        <w:t>3-methylhistidine</w:t>
      </w:r>
    </w:p>
    <w:p w14:paraId="0EA35413" w14:textId="77777777" w:rsidR="00542258" w:rsidRDefault="00542258" w:rsidP="00542258">
      <w:pPr>
        <w:pStyle w:val="BUListofAbbreviations"/>
      </w:pPr>
      <w:r>
        <w:t>4E-BP</w:t>
      </w:r>
      <w:r>
        <w:tab/>
        <w:t>eIF4E binding protein</w:t>
      </w:r>
    </w:p>
    <w:p w14:paraId="4BB28A6B" w14:textId="77777777" w:rsidR="00542258" w:rsidRDefault="00542258" w:rsidP="00542258">
      <w:pPr>
        <w:pStyle w:val="BUListofAbbreviations"/>
      </w:pPr>
      <w:r>
        <w:t>AAP</w:t>
      </w:r>
      <w:r>
        <w:tab/>
        <w:t>adrenal androgen precursor</w:t>
      </w:r>
    </w:p>
    <w:p w14:paraId="335B521B" w14:textId="77777777" w:rsidR="00542258" w:rsidRDefault="00542258" w:rsidP="00542258">
      <w:pPr>
        <w:pStyle w:val="BUListofAbbreviations"/>
      </w:pPr>
      <w:r>
        <w:t>AAS</w:t>
      </w:r>
      <w:r>
        <w:tab/>
        <w:t>anabolic androgenic steroids</w:t>
      </w:r>
    </w:p>
    <w:p w14:paraId="58567895" w14:textId="77777777" w:rsidR="00542258" w:rsidRDefault="00542258" w:rsidP="00542258">
      <w:pPr>
        <w:pStyle w:val="BUListofAbbreviations"/>
      </w:pPr>
      <w:r>
        <w:t>ACTH</w:t>
      </w:r>
      <w:r>
        <w:tab/>
        <w:t>adrenocorticotropic hormone</w:t>
      </w:r>
    </w:p>
    <w:p w14:paraId="67C7BCC3" w14:textId="085CD1BC" w:rsidR="00542258" w:rsidRDefault="00542258" w:rsidP="00542258">
      <w:pPr>
        <w:pStyle w:val="BUListofAbbreviations"/>
      </w:pPr>
      <w:r>
        <w:t>ActRIIB</w:t>
      </w:r>
      <w:r>
        <w:tab/>
        <w:t>activin A receptor, type IIB</w:t>
      </w:r>
    </w:p>
    <w:p w14:paraId="74A16678" w14:textId="77777777" w:rsidR="00542258" w:rsidRDefault="00542258" w:rsidP="00542258">
      <w:pPr>
        <w:pStyle w:val="BUListofAbbreviations"/>
      </w:pPr>
      <w:r>
        <w:t>AMPK</w:t>
      </w:r>
      <w:r>
        <w:tab/>
        <w:t>adenosine monophosphate kinase</w:t>
      </w:r>
    </w:p>
    <w:p w14:paraId="37BC59E7" w14:textId="77777777" w:rsidR="00542258" w:rsidRDefault="00542258" w:rsidP="00542258">
      <w:pPr>
        <w:pStyle w:val="BUListofAbbreviations"/>
      </w:pPr>
      <w:r>
        <w:t>ANOVA</w:t>
      </w:r>
      <w:r>
        <w:tab/>
        <w:t>analysis of variance</w:t>
      </w:r>
    </w:p>
    <w:p w14:paraId="15E4B63F" w14:textId="77777777" w:rsidR="00542258" w:rsidRDefault="00542258" w:rsidP="00542258">
      <w:pPr>
        <w:pStyle w:val="BUListofAbbreviations"/>
      </w:pPr>
      <w:r>
        <w:t>AP-1</w:t>
      </w:r>
      <w:r>
        <w:tab/>
        <w:t>activator protein 1</w:t>
      </w:r>
    </w:p>
    <w:p w14:paraId="659A0B15" w14:textId="77777777" w:rsidR="00542258" w:rsidRDefault="00542258" w:rsidP="00542258">
      <w:pPr>
        <w:pStyle w:val="BUListofAbbreviations"/>
      </w:pPr>
      <w:r>
        <w:t>AR</w:t>
      </w:r>
      <w:r>
        <w:tab/>
        <w:t>androgen receptor</w:t>
      </w:r>
    </w:p>
    <w:p w14:paraId="236F7369" w14:textId="77777777" w:rsidR="00542258" w:rsidRDefault="00542258" w:rsidP="00542258">
      <w:pPr>
        <w:pStyle w:val="BUListofAbbreviations"/>
      </w:pPr>
      <w:r>
        <w:t>ATF4</w:t>
      </w:r>
      <w:r>
        <w:tab/>
        <w:t>activating transcription factor 4</w:t>
      </w:r>
    </w:p>
    <w:p w14:paraId="4718413C" w14:textId="77777777" w:rsidR="00542258" w:rsidRDefault="00542258" w:rsidP="00542258">
      <w:pPr>
        <w:pStyle w:val="BUListofAbbreviations"/>
      </w:pPr>
      <w:r>
        <w:t>Atg12</w:t>
      </w:r>
      <w:r>
        <w:tab/>
        <w:t>autophagy-related 12</w:t>
      </w:r>
    </w:p>
    <w:p w14:paraId="602CC290" w14:textId="77777777" w:rsidR="004C665B" w:rsidRDefault="00542258" w:rsidP="00542258">
      <w:pPr>
        <w:pStyle w:val="BUListofAbbreviations"/>
      </w:pPr>
      <w:r>
        <w:t>BCA</w:t>
      </w:r>
      <w:r>
        <w:tab/>
        <w:t>bicinchoninic acid</w:t>
      </w:r>
    </w:p>
    <w:p w14:paraId="2174D064" w14:textId="1E2914CF" w:rsidR="00E111EF" w:rsidRPr="00E111EF" w:rsidRDefault="00E111EF" w:rsidP="00E111EF">
      <w:pPr>
        <w:pStyle w:val="BUListofAbbreviations"/>
      </w:pPr>
      <w:r>
        <w:t>BCAA</w:t>
      </w:r>
      <w:r>
        <w:tab/>
        <w:t>b</w:t>
      </w:r>
      <w:r w:rsidRPr="00E111EF">
        <w:t>ranched-chain amino acids</w:t>
      </w:r>
    </w:p>
    <w:p w14:paraId="01065C3B" w14:textId="26995BFA" w:rsidR="004C665B" w:rsidRDefault="00542258" w:rsidP="00542258">
      <w:pPr>
        <w:pStyle w:val="BUListofAbbreviations"/>
      </w:pPr>
      <w:r>
        <w:t>Bcl3</w:t>
      </w:r>
      <w:r w:rsidR="004C665B">
        <w:tab/>
      </w:r>
      <w:r>
        <w:t>B-cell leukemia/lymphoma 3</w:t>
      </w:r>
    </w:p>
    <w:p w14:paraId="4F1A94E3" w14:textId="0ABE0D77" w:rsidR="004C665B" w:rsidRDefault="00542258" w:rsidP="00542258">
      <w:pPr>
        <w:pStyle w:val="BUListofAbbreviations"/>
      </w:pPr>
      <w:r>
        <w:t>bFGF</w:t>
      </w:r>
      <w:r w:rsidR="004C665B">
        <w:tab/>
        <w:t>basic fibroblast growth factor</w:t>
      </w:r>
    </w:p>
    <w:p w14:paraId="602D20B2" w14:textId="6DD93E97" w:rsidR="00542258" w:rsidRDefault="00542258" w:rsidP="00542258">
      <w:pPr>
        <w:pStyle w:val="BUListofAbbreviations"/>
      </w:pPr>
      <w:r>
        <w:t>BSA</w:t>
      </w:r>
      <w:r w:rsidR="004C665B">
        <w:tab/>
      </w:r>
      <w:r>
        <w:t>bovine serum albumin</w:t>
      </w:r>
    </w:p>
    <w:p w14:paraId="3E4C2FA5" w14:textId="77777777" w:rsidR="00542258" w:rsidRDefault="00542258" w:rsidP="00542258">
      <w:pPr>
        <w:pStyle w:val="BUListofAbbreviations"/>
      </w:pPr>
      <w:r>
        <w:t>C/EBP</w:t>
      </w:r>
      <w:r>
        <w:tab/>
        <w:t>CCAAT-enhancer-binding protein</w:t>
      </w:r>
    </w:p>
    <w:p w14:paraId="666FFCDB" w14:textId="77777777" w:rsidR="00542258" w:rsidRDefault="00542258" w:rsidP="00542258">
      <w:pPr>
        <w:pStyle w:val="BUListofAbbreviations"/>
      </w:pPr>
      <w:r>
        <w:t>Comb</w:t>
      </w:r>
      <w:r>
        <w:tab/>
        <w:t>combination of Dexa and Testo</w:t>
      </w:r>
    </w:p>
    <w:p w14:paraId="15742DB1" w14:textId="77777777" w:rsidR="00542258" w:rsidRDefault="00542258" w:rsidP="00542258">
      <w:pPr>
        <w:pStyle w:val="BUListofAbbreviations"/>
      </w:pPr>
      <w:r>
        <w:t>COPD</w:t>
      </w:r>
      <w:r>
        <w:tab/>
        <w:t>chronic obstructive pulmonary disease</w:t>
      </w:r>
    </w:p>
    <w:p w14:paraId="28342BAA" w14:textId="77777777" w:rsidR="00542258" w:rsidRDefault="00542258" w:rsidP="00542258">
      <w:pPr>
        <w:pStyle w:val="BUListofAbbreviations"/>
      </w:pPr>
      <w:r>
        <w:t>CS</w:t>
      </w:r>
      <w:r>
        <w:tab/>
        <w:t>Cushing’s syndrome</w:t>
      </w:r>
    </w:p>
    <w:p w14:paraId="75B4F2D6" w14:textId="77777777" w:rsidR="00542258" w:rsidRDefault="00542258" w:rsidP="00542258">
      <w:pPr>
        <w:pStyle w:val="BUListofAbbreviations"/>
      </w:pPr>
      <w:r>
        <w:lastRenderedPageBreak/>
        <w:t>CSA</w:t>
      </w:r>
      <w:r>
        <w:tab/>
        <w:t>cross-sectional area</w:t>
      </w:r>
    </w:p>
    <w:p w14:paraId="62AB6BAC" w14:textId="77777777" w:rsidR="00542258" w:rsidRDefault="00542258" w:rsidP="00542258">
      <w:pPr>
        <w:pStyle w:val="BUListofAbbreviations"/>
      </w:pPr>
      <w:r>
        <w:t>CT</w:t>
      </w:r>
      <w:r>
        <w:tab/>
        <w:t>computed tomography</w:t>
      </w:r>
    </w:p>
    <w:p w14:paraId="4AA66344" w14:textId="77777777" w:rsidR="00542258" w:rsidRDefault="00542258" w:rsidP="00542258">
      <w:pPr>
        <w:pStyle w:val="BUListofAbbreviations"/>
      </w:pPr>
      <w:r>
        <w:t>Ct</w:t>
      </w:r>
      <w:r>
        <w:tab/>
        <w:t>cycle threshold</w:t>
      </w:r>
    </w:p>
    <w:p w14:paraId="25D87125" w14:textId="77777777" w:rsidR="00542258" w:rsidRDefault="00542258" w:rsidP="00542258">
      <w:pPr>
        <w:pStyle w:val="BUListofAbbreviations"/>
      </w:pPr>
      <w:r>
        <w:t>D</w:t>
      </w:r>
      <w:r>
        <w:tab/>
        <w:t>dexamethasone-only group</w:t>
      </w:r>
    </w:p>
    <w:p w14:paraId="48F0BD7D" w14:textId="77777777" w:rsidR="00542258" w:rsidRPr="00542258" w:rsidRDefault="00542258" w:rsidP="00542258">
      <w:pPr>
        <w:pStyle w:val="BUListofAbbreviations"/>
        <w:rPr>
          <w:lang w:val="it-IT"/>
        </w:rPr>
      </w:pPr>
      <w:r w:rsidRPr="00542258">
        <w:rPr>
          <w:lang w:val="it-IT"/>
        </w:rPr>
        <w:t>Dexa</w:t>
      </w:r>
      <w:r w:rsidRPr="00542258">
        <w:rPr>
          <w:lang w:val="it-IT"/>
        </w:rPr>
        <w:tab/>
        <w:t>dexamethasone</w:t>
      </w:r>
    </w:p>
    <w:p w14:paraId="21E2C2CB" w14:textId="77777777" w:rsidR="004C665B" w:rsidRDefault="004C665B" w:rsidP="00542258">
      <w:pPr>
        <w:pStyle w:val="BUListofAbbreviations"/>
        <w:rPr>
          <w:lang w:val="it-IT"/>
        </w:rPr>
      </w:pPr>
      <w:r>
        <w:rPr>
          <w:lang w:val="it-IT"/>
        </w:rPr>
        <w:t>DHEA</w:t>
      </w:r>
      <w:r>
        <w:rPr>
          <w:lang w:val="it-IT"/>
        </w:rPr>
        <w:tab/>
        <w:t>dehydroepiandrosterone</w:t>
      </w:r>
    </w:p>
    <w:p w14:paraId="5162AF9D" w14:textId="77777777" w:rsidR="004C665B" w:rsidRDefault="00542258" w:rsidP="00542258">
      <w:pPr>
        <w:pStyle w:val="BUListofAbbreviations"/>
        <w:rPr>
          <w:lang w:val="it-IT"/>
        </w:rPr>
      </w:pPr>
      <w:r w:rsidRPr="00542258">
        <w:rPr>
          <w:lang w:val="it-IT"/>
        </w:rPr>
        <w:t>DHEAS</w:t>
      </w:r>
      <w:r w:rsidR="004C665B">
        <w:rPr>
          <w:lang w:val="it-IT"/>
        </w:rPr>
        <w:tab/>
        <w:t>dehydroepiandrosterone sulfate</w:t>
      </w:r>
    </w:p>
    <w:p w14:paraId="022087E1" w14:textId="51F7FCDD" w:rsidR="00542258" w:rsidRPr="00542258" w:rsidRDefault="00542258" w:rsidP="00542258">
      <w:pPr>
        <w:pStyle w:val="BUListofAbbreviations"/>
        <w:rPr>
          <w:lang w:val="it-IT"/>
        </w:rPr>
      </w:pPr>
      <w:r w:rsidRPr="00542258">
        <w:rPr>
          <w:lang w:val="it-IT"/>
        </w:rPr>
        <w:t>DHT</w:t>
      </w:r>
      <w:r w:rsidRPr="00542258">
        <w:rPr>
          <w:lang w:val="it-IT"/>
        </w:rPr>
        <w:tab/>
        <w:t>dihydrotestosterone</w:t>
      </w:r>
    </w:p>
    <w:p w14:paraId="35097C95" w14:textId="77777777" w:rsidR="00542258" w:rsidRPr="00E111EF" w:rsidRDefault="00542258" w:rsidP="00542258">
      <w:pPr>
        <w:pStyle w:val="BUListofAbbreviations"/>
        <w:rPr>
          <w:lang w:val="it-IT"/>
        </w:rPr>
      </w:pPr>
      <w:r w:rsidRPr="00E111EF">
        <w:rPr>
          <w:lang w:val="it-IT"/>
        </w:rPr>
        <w:t>DMEM</w:t>
      </w:r>
      <w:r w:rsidRPr="00E111EF">
        <w:rPr>
          <w:lang w:val="it-IT"/>
        </w:rPr>
        <w:tab/>
        <w:t>Dulbecco’s Modified Eagle Medium</w:t>
      </w:r>
    </w:p>
    <w:p w14:paraId="62D59C34" w14:textId="77777777" w:rsidR="00542258" w:rsidRPr="00E111EF" w:rsidRDefault="00542258" w:rsidP="00542258">
      <w:pPr>
        <w:pStyle w:val="BUListofAbbreviations"/>
        <w:rPr>
          <w:lang w:val="it-IT"/>
        </w:rPr>
      </w:pPr>
      <w:r w:rsidRPr="00E111EF">
        <w:rPr>
          <w:lang w:val="it-IT"/>
        </w:rPr>
        <w:t>DMSO</w:t>
      </w:r>
      <w:r w:rsidRPr="00E111EF">
        <w:rPr>
          <w:lang w:val="it-IT"/>
        </w:rPr>
        <w:tab/>
        <w:t>dimethyl sulfoxide</w:t>
      </w:r>
    </w:p>
    <w:p w14:paraId="04AF562E" w14:textId="77777777" w:rsidR="00E111EF" w:rsidRDefault="00542258" w:rsidP="00E111EF">
      <w:pPr>
        <w:pStyle w:val="BUListofAbbreviations"/>
      </w:pPr>
      <w:r>
        <w:t>DT</w:t>
      </w:r>
      <w:r>
        <w:tab/>
        <w:t>dexamet</w:t>
      </w:r>
      <w:r w:rsidR="004C665B">
        <w:t>hasone and testosterone group</w:t>
      </w:r>
    </w:p>
    <w:p w14:paraId="6D3253FE" w14:textId="24F8F4F4" w:rsidR="00E111EF" w:rsidRPr="00E111EF" w:rsidRDefault="00E111EF" w:rsidP="00E111EF">
      <w:pPr>
        <w:pStyle w:val="BUListofAbbreviations"/>
      </w:pPr>
      <w:r w:rsidRPr="00E111EF">
        <w:t>DTT</w:t>
      </w:r>
      <w:r w:rsidRPr="00E111EF">
        <w:tab/>
        <w:t>dithiothreitol</w:t>
      </w:r>
    </w:p>
    <w:p w14:paraId="55712B71" w14:textId="5D68E85D" w:rsidR="004C665B" w:rsidRDefault="00542258" w:rsidP="00542258">
      <w:pPr>
        <w:pStyle w:val="BUListofAbbreviations"/>
      </w:pPr>
      <w:r>
        <w:t>EC50</w:t>
      </w:r>
      <w:r w:rsidR="004C665B">
        <w:tab/>
      </w:r>
      <w:r>
        <w:t>half max</w:t>
      </w:r>
      <w:r w:rsidR="004C665B">
        <w:t>imal effective concentration</w:t>
      </w:r>
    </w:p>
    <w:p w14:paraId="38A10438" w14:textId="5510629C" w:rsidR="00542258" w:rsidRDefault="00542258" w:rsidP="00542258">
      <w:pPr>
        <w:pStyle w:val="BUListofAbbreviations"/>
      </w:pPr>
      <w:r>
        <w:t>EDTA</w:t>
      </w:r>
      <w:r w:rsidR="004C665B">
        <w:tab/>
      </w:r>
      <w:r>
        <w:t>ethylenediaminetetraacetate</w:t>
      </w:r>
    </w:p>
    <w:p w14:paraId="4DF2988C" w14:textId="77777777" w:rsidR="004C665B" w:rsidRDefault="00542258" w:rsidP="00542258">
      <w:pPr>
        <w:pStyle w:val="BUListofAbbreviations"/>
      </w:pPr>
      <w:r>
        <w:t>eIF2</w:t>
      </w:r>
      <w:r w:rsidR="004C665B">
        <w:tab/>
        <w:t>eukaryotic initiation factor 2</w:t>
      </w:r>
    </w:p>
    <w:p w14:paraId="53F4C3DF" w14:textId="77777777" w:rsidR="004C665B" w:rsidRDefault="00542258" w:rsidP="00542258">
      <w:pPr>
        <w:pStyle w:val="BUListofAbbreviations"/>
      </w:pPr>
      <w:r>
        <w:t>eIF2B</w:t>
      </w:r>
      <w:r>
        <w:tab/>
        <w:t>eukaryotic initiation factor 2B</w:t>
      </w:r>
    </w:p>
    <w:p w14:paraId="142BB1E3" w14:textId="700B3673" w:rsidR="00542258" w:rsidRDefault="00542258" w:rsidP="00542258">
      <w:pPr>
        <w:pStyle w:val="BUListofAbbreviations"/>
      </w:pPr>
      <w:r>
        <w:t>eIF3-f</w:t>
      </w:r>
      <w:r>
        <w:tab/>
        <w:t>eukaryotic initiation factor 3f</w:t>
      </w:r>
    </w:p>
    <w:p w14:paraId="6B540743" w14:textId="77777777" w:rsidR="00542258" w:rsidRDefault="00542258" w:rsidP="00542258">
      <w:pPr>
        <w:pStyle w:val="BUListofAbbreviations"/>
      </w:pPr>
      <w:r>
        <w:t>eIF4E</w:t>
      </w:r>
      <w:r>
        <w:tab/>
        <w:t>eukaryotic translation initiation factor 4E</w:t>
      </w:r>
    </w:p>
    <w:p w14:paraId="57913276" w14:textId="77777777" w:rsidR="00542258" w:rsidRDefault="00542258" w:rsidP="00542258">
      <w:pPr>
        <w:pStyle w:val="BUListofAbbreviations"/>
      </w:pPr>
      <w:r>
        <w:t>eNOS</w:t>
      </w:r>
      <w:r>
        <w:tab/>
        <w:t>endothelial nitric oxide synthase</w:t>
      </w:r>
    </w:p>
    <w:p w14:paraId="76647016" w14:textId="77777777" w:rsidR="00542258" w:rsidRDefault="00542258" w:rsidP="00542258">
      <w:pPr>
        <w:pStyle w:val="BUListofAbbreviations"/>
      </w:pPr>
      <w:r>
        <w:t>FBS</w:t>
      </w:r>
      <w:r>
        <w:tab/>
        <w:t>fetal bovine serum</w:t>
      </w:r>
    </w:p>
    <w:p w14:paraId="57FCD8AF" w14:textId="77777777" w:rsidR="004C665B" w:rsidRDefault="00542258" w:rsidP="00542258">
      <w:pPr>
        <w:pStyle w:val="BUListofAbbreviations"/>
      </w:pPr>
      <w:r>
        <w:t>F</w:t>
      </w:r>
      <w:r w:rsidR="004C665B">
        <w:t>DA</w:t>
      </w:r>
      <w:r w:rsidR="004C665B">
        <w:tab/>
        <w:t>Food and Drug Administration</w:t>
      </w:r>
    </w:p>
    <w:p w14:paraId="3FD2AB7B" w14:textId="77777777" w:rsidR="004C665B" w:rsidRDefault="00542258" w:rsidP="00542258">
      <w:pPr>
        <w:pStyle w:val="BUListofAbbreviations"/>
      </w:pPr>
      <w:r>
        <w:t>F</w:t>
      </w:r>
      <w:r w:rsidR="004C665B">
        <w:t>SH</w:t>
      </w:r>
      <w:r w:rsidR="004C665B">
        <w:tab/>
        <w:t>follicle stimulating hormone</w:t>
      </w:r>
    </w:p>
    <w:p w14:paraId="367AA629" w14:textId="10095684" w:rsidR="00542258" w:rsidRDefault="00542258" w:rsidP="00542258">
      <w:pPr>
        <w:pStyle w:val="BUListofAbbreviations"/>
      </w:pPr>
      <w:r>
        <w:lastRenderedPageBreak/>
        <w:t>FSR</w:t>
      </w:r>
      <w:r>
        <w:tab/>
        <w:t>fractional synthesis rate</w:t>
      </w:r>
    </w:p>
    <w:p w14:paraId="1A454432" w14:textId="77777777" w:rsidR="00542258" w:rsidRDefault="00542258" w:rsidP="00542258">
      <w:pPr>
        <w:pStyle w:val="BUListofAbbreviations"/>
      </w:pPr>
      <w:r>
        <w:t>Gadd45</w:t>
      </w:r>
      <w:r>
        <w:tab/>
        <w:t>Growth Arrest and DNA Damage 45</w:t>
      </w:r>
    </w:p>
    <w:p w14:paraId="1472E43C" w14:textId="77777777" w:rsidR="00542258" w:rsidRDefault="00542258" w:rsidP="00542258">
      <w:pPr>
        <w:pStyle w:val="BUListofAbbreviations"/>
      </w:pPr>
      <w:r>
        <w:t>GAML</w:t>
      </w:r>
      <w:r>
        <w:tab/>
        <w:t>GC-associated muscle loss</w:t>
      </w:r>
    </w:p>
    <w:p w14:paraId="5AF16F17" w14:textId="77777777" w:rsidR="00542258" w:rsidRDefault="00542258" w:rsidP="00542258">
      <w:pPr>
        <w:pStyle w:val="BUListofAbbreviations"/>
      </w:pPr>
      <w:r>
        <w:t>GC</w:t>
      </w:r>
      <w:r>
        <w:tab/>
        <w:t>glucocorticoid</w:t>
      </w:r>
    </w:p>
    <w:p w14:paraId="2832616A" w14:textId="77777777" w:rsidR="00542258" w:rsidRDefault="00542258" w:rsidP="00542258">
      <w:pPr>
        <w:pStyle w:val="BUListofAbbreviations"/>
      </w:pPr>
      <w:r>
        <w:t>GCN2</w:t>
      </w:r>
      <w:r>
        <w:tab/>
        <w:t>General Control Nonderepressible 2</w:t>
      </w:r>
    </w:p>
    <w:p w14:paraId="169F388A" w14:textId="77777777" w:rsidR="00542258" w:rsidRDefault="00542258" w:rsidP="00542258">
      <w:pPr>
        <w:pStyle w:val="BUListofAbbreviations"/>
      </w:pPr>
      <w:r>
        <w:t>GFP</w:t>
      </w:r>
      <w:r>
        <w:tab/>
        <w:t>green fluorescent protein</w:t>
      </w:r>
    </w:p>
    <w:p w14:paraId="0C126676" w14:textId="63C9C468" w:rsidR="00542258" w:rsidRDefault="00542258" w:rsidP="00542258">
      <w:pPr>
        <w:pStyle w:val="BUListofAbbreviations"/>
      </w:pPr>
      <w:r>
        <w:t>GH</w:t>
      </w:r>
      <w:r>
        <w:tab/>
        <w:t>growth hormone</w:t>
      </w:r>
    </w:p>
    <w:p w14:paraId="4646B803" w14:textId="6E126386" w:rsidR="00E111EF" w:rsidRPr="00E111EF" w:rsidRDefault="00E111EF" w:rsidP="00E111EF">
      <w:pPr>
        <w:pStyle w:val="BUListofAbbreviations"/>
      </w:pPr>
      <w:r w:rsidRPr="00E111EF">
        <w:t>GLUT</w:t>
      </w:r>
      <w:r>
        <w:tab/>
      </w:r>
      <w:r w:rsidRPr="00E111EF">
        <w:t>glucose transporter</w:t>
      </w:r>
    </w:p>
    <w:p w14:paraId="4E4A2241" w14:textId="3F0E000F" w:rsidR="00542258" w:rsidRDefault="00542258" w:rsidP="00542258">
      <w:pPr>
        <w:pStyle w:val="BUListofAbbreviations"/>
      </w:pPr>
      <w:r>
        <w:t>GnRH</w:t>
      </w:r>
      <w:r w:rsidR="004C665B">
        <w:tab/>
      </w:r>
      <w:r>
        <w:t>gonadotropin-releasing hormone</w:t>
      </w:r>
    </w:p>
    <w:p w14:paraId="32CD498E" w14:textId="01EF6419" w:rsidR="00542258" w:rsidRDefault="00542258" w:rsidP="00542258">
      <w:pPr>
        <w:pStyle w:val="BUListofAbbreviations"/>
      </w:pPr>
      <w:r>
        <w:t>GR</w:t>
      </w:r>
      <w:r w:rsidR="004C665B">
        <w:tab/>
      </w:r>
      <w:r>
        <w:t>glucocorticoid receptor</w:t>
      </w:r>
    </w:p>
    <w:p w14:paraId="7DB09B5F" w14:textId="3ED12DA0" w:rsidR="00542258" w:rsidRDefault="00542258" w:rsidP="00542258">
      <w:pPr>
        <w:pStyle w:val="BUListofAbbreviations"/>
      </w:pPr>
      <w:r>
        <w:t>Grb2</w:t>
      </w:r>
      <w:r w:rsidR="004C665B">
        <w:tab/>
      </w:r>
      <w:r>
        <w:t>Growth factor receptor-bound protein 2</w:t>
      </w:r>
    </w:p>
    <w:p w14:paraId="4C6B770F" w14:textId="3FFB4CB1" w:rsidR="00542258" w:rsidRDefault="00542258" w:rsidP="00542258">
      <w:pPr>
        <w:pStyle w:val="BUListofAbbreviations"/>
      </w:pPr>
      <w:r>
        <w:t>GRE</w:t>
      </w:r>
      <w:r w:rsidR="004C665B">
        <w:tab/>
      </w:r>
      <w:r>
        <w:t>glucocorticoid responsive-elements</w:t>
      </w:r>
    </w:p>
    <w:p w14:paraId="5B8EB695" w14:textId="4610D983" w:rsidR="00542258" w:rsidRDefault="00542258" w:rsidP="00542258">
      <w:pPr>
        <w:pStyle w:val="BUListofAbbreviations"/>
      </w:pPr>
      <w:r>
        <w:t>GSK3</w:t>
      </w:r>
      <w:r w:rsidR="004C665B">
        <w:tab/>
      </w:r>
      <w:r>
        <w:t>glycogen synthase kinase 3</w:t>
      </w:r>
    </w:p>
    <w:p w14:paraId="4034B59A" w14:textId="2200249E" w:rsidR="00542258" w:rsidRDefault="00542258" w:rsidP="00542258">
      <w:pPr>
        <w:pStyle w:val="BUListofAbbreviations"/>
      </w:pPr>
      <w:r>
        <w:t>HAT</w:t>
      </w:r>
      <w:r w:rsidR="004C665B">
        <w:tab/>
      </w:r>
      <w:r>
        <w:t>histone acetyltransferase</w:t>
      </w:r>
    </w:p>
    <w:p w14:paraId="48C197A3" w14:textId="0ADED2CE" w:rsidR="00542258" w:rsidRDefault="00542258" w:rsidP="00542258">
      <w:pPr>
        <w:pStyle w:val="BUListofAbbreviations"/>
      </w:pPr>
      <w:r>
        <w:t>HDAC</w:t>
      </w:r>
      <w:r w:rsidR="004C665B">
        <w:tab/>
      </w:r>
      <w:r>
        <w:t>histone deacetylase</w:t>
      </w:r>
    </w:p>
    <w:p w14:paraId="39972494" w14:textId="273FD5A3" w:rsidR="00542258" w:rsidRDefault="00542258" w:rsidP="00542258">
      <w:pPr>
        <w:pStyle w:val="BUListofAbbreviations"/>
      </w:pPr>
      <w:r>
        <w:t>HEPES</w:t>
      </w:r>
      <w:r w:rsidR="004C665B">
        <w:tab/>
      </w:r>
      <w:r>
        <w:t>4-(2-hydroxyethyl)-1-piperazineethanesulfonate</w:t>
      </w:r>
    </w:p>
    <w:p w14:paraId="26E1B330" w14:textId="58ABDEFC" w:rsidR="00542258" w:rsidRDefault="00542258" w:rsidP="00542258">
      <w:pPr>
        <w:pStyle w:val="BUListofAbbreviations"/>
      </w:pPr>
      <w:r>
        <w:t>HIF 1a</w:t>
      </w:r>
      <w:r w:rsidR="004C665B">
        <w:tab/>
      </w:r>
      <w:r>
        <w:t>hypoxia-induced factor 1a</w:t>
      </w:r>
    </w:p>
    <w:p w14:paraId="10C67120" w14:textId="27D14E87" w:rsidR="00542258" w:rsidRDefault="00542258" w:rsidP="00542258">
      <w:pPr>
        <w:pStyle w:val="BUListofAbbreviations"/>
      </w:pPr>
      <w:r>
        <w:t>HOMA-IR</w:t>
      </w:r>
      <w:r w:rsidR="004C665B">
        <w:tab/>
      </w:r>
      <w:r>
        <w:t>homeostatic model assessment - insulin resistance</w:t>
      </w:r>
    </w:p>
    <w:p w14:paraId="03EB5FD4" w14:textId="5B3F6FF6" w:rsidR="00542258" w:rsidRDefault="00542258" w:rsidP="00542258">
      <w:pPr>
        <w:pStyle w:val="BUListofAbbreviations"/>
      </w:pPr>
      <w:r>
        <w:t>HPA</w:t>
      </w:r>
      <w:r w:rsidR="004C665B">
        <w:tab/>
      </w:r>
      <w:r>
        <w:t>hypothalamic - pituitary - adrenal</w:t>
      </w:r>
    </w:p>
    <w:p w14:paraId="2EDD467F" w14:textId="2AD844DB" w:rsidR="00542258" w:rsidRDefault="00542258" w:rsidP="00542258">
      <w:pPr>
        <w:pStyle w:val="BUListofAbbreviations"/>
      </w:pPr>
      <w:r>
        <w:t>HS</w:t>
      </w:r>
      <w:r w:rsidR="004C665B">
        <w:tab/>
      </w:r>
      <w:r>
        <w:t>horse serum</w:t>
      </w:r>
    </w:p>
    <w:p w14:paraId="23927270" w14:textId="77777777" w:rsidR="004C665B" w:rsidRDefault="00542258" w:rsidP="00542258">
      <w:pPr>
        <w:pStyle w:val="BUListofAbbreviations"/>
      </w:pPr>
      <w:r>
        <w:t>HSD</w:t>
      </w:r>
      <w:r w:rsidR="004C665B">
        <w:tab/>
      </w:r>
      <w:r>
        <w:t>h</w:t>
      </w:r>
      <w:r w:rsidR="004C665B">
        <w:t>onest significant difference</w:t>
      </w:r>
    </w:p>
    <w:p w14:paraId="1069DCF3" w14:textId="77777777" w:rsidR="004C665B" w:rsidRDefault="00542258" w:rsidP="00542258">
      <w:pPr>
        <w:pStyle w:val="BUListofAbbreviations"/>
      </w:pPr>
      <w:r>
        <w:t>IBMX</w:t>
      </w:r>
      <w:r w:rsidR="004C665B">
        <w:tab/>
        <w:t>3-isobutyl-1-methylxanthine</w:t>
      </w:r>
    </w:p>
    <w:p w14:paraId="2034E912" w14:textId="24E58889" w:rsidR="00542258" w:rsidRDefault="00542258" w:rsidP="00542258">
      <w:pPr>
        <w:pStyle w:val="BUListofAbbreviations"/>
      </w:pPr>
      <w:r>
        <w:t>IGF-1R</w:t>
      </w:r>
      <w:r w:rsidR="004C665B">
        <w:tab/>
      </w:r>
      <w:r>
        <w:t>IGF-I receptor</w:t>
      </w:r>
    </w:p>
    <w:p w14:paraId="4B6AAF79" w14:textId="77777777" w:rsidR="004C665B" w:rsidRDefault="00542258" w:rsidP="00542258">
      <w:pPr>
        <w:pStyle w:val="BUListofAbbreviations"/>
      </w:pPr>
      <w:r>
        <w:lastRenderedPageBreak/>
        <w:t>IGF</w:t>
      </w:r>
      <w:r w:rsidR="004C665B">
        <w:t>-I</w:t>
      </w:r>
      <w:r w:rsidR="004C665B">
        <w:tab/>
        <w:t>insulin-like growth factor I</w:t>
      </w:r>
    </w:p>
    <w:p w14:paraId="28DE113C" w14:textId="56DA7FCF" w:rsidR="00542258" w:rsidRDefault="00542258" w:rsidP="00542258">
      <w:pPr>
        <w:pStyle w:val="BUListofAbbreviations"/>
      </w:pPr>
      <w:r>
        <w:t>IGF2</w:t>
      </w:r>
      <w:r>
        <w:tab/>
        <w:t>insulin-like growth factor 2</w:t>
      </w:r>
    </w:p>
    <w:p w14:paraId="6A47FF63" w14:textId="47F62969" w:rsidR="00542258" w:rsidRDefault="00542258" w:rsidP="00542258">
      <w:pPr>
        <w:pStyle w:val="BUListofAbbreviations"/>
      </w:pPr>
      <w:r>
        <w:t>IGFBP</w:t>
      </w:r>
      <w:r>
        <w:tab/>
        <w:t>IGF-I binding protein</w:t>
      </w:r>
    </w:p>
    <w:p w14:paraId="393962A4" w14:textId="0BA89397" w:rsidR="00E111EF" w:rsidRDefault="00E111EF" w:rsidP="00E111EF">
      <w:pPr>
        <w:pStyle w:val="BUListofAbbreviations"/>
      </w:pPr>
      <w:r>
        <w:t>IL-1</w:t>
      </w:r>
      <w:r>
        <w:tab/>
        <w:t>interleukin 1</w:t>
      </w:r>
    </w:p>
    <w:p w14:paraId="064C4693" w14:textId="77777777" w:rsidR="004C665B" w:rsidRDefault="00542258" w:rsidP="00542258">
      <w:pPr>
        <w:pStyle w:val="BUListofAbbreviations"/>
      </w:pPr>
      <w:r>
        <w:t>IL-1RII</w:t>
      </w:r>
      <w:r>
        <w:tab/>
        <w:t>interleukin 1 receptor type II</w:t>
      </w:r>
    </w:p>
    <w:p w14:paraId="63496832" w14:textId="373C3A30" w:rsidR="00542258" w:rsidRDefault="00542258" w:rsidP="00542258">
      <w:pPr>
        <w:pStyle w:val="BUListofAbbreviations"/>
      </w:pPr>
      <w:r>
        <w:t>IL-2</w:t>
      </w:r>
      <w:r>
        <w:tab/>
        <w:t>interleukin 2</w:t>
      </w:r>
    </w:p>
    <w:p w14:paraId="122F3523" w14:textId="77777777" w:rsidR="00542258" w:rsidRDefault="00542258" w:rsidP="00542258">
      <w:pPr>
        <w:pStyle w:val="BUListofAbbreviations"/>
      </w:pPr>
      <w:r>
        <w:t>IRS</w:t>
      </w:r>
      <w:r>
        <w:tab/>
        <w:t>insulin receptor substrate</w:t>
      </w:r>
    </w:p>
    <w:p w14:paraId="10FCFCCE" w14:textId="77777777" w:rsidR="00542258" w:rsidRDefault="00542258" w:rsidP="00542258">
      <w:pPr>
        <w:pStyle w:val="BUListofAbbreviations"/>
      </w:pPr>
      <w:r>
        <w:t>IκBα</w:t>
      </w:r>
      <w:r>
        <w:tab/>
        <w:t>inhibitory κBα</w:t>
      </w:r>
    </w:p>
    <w:p w14:paraId="04A74F48" w14:textId="77777777" w:rsidR="004C665B" w:rsidRDefault="004C665B" w:rsidP="00542258">
      <w:pPr>
        <w:pStyle w:val="BUListofAbbreviations"/>
      </w:pPr>
      <w:r>
        <w:t>Kd</w:t>
      </w:r>
      <w:r>
        <w:tab/>
        <w:t>dissociation constant</w:t>
      </w:r>
    </w:p>
    <w:p w14:paraId="6C4768B1" w14:textId="77777777" w:rsidR="004C665B" w:rsidRDefault="004C665B" w:rsidP="00542258">
      <w:pPr>
        <w:pStyle w:val="BUListofAbbreviations"/>
      </w:pPr>
      <w:r>
        <w:t>Ki</w:t>
      </w:r>
      <w:r>
        <w:tab/>
        <w:t>inhibitory constant</w:t>
      </w:r>
    </w:p>
    <w:p w14:paraId="3DCEA3E7" w14:textId="0A8839E7" w:rsidR="00542258" w:rsidRDefault="00542258" w:rsidP="00542258">
      <w:pPr>
        <w:pStyle w:val="BUListofAbbreviations"/>
      </w:pPr>
      <w:r>
        <w:t>Klf15</w:t>
      </w:r>
      <w:r>
        <w:tab/>
        <w:t>Krüppel-like factor-15</w:t>
      </w:r>
    </w:p>
    <w:p w14:paraId="3B7298CE" w14:textId="77777777" w:rsidR="00542258" w:rsidRDefault="00542258" w:rsidP="00542258">
      <w:pPr>
        <w:pStyle w:val="BUListofAbbreviations"/>
      </w:pPr>
      <w:r>
        <w:t>LC3</w:t>
      </w:r>
      <w:r>
        <w:tab/>
        <w:t>microtubule-associated protein 1 light chain 3</w:t>
      </w:r>
    </w:p>
    <w:p w14:paraId="738069FA" w14:textId="77777777" w:rsidR="00542258" w:rsidRDefault="00542258" w:rsidP="00542258">
      <w:pPr>
        <w:pStyle w:val="BUListofAbbreviations"/>
      </w:pPr>
      <w:r>
        <w:t>LH</w:t>
      </w:r>
      <w:r>
        <w:tab/>
        <w:t>luteinizing hormone</w:t>
      </w:r>
    </w:p>
    <w:p w14:paraId="2C138BAE" w14:textId="77777777" w:rsidR="00542258" w:rsidRDefault="00542258" w:rsidP="00542258">
      <w:pPr>
        <w:pStyle w:val="BUListofAbbreviations"/>
      </w:pPr>
      <w:r>
        <w:t>LKB1</w:t>
      </w:r>
      <w:r>
        <w:tab/>
        <w:t>Liver Kinase B1</w:t>
      </w:r>
    </w:p>
    <w:p w14:paraId="156780D9" w14:textId="77777777" w:rsidR="00542258" w:rsidRDefault="00542258" w:rsidP="00542258">
      <w:pPr>
        <w:pStyle w:val="BUListofAbbreviations"/>
      </w:pPr>
      <w:r>
        <w:t>MAFbx</w:t>
      </w:r>
      <w:r>
        <w:tab/>
        <w:t>muscle atrophy F-box</w:t>
      </w:r>
    </w:p>
    <w:p w14:paraId="344762A9" w14:textId="77777777" w:rsidR="00542258" w:rsidRDefault="00542258" w:rsidP="00542258">
      <w:pPr>
        <w:pStyle w:val="BUListofAbbreviations"/>
      </w:pPr>
      <w:r>
        <w:t>MAPK</w:t>
      </w:r>
      <w:r>
        <w:tab/>
        <w:t>mitogen-activated protein kinases</w:t>
      </w:r>
    </w:p>
    <w:p w14:paraId="05AE99AE" w14:textId="77777777" w:rsidR="00542258" w:rsidRDefault="00542258" w:rsidP="00542258">
      <w:pPr>
        <w:pStyle w:val="BUListofAbbreviations"/>
      </w:pPr>
      <w:r>
        <w:t>MEF2A</w:t>
      </w:r>
      <w:r>
        <w:tab/>
        <w:t>myocyte enhancer factor 2A</w:t>
      </w:r>
    </w:p>
    <w:p w14:paraId="5569264E" w14:textId="77777777" w:rsidR="00542258" w:rsidRDefault="00542258" w:rsidP="00542258">
      <w:pPr>
        <w:pStyle w:val="BUListofAbbreviations"/>
      </w:pPr>
      <w:r>
        <w:t>MNK2</w:t>
      </w:r>
      <w:r>
        <w:tab/>
        <w:t>mitogen-activated protein kinase–interacting kinase</w:t>
      </w:r>
    </w:p>
    <w:p w14:paraId="3D84645C" w14:textId="77777777" w:rsidR="004C665B" w:rsidRDefault="00542258" w:rsidP="00542258">
      <w:pPr>
        <w:pStyle w:val="BUListofAbbreviations"/>
      </w:pPr>
      <w:r>
        <w:t>MR</w:t>
      </w:r>
      <w:r>
        <w:tab/>
        <w:t>mineralocorticoid receptor</w:t>
      </w:r>
    </w:p>
    <w:p w14:paraId="50A6185E" w14:textId="77777777" w:rsidR="004C665B" w:rsidRDefault="004C665B" w:rsidP="00542258">
      <w:pPr>
        <w:pStyle w:val="BUListofAbbreviations"/>
      </w:pPr>
      <w:r>
        <w:t>MRF</w:t>
      </w:r>
      <w:r>
        <w:tab/>
        <w:t>muscle regulatory factor</w:t>
      </w:r>
    </w:p>
    <w:p w14:paraId="58D07EAB" w14:textId="5C7268A7" w:rsidR="00E111EF" w:rsidRDefault="00542258" w:rsidP="00E111EF">
      <w:pPr>
        <w:pStyle w:val="BUListofAbbreviations"/>
      </w:pPr>
      <w:r>
        <w:t>Mrf4</w:t>
      </w:r>
      <w:r>
        <w:tab/>
        <w:t>myogenic regulatory factor 4</w:t>
      </w:r>
      <w:r w:rsidR="00E111EF" w:rsidRPr="00E111EF">
        <w:t xml:space="preserve"> </w:t>
      </w:r>
    </w:p>
    <w:p w14:paraId="519857F0" w14:textId="2200A287" w:rsidR="00E111EF" w:rsidRDefault="00E111EF" w:rsidP="00E111EF">
      <w:pPr>
        <w:pStyle w:val="BUListofAbbreviations"/>
      </w:pPr>
      <w:r>
        <w:t>mTOR</w:t>
      </w:r>
      <w:r>
        <w:tab/>
      </w:r>
      <w:r w:rsidRPr="00E111EF">
        <w:t xml:space="preserve">Mechanistic Target of Rapamycin </w:t>
      </w:r>
    </w:p>
    <w:p w14:paraId="52F50C57" w14:textId="77777777" w:rsidR="00542258" w:rsidRDefault="00542258" w:rsidP="00542258">
      <w:pPr>
        <w:pStyle w:val="BUListofAbbreviations"/>
      </w:pPr>
      <w:r>
        <w:t>mTORC1</w:t>
      </w:r>
      <w:r>
        <w:tab/>
        <w:t>mTOR complex 1</w:t>
      </w:r>
    </w:p>
    <w:p w14:paraId="3B797837" w14:textId="77777777" w:rsidR="00542258" w:rsidRDefault="00542258" w:rsidP="00542258">
      <w:pPr>
        <w:pStyle w:val="BUListofAbbreviations"/>
      </w:pPr>
      <w:r>
        <w:t>MuRF1</w:t>
      </w:r>
      <w:r>
        <w:tab/>
        <w:t>muscle RING finger 1</w:t>
      </w:r>
    </w:p>
    <w:p w14:paraId="0F528671" w14:textId="77777777" w:rsidR="004C665B" w:rsidRDefault="004C665B" w:rsidP="00542258">
      <w:pPr>
        <w:pStyle w:val="BUListofAbbreviations"/>
      </w:pPr>
      <w:r>
        <w:lastRenderedPageBreak/>
        <w:t>Myf</w:t>
      </w:r>
      <w:r>
        <w:tab/>
        <w:t>myogenic factor</w:t>
      </w:r>
    </w:p>
    <w:p w14:paraId="6A5A1F40" w14:textId="77777777" w:rsidR="004C665B" w:rsidRDefault="004C665B" w:rsidP="00542258">
      <w:pPr>
        <w:pStyle w:val="BUListofAbbreviations"/>
      </w:pPr>
      <w:r>
        <w:t>MyHC</w:t>
      </w:r>
      <w:r>
        <w:tab/>
        <w:t>myosin heavy chain</w:t>
      </w:r>
    </w:p>
    <w:p w14:paraId="573C71DB" w14:textId="1E6DD2BD" w:rsidR="00542258" w:rsidRDefault="00542258" w:rsidP="00542258">
      <w:pPr>
        <w:pStyle w:val="BUListofAbbreviations"/>
      </w:pPr>
      <w:r>
        <w:t>NEFA</w:t>
      </w:r>
      <w:r>
        <w:tab/>
        <w:t>non-esterified fatty acids</w:t>
      </w:r>
    </w:p>
    <w:p w14:paraId="44E8B2B4" w14:textId="77777777" w:rsidR="00542258" w:rsidRDefault="00542258" w:rsidP="00542258">
      <w:pPr>
        <w:pStyle w:val="BUListofAbbreviations"/>
      </w:pPr>
      <w:r>
        <w:t>NF-κB</w:t>
      </w:r>
      <w:r>
        <w:tab/>
        <w:t>nuclear factor kappa - light-chain enhancer of activated B cells</w:t>
      </w:r>
    </w:p>
    <w:p w14:paraId="15E33346" w14:textId="77777777" w:rsidR="00542258" w:rsidRDefault="00542258" w:rsidP="00542258">
      <w:pPr>
        <w:pStyle w:val="BUListofAbbreviations"/>
      </w:pPr>
      <w:r>
        <w:t>NFAT</w:t>
      </w:r>
      <w:r>
        <w:tab/>
        <w:t>nuclear factor of activated T-cells</w:t>
      </w:r>
    </w:p>
    <w:p w14:paraId="4D31B68B" w14:textId="77777777" w:rsidR="00542258" w:rsidRDefault="00542258" w:rsidP="00542258">
      <w:pPr>
        <w:pStyle w:val="BUListofAbbreviations"/>
      </w:pPr>
      <w:r>
        <w:t>NMJ</w:t>
      </w:r>
      <w:r>
        <w:tab/>
        <w:t>neuro-muscular junction</w:t>
      </w:r>
    </w:p>
    <w:p w14:paraId="59DE93F0" w14:textId="77777777" w:rsidR="00542258" w:rsidRDefault="00542258" w:rsidP="00542258">
      <w:pPr>
        <w:pStyle w:val="BUListofAbbreviations"/>
      </w:pPr>
      <w:r>
        <w:t>NMR</w:t>
      </w:r>
      <w:r>
        <w:tab/>
        <w:t>nuclear magnetic resonance</w:t>
      </w:r>
    </w:p>
    <w:p w14:paraId="786B87FA" w14:textId="77777777" w:rsidR="00542258" w:rsidRDefault="00542258" w:rsidP="00542258">
      <w:pPr>
        <w:pStyle w:val="BUListofAbbreviations"/>
      </w:pPr>
      <w:r>
        <w:t>OMIM</w:t>
      </w:r>
      <w:r>
        <w:tab/>
        <w:t>Online Mendelian Inheritance in Man</w:t>
      </w:r>
    </w:p>
    <w:p w14:paraId="7E61F174" w14:textId="77777777" w:rsidR="00542258" w:rsidRDefault="00542258" w:rsidP="00542258">
      <w:pPr>
        <w:pStyle w:val="BUListofAbbreviations"/>
      </w:pPr>
      <w:r>
        <w:t>ORF</w:t>
      </w:r>
      <w:r>
        <w:tab/>
        <w:t>open reading frame</w:t>
      </w:r>
    </w:p>
    <w:p w14:paraId="36941B37" w14:textId="77777777" w:rsidR="004C665B" w:rsidRDefault="00542258" w:rsidP="00542258">
      <w:pPr>
        <w:pStyle w:val="BUListofAbbreviations"/>
      </w:pPr>
      <w:r>
        <w:t>p70-S6K</w:t>
      </w:r>
      <w:r>
        <w:tab/>
        <w:t>ribo</w:t>
      </w:r>
      <w:r w:rsidR="004C665B">
        <w:t>somal protein S6 kinase, 70 kDa</w:t>
      </w:r>
    </w:p>
    <w:p w14:paraId="5FBC4AF6" w14:textId="77777777" w:rsidR="004C665B" w:rsidRDefault="00542258" w:rsidP="00542258">
      <w:pPr>
        <w:pStyle w:val="BUListofAbbreviations"/>
      </w:pPr>
      <w:r>
        <w:t>p90-RSK</w:t>
      </w:r>
      <w:r>
        <w:tab/>
        <w:t>ribo</w:t>
      </w:r>
      <w:r w:rsidR="004C665B">
        <w:t>somal protein S6 kinase, 90 kDa</w:t>
      </w:r>
    </w:p>
    <w:p w14:paraId="09CBB86C" w14:textId="77777777" w:rsidR="004C665B" w:rsidRDefault="00542258" w:rsidP="00542258">
      <w:pPr>
        <w:pStyle w:val="BUListofAbbreviations"/>
      </w:pPr>
      <w:r>
        <w:t>PAGE</w:t>
      </w:r>
      <w:r>
        <w:tab/>
        <w:t>pol</w:t>
      </w:r>
      <w:r w:rsidR="004C665B">
        <w:t>yacrylamide gel electrophoresis</w:t>
      </w:r>
    </w:p>
    <w:p w14:paraId="506473CC" w14:textId="676EC965" w:rsidR="00542258" w:rsidRDefault="00542258" w:rsidP="00542258">
      <w:pPr>
        <w:pStyle w:val="BUListofAbbreviations"/>
      </w:pPr>
      <w:r>
        <w:t>PBS</w:t>
      </w:r>
      <w:r>
        <w:tab/>
        <w:t>phosphate buffered saline</w:t>
      </w:r>
    </w:p>
    <w:p w14:paraId="38BB47A1" w14:textId="77777777" w:rsidR="00542258" w:rsidRDefault="00542258" w:rsidP="00542258">
      <w:pPr>
        <w:pStyle w:val="BUListofAbbreviations"/>
      </w:pPr>
      <w:r>
        <w:t>PDK1</w:t>
      </w:r>
      <w:r>
        <w:tab/>
        <w:t>3-phosphoinositide-dependent protein kinase 1</w:t>
      </w:r>
    </w:p>
    <w:p w14:paraId="13745466" w14:textId="77777777" w:rsidR="00E111EF" w:rsidRDefault="00542258" w:rsidP="00E111EF">
      <w:pPr>
        <w:pStyle w:val="BUListofAbbreviations"/>
      </w:pPr>
      <w:r>
        <w:t>PGC-1</w:t>
      </w:r>
      <w:r>
        <w:tab/>
        <w:t>PPARγ coactivator 1</w:t>
      </w:r>
    </w:p>
    <w:p w14:paraId="3EAE31B4" w14:textId="70D698F4" w:rsidR="00E111EF" w:rsidRPr="00E111EF" w:rsidRDefault="00E111EF" w:rsidP="00E111EF">
      <w:pPr>
        <w:pStyle w:val="BUListofAbbreviations"/>
      </w:pPr>
      <w:r w:rsidRPr="00E111EF">
        <w:t>PI3K</w:t>
      </w:r>
      <w:r w:rsidRPr="00E111EF">
        <w:tab/>
        <w:t>phosphatidylinositol 3-kinase</w:t>
      </w:r>
    </w:p>
    <w:p w14:paraId="0A3F1ABB" w14:textId="77777777" w:rsidR="00542258" w:rsidRDefault="00542258" w:rsidP="00542258">
      <w:pPr>
        <w:pStyle w:val="BUListofAbbreviations"/>
      </w:pPr>
      <w:r>
        <w:t>Pitx</w:t>
      </w:r>
      <w:r>
        <w:tab/>
        <w:t>paired-like homeodomain</w:t>
      </w:r>
    </w:p>
    <w:p w14:paraId="7BFBB128" w14:textId="77777777" w:rsidR="004C665B" w:rsidRDefault="004C665B" w:rsidP="00542258">
      <w:pPr>
        <w:pStyle w:val="BUListofAbbreviations"/>
      </w:pPr>
      <w:r>
        <w:t>PLC</w:t>
      </w:r>
      <w:r>
        <w:tab/>
        <w:t>phospholipase C</w:t>
      </w:r>
    </w:p>
    <w:p w14:paraId="50797FC0" w14:textId="01C84272" w:rsidR="00542258" w:rsidRDefault="00542258" w:rsidP="00542258">
      <w:pPr>
        <w:pStyle w:val="BUListofAbbreviations"/>
      </w:pPr>
      <w:r>
        <w:t>POMC</w:t>
      </w:r>
      <w:r>
        <w:tab/>
        <w:t>pro-opiomelanocortin</w:t>
      </w:r>
    </w:p>
    <w:p w14:paraId="6026DBD7" w14:textId="77777777" w:rsidR="00542258" w:rsidRDefault="00542258" w:rsidP="00542258">
      <w:pPr>
        <w:pStyle w:val="BUListofAbbreviations"/>
      </w:pPr>
      <w:r>
        <w:t>PPAR</w:t>
      </w:r>
      <w:r>
        <w:tab/>
        <w:t>peroxisome proliferator-activated receptor</w:t>
      </w:r>
    </w:p>
    <w:p w14:paraId="4CDF94E2" w14:textId="77777777" w:rsidR="00542258" w:rsidRDefault="00542258" w:rsidP="00542258">
      <w:pPr>
        <w:pStyle w:val="BUListofAbbreviations"/>
      </w:pPr>
      <w:r>
        <w:t>PPP</w:t>
      </w:r>
      <w:r>
        <w:tab/>
        <w:t>picropodophyllin</w:t>
      </w:r>
    </w:p>
    <w:p w14:paraId="007AAD0C" w14:textId="77777777" w:rsidR="00542258" w:rsidRDefault="00542258" w:rsidP="00542258">
      <w:pPr>
        <w:pStyle w:val="BUListofAbbreviations"/>
      </w:pPr>
      <w:r>
        <w:t>PRAS40</w:t>
      </w:r>
      <w:r>
        <w:tab/>
        <w:t>proline-rich Akt substrate of 40-kDa</w:t>
      </w:r>
    </w:p>
    <w:p w14:paraId="45AA3829" w14:textId="5F2D64EA" w:rsidR="00542258" w:rsidRDefault="004C665B" w:rsidP="00542258">
      <w:pPr>
        <w:pStyle w:val="BUListofAbbreviations"/>
      </w:pPr>
      <w:r>
        <w:lastRenderedPageBreak/>
        <w:t>q</w:t>
      </w:r>
      <w:r w:rsidR="00542258">
        <w:t>RT-PCR</w:t>
      </w:r>
      <w:r w:rsidR="00542258">
        <w:tab/>
        <w:t>quantitative real-time polymerase chain reaction</w:t>
      </w:r>
    </w:p>
    <w:p w14:paraId="741D2B8D" w14:textId="77777777" w:rsidR="00542258" w:rsidRDefault="00542258" w:rsidP="00542258">
      <w:pPr>
        <w:pStyle w:val="BUListofAbbreviations"/>
      </w:pPr>
      <w:r>
        <w:t>REDD1</w:t>
      </w:r>
      <w:r>
        <w:tab/>
        <w:t>regulated in development and DNA damage responses-1</w:t>
      </w:r>
    </w:p>
    <w:p w14:paraId="4DF83F66" w14:textId="77777777" w:rsidR="00542258" w:rsidRDefault="00542258" w:rsidP="00542258">
      <w:pPr>
        <w:pStyle w:val="BUListofAbbreviations"/>
      </w:pPr>
      <w:r>
        <w:t>RIPA</w:t>
      </w:r>
      <w:r>
        <w:tab/>
        <w:t>radioimmunoprecipitation assay</w:t>
      </w:r>
    </w:p>
    <w:p w14:paraId="75C91841" w14:textId="77777777" w:rsidR="00542258" w:rsidRDefault="00542258" w:rsidP="00542258">
      <w:pPr>
        <w:pStyle w:val="BUListofAbbreviations"/>
      </w:pPr>
      <w:r>
        <w:t>SDS</w:t>
      </w:r>
      <w:r>
        <w:tab/>
        <w:t>sodium dodecyl sulfate</w:t>
      </w:r>
    </w:p>
    <w:p w14:paraId="4EE195AD" w14:textId="77777777" w:rsidR="00542258" w:rsidRDefault="00542258" w:rsidP="00542258">
      <w:pPr>
        <w:pStyle w:val="BUListofAbbreviations"/>
      </w:pPr>
      <w:r>
        <w:t>SGKL</w:t>
      </w:r>
      <w:r>
        <w:tab/>
        <w:t>serum and glucocorticoid-inducible kinase-like kinase</w:t>
      </w:r>
    </w:p>
    <w:p w14:paraId="5DCEA779" w14:textId="77777777" w:rsidR="00542258" w:rsidRDefault="00542258" w:rsidP="00542258">
      <w:pPr>
        <w:pStyle w:val="BUListofAbbreviations"/>
      </w:pPr>
      <w:r>
        <w:t>Shc</w:t>
      </w:r>
      <w:r>
        <w:tab/>
        <w:t>Src homology 2 domain containing</w:t>
      </w:r>
    </w:p>
    <w:p w14:paraId="5C699A63" w14:textId="77777777" w:rsidR="00542258" w:rsidRDefault="00542258" w:rsidP="00542258">
      <w:pPr>
        <w:pStyle w:val="BUListofAbbreviations"/>
      </w:pPr>
      <w:r>
        <w:t>Sos</w:t>
      </w:r>
      <w:r>
        <w:tab/>
        <w:t>Son of sevenless homolog</w:t>
      </w:r>
    </w:p>
    <w:p w14:paraId="30E0C14E" w14:textId="77777777" w:rsidR="00542258" w:rsidRDefault="00542258" w:rsidP="00542258">
      <w:pPr>
        <w:pStyle w:val="BUListofAbbreviations"/>
      </w:pPr>
      <w:r>
        <w:t>Sp1</w:t>
      </w:r>
      <w:r>
        <w:tab/>
        <w:t>SV40 promoter-specific 1</w:t>
      </w:r>
    </w:p>
    <w:p w14:paraId="614C14AD" w14:textId="77777777" w:rsidR="00542258" w:rsidRDefault="00542258" w:rsidP="00542258">
      <w:pPr>
        <w:pStyle w:val="BUListofAbbreviations"/>
      </w:pPr>
      <w:r>
        <w:t>STAT</w:t>
      </w:r>
      <w:r>
        <w:tab/>
        <w:t>Signal Transducer and Activator of Transcription</w:t>
      </w:r>
    </w:p>
    <w:p w14:paraId="25794196" w14:textId="77777777" w:rsidR="00542258" w:rsidRDefault="00542258" w:rsidP="00542258">
      <w:pPr>
        <w:pStyle w:val="BUListofAbbreviations"/>
      </w:pPr>
      <w:r>
        <w:t>T</w:t>
      </w:r>
      <w:r>
        <w:tab/>
        <w:t>testosterone-only group</w:t>
      </w:r>
    </w:p>
    <w:p w14:paraId="4F8BFF24" w14:textId="77777777" w:rsidR="00542258" w:rsidRDefault="00542258" w:rsidP="00542258">
      <w:pPr>
        <w:pStyle w:val="BUListofAbbreviations"/>
      </w:pPr>
      <w:r>
        <w:t>Tbx</w:t>
      </w:r>
      <w:r>
        <w:tab/>
        <w:t>T-box</w:t>
      </w:r>
    </w:p>
    <w:p w14:paraId="7F0A14E2" w14:textId="2B0BC909" w:rsidR="00E111EF" w:rsidRPr="00E111EF" w:rsidRDefault="00E111EF" w:rsidP="00E111EF">
      <w:pPr>
        <w:pStyle w:val="BUListofAbbreviations"/>
      </w:pPr>
      <w:r w:rsidRPr="00E111EF">
        <w:t>TCA</w:t>
      </w:r>
      <w:r w:rsidRPr="00E111EF">
        <w:tab/>
        <w:t>trichloroacetic acid</w:t>
      </w:r>
    </w:p>
    <w:p w14:paraId="4020179D" w14:textId="77777777" w:rsidR="00542258" w:rsidRDefault="00542258" w:rsidP="00542258">
      <w:pPr>
        <w:pStyle w:val="BUListofAbbreviations"/>
      </w:pPr>
      <w:r>
        <w:t>TCF4</w:t>
      </w:r>
      <w:r>
        <w:tab/>
        <w:t>transcription factor 4</w:t>
      </w:r>
    </w:p>
    <w:p w14:paraId="0529CDFD" w14:textId="77777777" w:rsidR="00542258" w:rsidRDefault="00542258" w:rsidP="00542258">
      <w:pPr>
        <w:pStyle w:val="BUListofAbbreviations"/>
      </w:pPr>
      <w:r>
        <w:t>Testo</w:t>
      </w:r>
      <w:r>
        <w:tab/>
        <w:t>testosterone</w:t>
      </w:r>
    </w:p>
    <w:p w14:paraId="4A9CF1BD" w14:textId="77777777" w:rsidR="00542258" w:rsidRDefault="00542258" w:rsidP="00542258">
      <w:pPr>
        <w:pStyle w:val="BUListofAbbreviations"/>
      </w:pPr>
      <w:r>
        <w:t>TGF-β</w:t>
      </w:r>
      <w:r>
        <w:tab/>
        <w:t>transforming growth factor-beta</w:t>
      </w:r>
    </w:p>
    <w:p w14:paraId="5B9FA7F2" w14:textId="77777777" w:rsidR="00542258" w:rsidRDefault="00542258" w:rsidP="00542258">
      <w:pPr>
        <w:pStyle w:val="BUListofAbbreviations"/>
      </w:pPr>
      <w:r>
        <w:t>Tp</w:t>
      </w:r>
      <w:r>
        <w:tab/>
        <w:t>testosterone propionate</w:t>
      </w:r>
    </w:p>
    <w:p w14:paraId="1F3BE4B0" w14:textId="77777777" w:rsidR="00542258" w:rsidRDefault="00542258" w:rsidP="00542258">
      <w:pPr>
        <w:pStyle w:val="BUListofAbbreviations"/>
      </w:pPr>
      <w:r>
        <w:t>TSC1</w:t>
      </w:r>
      <w:r>
        <w:tab/>
        <w:t>Tuberous Sclerosis Complex 1</w:t>
      </w:r>
    </w:p>
    <w:p w14:paraId="3B62FC64" w14:textId="77777777" w:rsidR="00542258" w:rsidRDefault="00542258" w:rsidP="00542258">
      <w:pPr>
        <w:pStyle w:val="BUListofAbbreviations"/>
      </w:pPr>
      <w:r>
        <w:t>TSC2</w:t>
      </w:r>
      <w:r>
        <w:tab/>
        <w:t>Tuberous Sclerosis Complex 2</w:t>
      </w:r>
    </w:p>
    <w:p w14:paraId="63371AFE" w14:textId="77777777" w:rsidR="00542258" w:rsidRDefault="00542258" w:rsidP="00542258">
      <w:pPr>
        <w:pStyle w:val="BUListofAbbreviations"/>
      </w:pPr>
      <w:r>
        <w:t>ULK1</w:t>
      </w:r>
      <w:r>
        <w:tab/>
        <w:t>UNC-51-like kinase 1</w:t>
      </w:r>
    </w:p>
    <w:p w14:paraId="2D7A9C66" w14:textId="77777777" w:rsidR="00542258" w:rsidRDefault="00542258" w:rsidP="00542258">
      <w:pPr>
        <w:pStyle w:val="BUListofAbbreviations"/>
      </w:pPr>
      <w:r>
        <w:t>V</w:t>
      </w:r>
      <w:r>
        <w:tab/>
        <w:t>Vehicle-only</w:t>
      </w:r>
    </w:p>
    <w:p w14:paraId="6CB3A860" w14:textId="77777777" w:rsidR="00542258" w:rsidRDefault="00542258" w:rsidP="00542258">
      <w:pPr>
        <w:pStyle w:val="BUListofAbbreviations"/>
      </w:pPr>
      <w:r>
        <w:t>VEGFR</w:t>
      </w:r>
      <w:r>
        <w:tab/>
        <w:t>VEGF receptor</w:t>
      </w:r>
    </w:p>
    <w:p w14:paraId="318D8392" w14:textId="377F531D" w:rsidR="00F3373D" w:rsidRPr="000C7509" w:rsidRDefault="00F3373D" w:rsidP="000C7509">
      <w:pPr>
        <w:rPr>
          <w:rFonts w:ascii="Times New Roman" w:hAnsi="Times New Roman" w:cs="Times New Roman"/>
        </w:rPr>
      </w:pPr>
      <w:r>
        <w:rPr>
          <w:rFonts w:ascii="Times New Roman" w:hAnsi="Times New Roman" w:cs="Times New Roman"/>
        </w:rPr>
        <w:br w:type="page"/>
      </w: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0833A59" w14:textId="5F414559" w:rsidR="000C7509" w:rsidRDefault="000C7509" w:rsidP="00475EB3">
      <w:pPr>
        <w:pStyle w:val="Heading1"/>
      </w:pPr>
      <w:bookmarkStart w:id="6" w:name="_Toc422957892"/>
      <w:r>
        <w:lastRenderedPageBreak/>
        <w:t>CLINICAL QUESTIONS AND EVIDENCE</w:t>
      </w:r>
      <w:bookmarkEnd w:id="6"/>
    </w:p>
    <w:p w14:paraId="34BB3048" w14:textId="77777777" w:rsidR="00475EB3" w:rsidRPr="00475EB3" w:rsidRDefault="000C7509" w:rsidP="00475EB3">
      <w:pPr>
        <w:pStyle w:val="Heading2"/>
        <w:rPr>
          <w:sz w:val="24"/>
          <w:szCs w:val="24"/>
        </w:rPr>
      </w:pPr>
      <w:bookmarkStart w:id="7" w:name="_Toc422957893"/>
      <w:r w:rsidRPr="00475EB3">
        <w:rPr>
          <w:sz w:val="24"/>
          <w:szCs w:val="24"/>
        </w:rPr>
        <w:t>Cushing’s syndrome and hints of an atrophy mechanism</w:t>
      </w:r>
      <w:bookmarkEnd w:id="7"/>
    </w:p>
    <w:p w14:paraId="53E691FA" w14:textId="0538DEF0" w:rsidR="002F069E" w:rsidRDefault="002F069E" w:rsidP="002F069E">
      <w:pPr>
        <w:pStyle w:val="BUMainText"/>
        <w:ind w:firstLine="720"/>
      </w:pPr>
      <w:r>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3EC93264" w14:textId="6BE183D5" w:rsidR="002F069E" w:rsidRDefault="002F069E" w:rsidP="002F069E">
      <w:pPr>
        <w:pStyle w:val="BUMainText"/>
        <w:ind w:firstLine="720"/>
      </w:pPr>
      <w:r>
        <w:t>Through the detailed case series written by Harvey Cushing[3], the scientific and medical community became aware of an otherwise rare disease, which bears his name. Unlike the earlier and better-studied deficiencies of the thyroid and pancreas, pituitary defects are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models[4], further proving the heterogeneous nature of pituitary secretion.</w:t>
      </w:r>
    </w:p>
    <w:p w14:paraId="479F002B" w14:textId="77777777" w:rsidR="002F069E" w:rsidRDefault="002F069E" w:rsidP="002F069E">
      <w:pPr>
        <w:pStyle w:val="BUMainText"/>
        <w:ind w:firstLine="720"/>
      </w:pPr>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65240756" w14:textId="6F2828A7" w:rsidR="002F069E" w:rsidRDefault="002F069E" w:rsidP="002F069E">
      <w:pPr>
        <w:pStyle w:val="BUMainText"/>
        <w:ind w:firstLine="720"/>
      </w:pPr>
      <w:r>
        <w:t>Twenty years later, Cushing narrowed the focus in an updated case series of combined pituitary-adrenal pathology[5].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 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323A5B90" w14:textId="77777777" w:rsidR="002F069E" w:rsidRDefault="002F069E" w:rsidP="002F069E">
      <w:pPr>
        <w:pStyle w:val="BUMainText"/>
        <w:ind w:firstLine="720"/>
      </w:pPr>
      <w:r>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pathology[7].</w:t>
      </w:r>
    </w:p>
    <w:p w14:paraId="556456C8" w14:textId="3CBB53EC" w:rsidR="002F069E" w:rsidRDefault="002F069E" w:rsidP="002F069E">
      <w:pPr>
        <w:pStyle w:val="BUMainText"/>
        <w:ind w:firstLine="720"/>
      </w:pPr>
      <w:r>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(CS)[8]. Some hypercortisolism cases, termed pseudo-Cushing’s syndrome, are ascribed to causes outside the HPA axis, such as in depression, morbid obesity, uncontrolled diabetes mellitus, and sleep apnea (reviewed in [9]).</w:t>
      </w:r>
    </w:p>
    <w:p w14:paraId="18623223" w14:textId="6DF49EBE" w:rsidR="002F069E" w:rsidRDefault="002F069E" w:rsidP="002F069E">
      <w:pPr>
        <w:pStyle w:val="BUMainText"/>
        <w:ind w:firstLine="720"/>
      </w:pPr>
      <w:r>
        <w:t>True CS cases are further classified based on the role of the 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 [10]). Cushing’s disease remains a staple of physiology textbooks, because it provides an excellent didactic example of a hormone hierarchy.</w:t>
      </w:r>
    </w:p>
    <w:p w14:paraId="0A2A3512" w14:textId="77777777" w:rsidR="002F069E" w:rsidRDefault="002F069E" w:rsidP="002F069E">
      <w:pPr>
        <w:pStyle w:val="BUMainText"/>
        <w:ind w:firstLine="720"/>
      </w:pPr>
      <w:r>
        <w:t>The remainder of CS cases consists of hypercortisolism despite low ACTH. In primary hypercortisolism, ACTH is typically suppressed by negative feedback. 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4506DB9F" w14:textId="739658A7" w:rsidR="000C7509" w:rsidRDefault="002F069E" w:rsidP="00EA5BF6">
      <w:pPr>
        <w:pStyle w:val="BUMainText"/>
        <w:ind w:firstLine="720"/>
      </w:pPr>
      <w:r>
        <w:t>Although CS may originate in various HPA pathologies, muscle impairment is one of its most common, unifying features.</w:t>
      </w:r>
    </w:p>
    <w:p w14:paraId="332448D1" w14:textId="77777777" w:rsidR="000C7509" w:rsidRPr="0005175B" w:rsidRDefault="000C7509" w:rsidP="00EA5BF6">
      <w:pPr>
        <w:pStyle w:val="Heading2"/>
        <w:rPr>
          <w:sz w:val="24"/>
        </w:rPr>
      </w:pPr>
      <w:bookmarkStart w:id="8" w:name="_Toc422957894"/>
      <w:r w:rsidRPr="0005175B">
        <w:rPr>
          <w:sz w:val="24"/>
        </w:rPr>
        <w:t>Glucocorticoid therapy</w:t>
      </w:r>
      <w:bookmarkEnd w:id="8"/>
    </w:p>
    <w:p w14:paraId="23B6844A" w14:textId="24C16501" w:rsidR="002F069E" w:rsidRDefault="000C7509" w:rsidP="002F069E">
      <w:pPr>
        <w:pStyle w:val="BUMainText"/>
        <w:ind w:firstLine="720"/>
      </w:pPr>
      <w:r>
        <w:t>A</w:t>
      </w:r>
      <w:r w:rsidR="002F069E">
        <w:t xml:space="preserve"> series of serendipitous decisions brought impressive knowledge about CS of non-pituitary etiology (reviewed in [11]).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patients[12], impressive improvements in those cases reordered priorities in corticosteroid research.</w:t>
      </w:r>
    </w:p>
    <w:p w14:paraId="2BFDD1D7" w14:textId="77777777" w:rsidR="002F069E" w:rsidRDefault="002F069E" w:rsidP="002F069E">
      <w:pPr>
        <w:pStyle w:val="BUMainText"/>
        <w:ind w:firstLine="720"/>
      </w:pPr>
      <w:r>
        <w:t>Previous work described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administration[13]. However, Hench’s observations were replicable, demonstrating the complex and vital role of the adrenal.</w:t>
      </w:r>
    </w:p>
    <w:p w14:paraId="76EE77BE" w14:textId="7C9B66F8" w:rsidR="002F069E" w:rsidRDefault="002F069E" w:rsidP="002F069E">
      <w:pPr>
        <w:pStyle w:val="BUMainText"/>
        <w:ind w:firstLine="720"/>
      </w:pPr>
      <w:r>
        <w:t>First, cortisone’s action on metabolism was accessible even to the less sophisticated clinical measurements used 60 years ago. Patients receiving cortisone gain weight. Chronic cortisone therapy leads to accumulation of adipose tissue, often in ectopic locations, such as the interscapular “buffalo hump.” Cortisone also induces hyperglycemia, and subsequent glycosuria. For this reason, cortisone and its endogenous and synthetic analogs are grouped in the glucocorticoid (GC) family.</w:t>
      </w:r>
    </w:p>
    <w:p w14:paraId="700B58D6" w14:textId="1394C02F" w:rsidR="002F069E" w:rsidRDefault="002F069E" w:rsidP="002F069E">
      <w:pPr>
        <w:pStyle w:val="BUMainText"/>
        <w:ind w:firstLine="720"/>
      </w:pPr>
      <w:r>
        <w:t>Hench and collaborators hypothesized that cortisone’s protective action is not limited to rheumatoid arthritis. In his 1950 Nobel lecture, Hench envisaged a role for alleviation of most inflammatory diseases. GCs share the ability to reduce inflammation (reviewed in [14,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(GRE)[16]. The classical effect of the GRE-GR interaction is increased transcription for neighboring target genes (transactivation), as it is the case in polymorphonucleate cells for interleukin 1 (IL-1) receptor type II (IL-1RII)[17],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(IL-2)[18]. GCs employ nongenomic mechanisms, such as mRNA stability and enzymatic activity modulations. In airway epithelia, GCs reduce the half-life of the mRNA for interleukin 8 (IL-8), the major chemoattractant for neutrophils[19]. Within minutes, GC administration induces vasodilation, through direct, nongenomic activation of endothelial phosphatidylinositol 3-kinase (PI3K) leading to activation of endothelial nitric oxide synthase (eNOS)[20].</w:t>
      </w:r>
    </w:p>
    <w:p w14:paraId="7733797D" w14:textId="3DA25790" w:rsidR="002F069E" w:rsidRDefault="002F069E" w:rsidP="002F069E">
      <w:pPr>
        <w:pStyle w:val="BUMainText"/>
        <w:ind w:firstLine="720"/>
      </w:pPr>
      <w:r>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mg/kg dose enhanced the immune skin delayed-type hypersensitivity, while a 40 mg/kg dose yielded the opposite, expected immunosuppressive response[21]. This biphasic behavior, suggestive of a U- (or inverted-U) shaped curve, poses great challenges, both to the investigative scientist, and to the clinician attempting to establish a therapeutic regimen.</w:t>
      </w:r>
    </w:p>
    <w:p w14:paraId="4B9E19AA" w14:textId="022ED1C8" w:rsidR="002F069E" w:rsidRDefault="002F069E" w:rsidP="002F069E">
      <w:pPr>
        <w:pStyle w:val="BUMainText"/>
        <w:ind w:firstLine="720"/>
      </w:pPr>
      <w:r>
        <w:t>In 1950, endogenous GCs corticosterone and cortisol, were synthesized at Merck[22], thus lowering the price and creating the opportunity for large-scale trials. The Empire Rheumatism Council organized a randomized trial comparing cortisone with acetylsalicylate, and concluded that there is no benefit in cortisone[23].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 [24]). While synthesizing esters with a better half-life, Schering chemists introduced a double bond in the A ring of cortisone, thus discovering prednisone, the first widely used oral GC[25]. Prednisone was a better anti-inflammatory than cortisone, but had a lower ability to cause edema. This was the first suggestion that the many GC effects could be separated by chemical modifications. In 1955, NIH researchers synthesized and characterized prednisone’s active metabolite, prednisolone[26]. In a trial of prednisolone versus acetylsalicylate in rheumatoid arthritis, the GC provided better functional protection to the articulations[27], thus establishing prednisolone as a standard of care and making GCs even more interesting for chemists.</w:t>
      </w:r>
    </w:p>
    <w:p w14:paraId="659CB6E6" w14:textId="05DE96E2" w:rsidR="002F069E" w:rsidRDefault="002F069E" w:rsidP="002F069E">
      <w:pPr>
        <w:pStyle w:val="BUMainText"/>
        <w:ind w:firstLine="720"/>
      </w:pPr>
      <w:r>
        <w:t>Further improvements were made at Squibb, where it was found that insertion of a halogen atom improves GCs anti-inflammatory effect[28, 29]. In 1958, Merck chemists led by Arth modified cortisol with the unsaturated A ring (Δ1 ), the fluoride addition at position 9α, and with a methyl group on the 16α position to obtain dexamethasone (Dexa)[30, 31]. Dexa is the most effective and specific therapeutic synthetic GC to date, with 170 times higher ability to inhibit the immune reaction to subcutaneous foreign bodies (granuloma) compared to cortisol[32]. The other benefit of Dexa is its virtual inability to cause edema and electrolyte imbalance.</w:t>
      </w:r>
    </w:p>
    <w:p w14:paraId="21DABC80" w14:textId="16D605A1" w:rsidR="002F069E" w:rsidRDefault="002F069E" w:rsidP="002F069E">
      <w:pPr>
        <w:pStyle w:val="BUMainText"/>
        <w:ind w:firstLine="720"/>
      </w:pPr>
      <w:r>
        <w:t>In addition to being a strong anti-inflammatory, Dexa is 52 times more potent in suppressing endogenous GC secretion, and 35 times more potent in causing hyperglycemia compared to cortisone[33, 34]. Efforts to synthesize steroids with anti-inflammatory action that do not interfere with metabolism have failed. Compounds such as A276575[35] and RU 24858[36] failed in preclinical studies. Mapracorat[37]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side effects, and, in the case of less specific GCs, with the water retention.</w:t>
      </w:r>
    </w:p>
    <w:p w14:paraId="0901071D" w14:textId="1D98FBA0" w:rsidR="002F069E" w:rsidRDefault="002F069E" w:rsidP="002F069E">
      <w:pPr>
        <w:pStyle w:val="BUMainText"/>
        <w:ind w:firstLine="720"/>
      </w:pPr>
      <w:r>
        <w:t>Edema is an example of non-specific GC effect, caused by a less typical interaction of the hormone with the mineralocorticoid receptor (MR). The GC family spans tens of active principles and thousands of formulations, from weak 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33EBC52C" w14:textId="4FC28B0B" w:rsidR="002F069E" w:rsidRDefault="002F069E" w:rsidP="002F069E">
      <w:pPr>
        <w:pStyle w:val="BUMainText"/>
        <w:ind w:firstLine="720"/>
      </w:pPr>
      <w:r>
        <w:t>Chronic GC therapy causes glucose metabolism disturbance, osteoporosis, and muscle loss, suggesting that their therapeutic use is limited. However, their efficacy makes them some of the most commonly used drugs. The trivial case for using GC therapy is in hormone replacement, such as in adrenocortical insufficiency (reviewed in [38]). In addition, many other diseases are alleviated by GCs to a degree that deleterious effects are outweighed. Based on their ability to lower white blood cell count, GC are an important adjuvant in the palliative and even etiologic treatment of leukemias and lymphomas[39, 40, 41]. On the balance of benefits and drawbacks, GCs are recommended for many life threatening or impairing immune reactions, such as polymyositis (reviewed in [42]), severe sarcoidosis (reviewed in [43]), and disseminated pulmonary tuberculosis. GCs are relatively safe in topical applications in dermatological conditions (pemphigus, psoriasis, most types of dermatitis; reviewed in [44]). Similarly, GCs are commonly used in eye inflammatory conditions[45, 46], such as diffuse posterior uveitis and optical neuritis. GC therapy is suitable for brief administration in acute immune or allergic conditions, such as seasonal rhinitis (reviewed in [38]). In chronic diseases, GCs are recommended for short-term alleviation of exacerbations. Short-term GC therapy is recommended for rheumatoid arthritis, gouty arthritis, psoriatic arthritis, ankylosing spondylitis, asthma[47, 48], ulcerative colitis[49, 50], and idiopathic nephrotic syndrome[51].</w:t>
      </w:r>
    </w:p>
    <w:p w14:paraId="1F21BD69" w14:textId="0DD9B033" w:rsidR="002F069E" w:rsidRDefault="002F069E" w:rsidP="002F069E">
      <w:pPr>
        <w:pStyle w:val="BUMainText"/>
        <w:ind w:firstLine="720"/>
      </w:pPr>
      <w:r>
        <w:t>As envisaged by Hench in his Nobel Lecture, GCs do not address disease causes, and are recommended for temporary respite. For many immune diseases, more specific therapeutic alternatives have been developed. The list of Food and Drug Administration (FDA)-approved indications for cortisone, Dexa, and prednisone is often narrowed by additional precautions, and by newly discovered drugs[52,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edema[55] and prevent acute mountain sickness[56]. These studies have been carried although earlier systematic reviews showed that, in fact, GCs worsen outcomes for acute brain trauma victims[57]. This example illustrates how strongly rooted are off-label uses of GCs.</w:t>
      </w:r>
    </w:p>
    <w:p w14:paraId="49EB9D3F" w14:textId="2C52EC41" w:rsidR="002F069E" w:rsidRDefault="002F069E" w:rsidP="002F069E">
      <w:pPr>
        <w:pStyle w:val="BUMainText"/>
        <w:ind w:firstLine="720"/>
      </w:pPr>
      <w:r>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4EA36FC1" w14:textId="090440CD" w:rsidR="004A2827" w:rsidRDefault="002F069E" w:rsidP="004A2827">
      <w:pPr>
        <w:pStyle w:val="BUMainText"/>
        <w:ind w:firstLine="720"/>
      </w:pPr>
      <w:r>
        <w:t>This wide array of uses make GCs some of the most prescribed and used drugs. Despite the low prevalence of the conditions proven to benefit from GC therapy, every year, about 1% of the Americans and British receive some form of GC[58, 59]. GCs are likely even more prescribed in the developing world, due to affordability and lack of alternatives, poor access to health care notwithstanding. Dexa and cortisol are the only drugs listed five times in the World Health Organization’s List of Essential Medicines[60]. Due to their widespread use, GCs are likely to cause covert iatrogenic CS in a large population, impairing muscle mass and quality of life to a certain and understudied degree</w:t>
      </w:r>
      <w:r w:rsidR="000C7509">
        <w:t>.</w:t>
      </w:r>
    </w:p>
    <w:p w14:paraId="742547BB" w14:textId="77777777" w:rsidR="004A2827" w:rsidRDefault="000C7509" w:rsidP="004A2827">
      <w:pPr>
        <w:pStyle w:val="Heading2"/>
      </w:pPr>
      <w:bookmarkStart w:id="9" w:name="_Toc422957895"/>
      <w:r>
        <w:t>Hypercortisolism-induced muscle loss</w:t>
      </w:r>
      <w:bookmarkEnd w:id="9"/>
    </w:p>
    <w:p w14:paraId="704ED3F4" w14:textId="76EC1B41" w:rsidR="002F069E" w:rsidRDefault="000C7509" w:rsidP="002F069E">
      <w:pPr>
        <w:pStyle w:val="BUMainText"/>
        <w:ind w:firstLine="720"/>
      </w:pPr>
      <w:r>
        <w:t>P</w:t>
      </w:r>
      <w:r w:rsidR="002F069E">
        <w:t>rimary and secondary endogenous hypercortisolism are rare diseases (1-2 cases per million and year each[61]), despite a recent boost from incidental imaging diagnoses. The symptomatology is non-specific, meaning that, even today in the developed world, an average of 6 years pass from signs onset until diagnosis is made and treatment is initiated[62]. Endogenous hypercortisolism is a life-threatening disease, with untreated patients having a median survival rate of 5 years after diagnosis[63]. Some of the changes occurring in Cushing’s disease are irreversible, especially at the level of brain, bone, adipose tissue, and liver levels (reviewed in [64]). Even after surgical adjustments of the hyperactive pituitary, the quality of life for CS patients lags behind that of the unaffected population.</w:t>
      </w:r>
    </w:p>
    <w:p w14:paraId="1B263D77" w14:textId="77777777" w:rsidR="002F069E" w:rsidRDefault="002F069E" w:rsidP="002F069E">
      <w:pPr>
        <w:pStyle w:val="BUMainText"/>
        <w:ind w:firstLine="720"/>
      </w:pPr>
      <w:r>
        <w:t>About two thirds of patients with Cushing’s syndrome acknowledge muscular problems at presentation, with similar incidence among pituitary and adrenal conditions[65]. Among patients diagnosed with endogenous CS, one fifth are referred to the endocrinologist due to muscle weakness[66]. Two fifths of those whose endogenous hypercortisolism is successfully corrected by surgery still complain of fatigue[67].</w:t>
      </w:r>
    </w:p>
    <w:p w14:paraId="33568C66" w14:textId="56E763E3" w:rsidR="002F069E" w:rsidRDefault="002F069E" w:rsidP="002F069E">
      <w:pPr>
        <w:pStyle w:val="BUMainText"/>
        <w:ind w:firstLine="720"/>
      </w:pPr>
      <w:r>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permitted[68]. In 1987, hydrocortisone creams became over-the-counter in Great Britain.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products[69]. In 2015, the Ivory Coast government made illegal skin bleaching products, due to worries about GC overdose side effects[70].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pressures[71, 72].</w:t>
      </w:r>
    </w:p>
    <w:p w14:paraId="1A54E6D8" w14:textId="77777777" w:rsidR="002F069E" w:rsidRDefault="002F069E" w:rsidP="002F069E">
      <w:pPr>
        <w:pStyle w:val="BUMainText"/>
        <w:ind w:firstLine="720"/>
      </w:pPr>
      <w:r>
        <w:t>Other, less frequent causes of iatrogenic CS include the interaction between low dose GC therapy and cytochrome P450 3A4 inhibitors, such as the antiretroviral ritonavir[73]. Other steroid drugs may interact with GR and cause CS when overdosed, as it is the case with the synthetic progestin megestrol acetate[74].</w:t>
      </w:r>
    </w:p>
    <w:p w14:paraId="49B87D35" w14:textId="7591EE87" w:rsidR="002F069E" w:rsidRDefault="002F069E" w:rsidP="002F069E">
      <w:pPr>
        <w:pStyle w:val="BUMainText"/>
        <w:ind w:firstLine="720"/>
      </w:pPr>
      <w:r>
        <w:t>Due to its insidious and erratic symptomatology, iatrogenic CS is often diagnosed years after onset or completely unrecognized[62]. The incidence of iatrogenic CS is difficult to estimate, because there is no reporting requirement. In the developed world, iatrogenic CS could be as frequent as one case per thousand and year[75].</w:t>
      </w:r>
    </w:p>
    <w:p w14:paraId="45A83631" w14:textId="77777777" w:rsidR="002F069E" w:rsidRDefault="002F069E" w:rsidP="002F069E">
      <w:pPr>
        <w:pStyle w:val="BUMainText"/>
        <w:ind w:firstLine="720"/>
      </w:pPr>
      <w:r>
        <w:t>Signs of iatrogenic CS are as varied as those of Cushing’s disease. In a cohort of patients receiving for three months more than 0.4 mg/(kg d) prednisone, the most common signs were development of ectopic adipose deposits (50%), hyperphagia (47%), and muscle cramps (32%)[76]. In the same cohort, 15% complained of muscle weakness. Patients stated that the most distressing signs of hypercortisolism were, in order, body shape changes, neuropsychiatric disorders, muscle cramps, and hand tremor. In 1982, the most common cause of iatrogenic muscle weakness was GC therapy[77].</w:t>
      </w:r>
    </w:p>
    <w:p w14:paraId="34340CA0" w14:textId="5B5308F6" w:rsidR="002F069E" w:rsidRDefault="002F069E" w:rsidP="002F069E">
      <w:pPr>
        <w:pStyle w:val="BUMainText"/>
        <w:ind w:firstLine="720"/>
      </w:pPr>
      <w:r>
        <w:t>There are differences between GC-induced cardiovascular changes, depending on the nature of the GC. Endogenous GCs, such as cortisol, have hypertensive effects, while some synthetic GCs, Dexa included, lack such non-specific</w:t>
      </w:r>
      <w:r w:rsidR="00DD7DE1">
        <w:t xml:space="preserve"> </w:t>
      </w:r>
      <w:r>
        <w:t>MR-dependent action. Nevertheless, excess exogenous and endogenous GC</w:t>
      </w:r>
      <w:r w:rsidR="00DD7DE1">
        <w:t xml:space="preserve"> </w:t>
      </w:r>
      <w:r>
        <w:t>causes the same disabling effects on muscle[78], indicating that muscle damage is mediated by GR. GCs differ quantitatively in their ability to cause myopathy. Myopathy is invariably induced in two weeks by either 0.2 mg/(kg d) Dexa[79], or by 0.5 mg/(kg d) prednisone[80]. Based on animal studies, it is likely that the catabolic potency ratio is even more tilted towards Dexa than the referenced studies indicate. Modern human pharmacodynamics and epidemiological studies are needed, in order to establish actual safety thresholds.</w:t>
      </w:r>
    </w:p>
    <w:p w14:paraId="77F12CD9" w14:textId="55FFA14F" w:rsidR="002F069E" w:rsidRDefault="002F069E" w:rsidP="002F069E">
      <w:pPr>
        <w:pStyle w:val="BUMainText"/>
        <w:ind w:firstLine="720"/>
      </w:pPr>
      <w:r>
        <w:t>In their 1958 case series, Muller and Kugelberg were the first to describe muscle changes associated with long-term Cushing’s disease[81]. In their mixed, primary and secondary, endogenous hypercortisolic cohort, they found that complaints of muscle weakness were primarily localized on the thigh. Objective</w:t>
      </w:r>
      <w:r w:rsidR="00DD7DE1">
        <w:t xml:space="preserve"> </w:t>
      </w:r>
      <w:r>
        <w:t>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that hypercortisolism is correlated with faster extinction of the action potential, which is typically caused by a reduction in the number of muscle fibers, or by fiber atrophy[82]. Based on the evidence that CS is a muscle fiber disease, they coined the phrase “steroid myopathy” (in opposition to a hypothetical “neuropathy”). Similar electromyography changes are induced by long-term GC therapy[83], making some authors reserve the term “steroid myopathy” to muscle complaints</w:t>
      </w:r>
      <w:r w:rsidR="00DD7DE1">
        <w:t xml:space="preserve"> </w:t>
      </w:r>
      <w:r>
        <w:t>of iatrogenic etiology. In 1966, D’Agostino and Chiga, confirming histological fiber changes in a rabbit model of iatrogenic CS, formulated the more precise, yet less commonly used “glucocorticoid myopathy”[84]. Owing to the fact that glucocorticoid myopathy is not a standalone disease or syndrome, terminology has never been standardized. In the present work, the human condition will be designated glucocorticoid myopathy, while its animal models will be termed</w:t>
      </w:r>
      <w:r w:rsidR="00DD7DE1">
        <w:t xml:space="preserve"> </w:t>
      </w:r>
      <w:r>
        <w:t>GC-associated muscle loss (GAML).</w:t>
      </w:r>
    </w:p>
    <w:p w14:paraId="696B8FC6" w14:textId="0848EBB2" w:rsidR="002F069E" w:rsidRDefault="002F069E" w:rsidP="002F069E">
      <w:pPr>
        <w:pStyle w:val="BUMainText"/>
        <w:ind w:firstLine="720"/>
      </w:pPr>
      <w:r>
        <w:t>In exogenous CS, GC excess can be better quantified. In a population with neurological maladies receiving long-term Dexa, the threshold for manifest glucocorticoid myopathy appears to be 50 µg/(kg d)[85]. However, the most significant predictor of clinical GAML is total dose[79, 86]. When GAML develops, the amplitude of electromyography changes (that is, the reduction in action potential duration) is proportional with the total GC dose[87]. These findings imply that glucocorticoid myopathy can be induced in shorter periods, if</w:t>
      </w:r>
      <w:r w:rsidR="00DD7DE1">
        <w:t xml:space="preserve"> </w:t>
      </w:r>
      <w:r>
        <w:t>the GC dose is extremely high. Foye and colleagues drew a distinction between “classic” or “chronic” glucocorticoid myopathy, induced “within weeks to years,” and “acute” glucocorticoid myopathy, induced in 5-7 days of high-dose GC[88]. However, their description of the two forms of GAML is almost identical, suggesting that the two clinical entities are largely overlapping.</w:t>
      </w:r>
    </w:p>
    <w:p w14:paraId="2D3D973E" w14:textId="7BE11F70" w:rsidR="002F069E" w:rsidRDefault="002F069E" w:rsidP="002F069E">
      <w:pPr>
        <w:pStyle w:val="BUMainText"/>
        <w:ind w:firstLine="720"/>
      </w:pPr>
      <w:r>
        <w:t>In a comparative study of patients receiving GC therapy for asthma, half of the patients receiving more than 0.2 mg/(kg d) prednisone exhibited a reduction in</w:t>
      </w:r>
      <w:r w:rsidR="00DD7DE1">
        <w:t xml:space="preserve"> </w:t>
      </w:r>
      <w:r>
        <w:t>hip flexor strength of 2 SD or more, compared with healthy age- and sex-matched controls[80]. In a study of adults with brain or spine cancer, 60% of the participants experienced loss of iliopsoas muscle force in response to GC therapy for cerebral edema[79]. In a small cohort, 6 months of 0.16 mg/(kg d) prednisone treatment was associated with a 20% reduction in thigh muscle force, compared to healthy controls[89]. Such findings suggest that GC-induced weakness has functional consequences.</w:t>
      </w:r>
    </w:p>
    <w:p w14:paraId="5F4F273E" w14:textId="77B70E32" w:rsidR="002F069E" w:rsidRDefault="002F069E" w:rsidP="002F069E">
      <w:pPr>
        <w:pStyle w:val="BUMainText"/>
        <w:ind w:firstLine="720"/>
      </w:pPr>
      <w:r>
        <w:t>In a post-hoc analysis of a chronic obstructive pulmonary disease (COPD) trial, the placebo arm was stratified in GC-treated and GC-naive groups[90]. The maximal inspiratory mouth pressure, a proxy measurement for respiratory muscle strength, was significantly better maintained over the 8 weeks of the trial in the GC-naive, compared to GC-treated participants. Involvement of</w:t>
      </w:r>
      <w:r w:rsidR="00DD7DE1">
        <w:t xml:space="preserve"> </w:t>
      </w:r>
      <w:r>
        <w:t>partly-involuntary muscles further proves that glucocorticoid myopathy is caused by an objective muscle disorder, and negate the alternative, neuropsychiatric etiology.</w:t>
      </w:r>
    </w:p>
    <w:p w14:paraId="09716EED" w14:textId="4AEAACDD" w:rsidR="002F069E" w:rsidRDefault="002F069E" w:rsidP="002F069E">
      <w:pPr>
        <w:pStyle w:val="BUMainText"/>
        <w:ind w:firstLine="720"/>
      </w:pPr>
      <w:r>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w:t>
      </w:r>
      <w:r w:rsidR="00DD7DE1">
        <w:t xml:space="preserve"> </w:t>
      </w:r>
      <w:r>
        <w:t>are not sensitive enough in monitoring GC-induced muscle loss, even after subtracting skin fold, because GC stimulate intramuscular adipose deposits[91]. The advent of modern imaging allowed non-invasive muscle measurements. Chronic prednisone administration causes a 20% reduction in mid-thigh muscle area measured by computed tomography, and a 36% increase in the ratio of</w:t>
      </w:r>
      <w:r w:rsidR="00DD7DE1">
        <w:t xml:space="preserve"> </w:t>
      </w:r>
      <w:r>
        <w:t>fat-to-muscle areas (CT)[92]. Psoas muscle area and density, measured by computed tomography, are inversely correlated with GC levels indicated by</w:t>
      </w:r>
      <w:r w:rsidR="00DD7DE1">
        <w:t xml:space="preserve"> </w:t>
      </w:r>
      <w:r>
        <w:t>24-hour urine cortisol (24HUC)[93].</w:t>
      </w:r>
    </w:p>
    <w:p w14:paraId="1A40887C" w14:textId="3652EFF8" w:rsidR="002F069E" w:rsidRDefault="002F069E" w:rsidP="002F069E">
      <w:pPr>
        <w:pStyle w:val="BUMainText"/>
        <w:ind w:firstLine="720"/>
      </w:pPr>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gains in the ratio fast-to-slow twitch fibers are associated with insulin resistance[94]. In contrast, aging is correlated with preferential loss of fast fibers[95]. Reports of type-specific effects of GC are inconclusive. In one study, women with CS had an increased proportion of type</w:t>
      </w:r>
      <w:r w:rsidR="00DD7DE1">
        <w:t xml:space="preserve"> </w:t>
      </w:r>
      <w:r>
        <w:t>IIx (fast twitch, glycolytic) and a lower proportion of type I (slow twitch, oxidative) fibers in their vastus lateralis muscles[96]. Renal transplant patients receiving 25 mg/(kg d) prednisone over three months had lower cross-sectional area (CSA) in type IIa (slow twitch, oxidative / glycolytic) and I fibers[97]. Others found that all types of fibers are uniformly affected by GC[98]. This hypothesis was further followed in animal studies.</w:t>
      </w:r>
    </w:p>
    <w:p w14:paraId="380FFC49" w14:textId="12BAF412" w:rsidR="002F069E" w:rsidRDefault="002F069E" w:rsidP="002F069E">
      <w:pPr>
        <w:pStyle w:val="BUMainText"/>
        <w:ind w:firstLine="720"/>
      </w:pPr>
      <w:r>
        <w:t>A set of muscle mononucleate cells, expressing the paired-box transcription factor Pax7, are presumed to support muscle development and regeneration, and are termed satellite cells (reviewed in [99]). There are no definitive studies describing the effect of GC in human satellite cells. Some or all satellite cells may</w:t>
      </w:r>
      <w:r w:rsidR="00DD7DE1">
        <w:t xml:space="preserve"> </w:t>
      </w:r>
      <w:r>
        <w:t>be activated to proliferate, thus becoming myoblasts. Many in vitro assays use proliferating cells from human muscle, at times assumed to be myoblasts. These human “myoblasts” do not proliferate in the absence of at least 1 µM Dexa([100], and personal observation; data not shown). For comparison, maximum normal concentration of endogenous cortisol in humans is 0.78 µM[101], that is, tens of times less potent. Therefore, it is impossible to conceive an experiment where human myoblasts in culture are subjected to meaningful manipulations of GC concentration. The fact that GCs are vital for in vitro human muscle development and maintenance suggests that cell lines that do not require GC may be less accurate models of human muscle.</w:t>
      </w:r>
    </w:p>
    <w:p w14:paraId="584E3B29" w14:textId="77777777" w:rsidR="002F069E" w:rsidRDefault="002F069E" w:rsidP="002F069E">
      <w:pPr>
        <w:pStyle w:val="BUMainText"/>
        <w:ind w:firstLine="720"/>
      </w:pPr>
      <w:r>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1903BF3D" w14:textId="7CBF371F" w:rsidR="002F069E" w:rsidRDefault="002F069E" w:rsidP="002F069E">
      <w:pPr>
        <w:pStyle w:val="BUMainText"/>
        <w:ind w:firstLine="720"/>
      </w:pPr>
      <w:r>
        <w:t>GC therapy induces a massive loss of nitrogen, a side effect seen from its first trial[102]. The ample increase in urinary creatine and creatinine is evidence for upregulated tissue protein breakdown. As little as 20 µg/kg cortisol infused over 8 hours increases by a quarter the rate of appearance of leucine into the bloodstream, suggestive of acute proteolysis upregulation[103]. Leucine’s rate of appearance is even higher when the GC-induced hyperinsulinemia is prevented, indicating that whole-body experiments do not capture the amplitude of the</w:t>
      </w:r>
      <w:r w:rsidR="00DD7DE1">
        <w:t xml:space="preserve"> </w:t>
      </w:r>
      <w:r>
        <w:t>GC-induced proteolysis[104]. More modern mass spectrometric methods revealed that a single dose of 1 mg/kg prednisolone cause increases in all blood amino</w:t>
      </w:r>
      <w:r w:rsidR="00DD7DE1">
        <w:t xml:space="preserve"> </w:t>
      </w:r>
      <w:r>
        <w:t>acids, presumably due to mobilization from muscle sources[105]. The same acute treatment causes an increase in 3-methylhistidine (3MH), a non-recyclable</w:t>
      </w:r>
      <w:r w:rsidR="00DD7DE1">
        <w:t xml:space="preserve"> </w:t>
      </w:r>
      <w:r>
        <w:t>degradation product specific to muscle actin and myosin[106]. Similar increases in 3MH are seen with control diet in chronic GC excess of endogenous or exogenous nature[98]. These findings demonstrate that GC-induced loss of muscle mass is mediated by stimulation of protein degradation.</w:t>
      </w:r>
    </w:p>
    <w:p w14:paraId="3FCC53BD" w14:textId="77777777" w:rsidR="002F069E" w:rsidRDefault="002F069E" w:rsidP="002F069E">
      <w:pPr>
        <w:pStyle w:val="BUMainText"/>
        <w:ind w:firstLine="720"/>
      </w:pPr>
      <w:r>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proteasome[107].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 [108]).</w:t>
      </w:r>
    </w:p>
    <w:p w14:paraId="1CB54591" w14:textId="77777777" w:rsidR="002F069E" w:rsidRDefault="002F069E" w:rsidP="002F069E">
      <w:pPr>
        <w:pStyle w:val="BUMainText"/>
        <w:ind w:firstLine="720"/>
      </w:pPr>
      <w:r>
        <w:t>Recently, pharmacological inhibitors of the proteasome became widely available. The first proteasome inhibitor, bortezomib, is recommended by the FDA for multiple myeloma and mantle cell lymphoma[109]. The second generation, irreversible proteasome blocker carfilzomib is also approved for advanced myeloma therapy[110]. In the light of data from the animal models of muscle loss, these drugs should have been useful in cachexia, but, to date, no human trials investigated their ability to prevent muscle atrophy.</w:t>
      </w:r>
    </w:p>
    <w:p w14:paraId="33622CFB" w14:textId="22BF1CEA" w:rsidR="002F069E" w:rsidRDefault="002F069E" w:rsidP="002F069E">
      <w:pPr>
        <w:pStyle w:val="BUMainText"/>
        <w:ind w:firstLine="720"/>
      </w:pPr>
      <w:r>
        <w:t>There are no trials comparing GC with the combination (GC + bortezomib). However, an indirect comparison can be made. In a trial for multiple myeloma, fatigue was a complaint of 32% of the participants receiving 40 mg Dexa,</w:t>
      </w:r>
      <w:r w:rsidR="00DD7DE1">
        <w:t xml:space="preserve"> </w:t>
      </w:r>
      <w:r>
        <w:t>compared to 42% for bortezomib[111]. In another trial, addition of 20 mg Dexa to bortezomib lowered the rate of fatigue from 57% to 25%[112].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w:t>
      </w:r>
      <w:r w:rsidR="00DD7DE1">
        <w:t xml:space="preserve"> </w:t>
      </w:r>
      <w:r>
        <w:t>implications. Even proving the opposite, that bortezomib has no protective action, will be very valuable in better understanding and eventually preventing</w:t>
      </w:r>
      <w:r w:rsidR="00DD7DE1">
        <w:t xml:space="preserve"> </w:t>
      </w:r>
      <w:r>
        <w:t>GC-induced muscle loss.</w:t>
      </w:r>
    </w:p>
    <w:p w14:paraId="4F25642E" w14:textId="577B4902" w:rsidR="002F069E" w:rsidRDefault="002F069E" w:rsidP="002F069E">
      <w:pPr>
        <w:pStyle w:val="BUMainText"/>
        <w:ind w:firstLine="720"/>
      </w:pPr>
      <w:r>
        <w:t>The inhibition of the other proteolytic system, the autophagosome, is also the focus of clinical studies. Starting with the inexpensive antimalarials chloroquine and hydroxychloroquine, autophagosome inhibitors are now the focus of phase II clinical studies in many cancers[113]. Interestingly, hydroxychloroquine is also recommended for rheumatoid arthritis, where it may be prescribed for up to six months[114].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regulation[115]. In two separate case reports,</w:t>
      </w:r>
      <w:r w:rsidR="00DD7DE1">
        <w:t xml:space="preserve"> </w:t>
      </w:r>
      <w:r>
        <w:t>co-administration of prednisone and hydroxychloroquine led to vacuolar myopathy, which could be caused by the choice of doses, or could be indicative of true epistasis[116, 117]. Potential benefits of anti-lysosome co-therapy in glucocorticoid myopathy remain the subject of speculation.</w:t>
      </w:r>
    </w:p>
    <w:p w14:paraId="1555EAC1" w14:textId="1E927C59" w:rsidR="002F069E" w:rsidRDefault="002F069E" w:rsidP="002F069E">
      <w:pPr>
        <w:pStyle w:val="BUMainText"/>
        <w:ind w:firstLine="720"/>
      </w:pPr>
      <w:r>
        <w:t>Another putative parallel mechanism for GC-induced loss of muscle is</w:t>
      </w:r>
      <w:r w:rsidR="00DD7DE1">
        <w:t xml:space="preserve"> </w:t>
      </w:r>
      <w:r>
        <w:t>downregulation of protein synthesis. Few human trials measured directly the effect of GC on protein synthesis in healthy volunteers. Brillion and colleagues[104]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suggesting</w:t>
      </w:r>
      <w:r w:rsidR="00DD7DE1">
        <w:t xml:space="preserve"> </w:t>
      </w:r>
      <w:r>
        <w:t>a biphasic response. Löfberg and colleagues[107]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w:t>
      </w:r>
      <w:r w:rsidR="00DD7DE1">
        <w:t xml:space="preserve"> </w:t>
      </w:r>
      <w:r>
        <w:t>to the circulating tracer concentration. They concluded repeatedly that, in leg muscles, 35 mg / day prednisone for 6 days “has no effect on [...] muscle protein metabolism or muscle function”[118, 119]. Some of these studies may have been underpowered (sample size n = 6-7) or may be troubled by the use of a small dose. Nevertheless, their validity is confirmed by the fact that, in each case, the expected hyperglycemic response to GC was observed.</w:t>
      </w:r>
    </w:p>
    <w:p w14:paraId="1C1BA111" w14:textId="77777777" w:rsidR="002F069E" w:rsidRDefault="002F069E" w:rsidP="002F069E">
      <w:pPr>
        <w:pStyle w:val="BUMainText"/>
        <w:ind w:firstLine="720"/>
      </w:pPr>
      <w:r>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insulin[120], branched chain amino acids[121], and exercise[122].</w:t>
      </w:r>
    </w:p>
    <w:p w14:paraId="2965FC12" w14:textId="2CA83702" w:rsidR="002F069E" w:rsidRDefault="002F069E" w:rsidP="002F069E">
      <w:pPr>
        <w:pStyle w:val="BUMainText"/>
        <w:ind w:firstLine="720"/>
      </w:pPr>
      <w:r>
        <w:t>At a molecular level, it appears that Dexa inhibits anabolic signals centered on</w:t>
      </w:r>
      <w:r w:rsidR="00DD7DE1">
        <w:t xml:space="preserve"> </w:t>
      </w:r>
      <w:r>
        <w:t>the Akt / mechanistic target of rapamycin (mTOR) axis. Rather than directly repressing this axis, GCs appear to reduce sensitivity of this axis to upstream stimuli. One study on humans described how Dexa inhibits branched chain amino acids’ ability to induce phosphorylation of mTOR substrates eukaryotic</w:t>
      </w:r>
      <w:r w:rsidR="00DD7DE1">
        <w:t xml:space="preserve"> </w:t>
      </w:r>
      <w:r>
        <w:t>translation initiation factor 4E (eIF4E) binding protein (4E-BP) and</w:t>
      </w:r>
      <w:r w:rsidR="00DD7DE1">
        <w:t xml:space="preserve"> </w:t>
      </w:r>
      <w:r>
        <w:t>p70-S6K[123]. In the same study, Dexa had no effect on another translation regulator, the α subunit of the eukaryotic initiation factor 2 (eIF2). More evidence has been obtained from animal models (discussed in a dedicated section).</w:t>
      </w:r>
    </w:p>
    <w:p w14:paraId="128C9E15" w14:textId="283677A6" w:rsidR="000443DC" w:rsidRDefault="002F069E" w:rsidP="000443DC">
      <w:pPr>
        <w:pStyle w:val="BUMainText"/>
        <w:ind w:firstLine="720"/>
      </w:pPr>
      <w:r>
        <w:t>In addition to GC excess, muscle weakness is observed with GC withdrawal[124], and by GC deficiency, illustrated by the Addisonian crisis[125]. In both hypercortisolism and hypocortisolism, effects on human muscle remain understudied. Animal models have been essential for the study of GC-induced muscle loss (discussed in the dedicated section). Human studies agree that</w:t>
      </w:r>
      <w:r w:rsidR="00DD7DE1">
        <w:t xml:space="preserve"> </w:t>
      </w:r>
      <w:r>
        <w:t>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r w:rsidR="000C7509">
        <w:t>.</w:t>
      </w:r>
    </w:p>
    <w:p w14:paraId="0D086BD2" w14:textId="77777777" w:rsidR="000443DC" w:rsidRPr="000443DC" w:rsidRDefault="000C7509" w:rsidP="000443DC">
      <w:pPr>
        <w:pStyle w:val="Heading2"/>
        <w:rPr>
          <w:sz w:val="24"/>
        </w:rPr>
      </w:pPr>
      <w:bookmarkStart w:id="10" w:name="_Toc422957896"/>
      <w:r w:rsidRPr="000443DC">
        <w:rPr>
          <w:sz w:val="24"/>
        </w:rPr>
        <w:t>Muscle protection with androgen therapy</w:t>
      </w:r>
      <w:bookmarkEnd w:id="10"/>
    </w:p>
    <w:p w14:paraId="099BCB3B" w14:textId="0028E59F" w:rsidR="00DD7DE1" w:rsidRDefault="000443DC" w:rsidP="00DD7DE1">
      <w:pPr>
        <w:pStyle w:val="BUMainText"/>
        <w:ind w:firstLine="720"/>
      </w:pPr>
      <w:r>
        <w:t>A</w:t>
      </w:r>
      <w:r w:rsidR="00DD7DE1">
        <w:t xml:space="preserve"> series of historical circumstances brought anabolic androgenic steroids (AAS) in the attention of clinicians treating hypercortisolism in muscle. The same circumstances meant that utility of AAS therapy in glucocorticoid myopathy has never been fully explored.</w:t>
      </w:r>
    </w:p>
    <w:p w14:paraId="459E311D" w14:textId="1F2F80A8" w:rsidR="00DD7DE1" w:rsidRDefault="00DD7DE1" w:rsidP="00DD7DE1">
      <w:pPr>
        <w:pStyle w:val="BUMainText"/>
        <w:ind w:firstLine="720"/>
      </w:pPr>
      <w:r>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0166E932" w14:textId="24B4AF7D" w:rsidR="00DD7DE1" w:rsidRDefault="00DD7DE1" w:rsidP="00DD7DE1">
      <w:pPr>
        <w:pStyle w:val="BUMainText"/>
        <w:ind w:firstLine="720"/>
      </w:pPr>
      <w:r>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abilities[126]. He describes how, at the age of 72, a single injection enables him stand for hours, or write longer scientific papers. Later on, he describes how testis extracts appeared to alleviate “serious affections of any kind,” including cachexia, pulmonary tuberculosis, cancer and leprosy ulcers[127]. Because the active principle in testis is made as needed, rather than stored in high-concentration depots, Brown-Séquard’s injections must have contained very little male hormones. His observations were likely caused by the placebo effect.</w:t>
      </w:r>
    </w:p>
    <w:p w14:paraId="427C9330" w14:textId="3E98927B" w:rsidR="00DD7DE1" w:rsidRDefault="00DD7DE1" w:rsidP="00DD7DE1">
      <w:pPr>
        <w:pStyle w:val="BUMainText"/>
        <w:ind w:firstLine="720"/>
      </w:pPr>
      <w:r>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 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blueprint for GC discovery.</w:t>
      </w:r>
    </w:p>
    <w:p w14:paraId="40276983" w14:textId="77777777" w:rsidR="00DD7DE1" w:rsidRDefault="00DD7DE1" w:rsidP="00DD7DE1">
      <w:pPr>
        <w:pStyle w:val="BUMainText"/>
        <w:ind w:firstLine="720"/>
      </w:pPr>
      <w:r>
        <w:t>Second, the Victorian era was an age of body rediscovery. Georgian pastimes, such as cock fighting, horse racing, or cricket, were replaced by more muscular sports, such as football, rugby, gymnastics, and swimming. Bodybuilding became fashionable, with the first professional competition selling out Royal Albert Hall in 1901. Brown-Séquard’s promise of muscle without effort made testis organotherapy a widespread, well-earning business. When Voronoff was barred from practicing in Paris and judged as fraudulent by the Royal Society of Medicine, he took his testis transplant business to Algiers, where he received patients from all over the world (reviewed in [128]). Private sponsorship led to investment in androgen research, but with a focus on commercial rather than clinical efficacy.</w:t>
      </w:r>
    </w:p>
    <w:p w14:paraId="6C60BD7D" w14:textId="0900060D" w:rsidR="00DD7DE1" w:rsidRDefault="00DD7DE1" w:rsidP="00DD7DE1">
      <w:pPr>
        <w:pStyle w:val="BUMainText"/>
        <w:ind w:firstLine="720"/>
      </w:pPr>
      <w:r>
        <w:t>Finally, Brown-Séquard’s era tolerated unscientific theories, which ignored the physical and intellectual ability of women. Brown-Séquard claimed that ovary extracts provide some benefits, but with “less power” than testis extracts[127]. Such conclusions stemmed from cultural biases rather than comparative experiments. In 1849, Berthold showed that, through testis implants, roosters regain male characteristics they lost through castration, such as aggressiveness, libido, and larger combs[129].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anabolic[130]. While ultimately proven correct, the idea that “male hormones” were simultaneously androgenic, anabolic, and ergogenic was based on a cultural construct that confounded manliness and physical force, rather than the product of direct scientific evidence.</w:t>
      </w:r>
    </w:p>
    <w:p w14:paraId="07A1D4AA" w14:textId="6D666555" w:rsidR="00DD7DE1" w:rsidRDefault="00DD7DE1" w:rsidP="00DD7DE1">
      <w:pPr>
        <w:pStyle w:val="BUMainText"/>
        <w:ind w:firstLine="720"/>
      </w:pPr>
      <w:r>
        <w:t>The belief in a male-secreted ergogenic substance inspired many commercial enterprises to sponsor research in male endocrinology, through the decades where the evidence was confined to changes in the combs of roosters. These dark ages ended in 1927, when McGee and Koch extracted a lipophilic virilizing mixture from rooster testis[131, 132]. A pure and even more androgenic chemical was extracted in 1935 from bull testis by Laqueur, working for Organon[133]. Laqueur named his discovery testosterone (Testo). Three months later, Butenandt and Ruzicka, sponsored by Schering and Ciba respectively, announced the development of manufacturing methods for synthetic testosterone, an achievement that brought them the 1939 Nobel Chemistry Prize (reviewed in [134]). The first beneficiaries of the new drug were hypogonadal men, that is, adult males with pathological decreases in circulating Testo. At the University of Chicago, Kenyon tested Testo on four eunuchoid patients of testicular and pituitary etiology. Daily injections of 25 mg testosterone propionate (Tp) caused a doubling in prostate and penis size[135] after less than two weeks, thus establishing the efficacy of Testo replacement therapy in hypogonadal men. Except for a few, narrow exceptions, this population was and remains the sole generally accepted, FDA-approved indication for Testo therapy[136, 137, 138]. Recent Testo preparations are also recommended for some breast cancers, but this indication is describes as having small, unpredictable efficacy.</w:t>
      </w:r>
    </w:p>
    <w:p w14:paraId="1B47B5A1" w14:textId="64C5DC2F" w:rsidR="00DD7DE1" w:rsidRDefault="00DD7DE1" w:rsidP="00DD7DE1">
      <w:pPr>
        <w:pStyle w:val="BUMainText"/>
        <w:ind w:firstLine="720"/>
      </w:pPr>
      <w:r>
        <w:t>Due to manufacturing costs, limited commercial target, and governments’ lack of interest, Testo therapy traversed a very long experimental stage, which could easily be called “the second dark age of androgens.” Only in 1953, did the FDA give its first approval for an androgenic therapy, a Testo enanthate injection. Then, as now, FDA’s approval was based on Testo ability to restore normal levels of androgens, rather than other, more functional or curative, outcomes[137]. However, in 18 years of life as experimental drugs, androgenic steroids have been trialed in diverse diseases, including male functional impotence[139], unwanted lactation[140], uterine bleeding and dysmenorrhea[141], or osteoporosis[142]. These early studies share the extremely small sample size, and the scarcity of controls, blinding, and objective outcomes. For example, a study found that 14-35 injections of Tp (cumulative dose 255-455 mg) caused an improvement of acne in half of the male participants[143]. Such findings are at odds with more modern trials, where weekly i.m. androgen injection lead to an increase in absolute risk of acne by 15%, in healthy males[144], and are possibly explained by the variability in the androgen arm, small sample size (n = 12), lack of blinding, and early stopping in the placebo arm. Nevertheless, these trials are, in many cases, the only source of information about the action of Testo in the normogonadal population. For example, early trials of oral methyltestosterone revealed its hepatic toxicity. Fifty years later, those limited trials are still the main factor discouraging the development of oral synthetic androgenic therapies.</w:t>
      </w:r>
    </w:p>
    <w:p w14:paraId="3C749DCB" w14:textId="48B544B6" w:rsidR="00DD7DE1" w:rsidRDefault="00DD7DE1" w:rsidP="00DD7DE1">
      <w:pPr>
        <w:pStyle w:val="BUMainText"/>
        <w:ind w:firstLine="720"/>
      </w:pPr>
      <w:r>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 despite fixed dietary intake. Other trials evidenced benefits from androgenic therapy in muscle-depleting conditions, including thyrotoxic myopathy[145] and muscular dystrophy[146]. By 1940, Kenyon confirmed that Tp caused nitrogen retention, caused by increased protein accretion, even in healthy men and women[147]. In 1942, Samuels and colleagues concluded that Testo does not change grip strength in healthy males[148]. According to a meta-analysis[149] and my literature search, no other test of androgens’ effect on muscle strength was published until 1968. Despite the lack of evidence, androgens were used as ergogenics in healthy people, starting with Olympic athletes around 1954[150].</w:t>
      </w:r>
    </w:p>
    <w:p w14:paraId="555C3AA5" w14:textId="4453A585" w:rsidR="00DD7DE1" w:rsidRDefault="00DD7DE1" w:rsidP="00DD7DE1">
      <w:pPr>
        <w:pStyle w:val="BUMainText"/>
        <w:ind w:firstLine="720"/>
      </w:pPr>
      <w:r>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disease[151]. Similarly, in 1950, the Mayo Clinic team who discovered cortisone remarked that, in one case, 25 mg Tp daily injections reduced urinary nitrogen losses caused by 200 mg cortisone administration[13]. Some of the aforementioned researchers publish similar case reports, sharing the small sample size and the use of</w:t>
      </w:r>
      <w:r w:rsidR="004514EC">
        <w:t xml:space="preserve"> </w:t>
      </w:r>
      <w:r>
        <w:t>surrogate outcomes[152]. These shortcomings do not prevent each investigator from subjective claims of improvements in physical function.</w:t>
      </w:r>
    </w:p>
    <w:p w14:paraId="11804D3B" w14:textId="2C7BA050" w:rsidR="00DD7DE1" w:rsidRDefault="00DD7DE1" w:rsidP="00DD7DE1">
      <w:pPr>
        <w:pStyle w:val="BUMainText"/>
        <w:ind w:firstLine="720"/>
      </w:pPr>
      <w:r>
        <w:t>During the 1950’s, AAS became part of the standard of care for endogenous hypercortisolism during the gap between diagnosis and curative surgery. However, this gap narrowed to a few weeks, due to improvements in differential diagnosis. Today, development of accurate cortisol assays allowed the measurement of its changes in response to Dexa, thus discriminating conditions where feedback mechanisms fail (mainly endocrine neoplasms) from</w:t>
      </w:r>
      <w:r w:rsidR="004514EC">
        <w:t xml:space="preserve"> </w:t>
      </w:r>
      <w:r>
        <w:t>cortisol-stimulating non-endocrine conditions. ACTH assays differentiate</w:t>
      </w:r>
      <w:r w:rsidR="004514EC">
        <w:t xml:space="preserve"> </w:t>
      </w:r>
      <w:r>
        <w:t>ACTH-independent cases (typically adrenal tumors) from the ACTH-dependent ones (usually localized in the pituitary). Modern imaging, including computed tomography of the adrenal and magnetic resonance imaging of the pituitary, rapidly identify the target for surgery. AAS therapy is now confined to inoperable cases, including unidentified ectopic sources of ACTH or cortisone. Even these cases benefit from more targeted interventions (see Table 1).</w:t>
      </w:r>
    </w:p>
    <w:tbl>
      <w:tblPr>
        <w:tblStyle w:val="TableGrid"/>
        <w:tblW w:w="0" w:type="auto"/>
        <w:tblInd w:w="108" w:type="dxa"/>
        <w:tblLook w:val="04A0" w:firstRow="1" w:lastRow="0" w:firstColumn="1" w:lastColumn="0" w:noHBand="0" w:noVBand="1"/>
        <w:tblCaption w:val="My First Table"/>
      </w:tblPr>
      <w:tblGrid>
        <w:gridCol w:w="3600"/>
        <w:gridCol w:w="5004"/>
      </w:tblGrid>
      <w:tr w:rsidR="004514EC" w14:paraId="7EE16B88" w14:textId="77777777" w:rsidTr="000332A2">
        <w:trPr>
          <w:cantSplit/>
        </w:trPr>
        <w:tc>
          <w:tcPr>
            <w:tcW w:w="3600" w:type="dxa"/>
          </w:tcPr>
          <w:p w14:paraId="39C03A1C" w14:textId="1B2509DF" w:rsidR="004514EC" w:rsidRDefault="004514EC" w:rsidP="004514EC">
            <w:pPr>
              <w:pStyle w:val="BUMainText"/>
              <w:keepNext/>
              <w:keepLines/>
            </w:pPr>
            <w:bookmarkStart w:id="11" w:name="Table1"/>
            <w:r w:rsidRPr="004514EC">
              <w:t>Class</w:t>
            </w:r>
          </w:p>
        </w:tc>
        <w:tc>
          <w:tcPr>
            <w:tcW w:w="5004" w:type="dxa"/>
          </w:tcPr>
          <w:p w14:paraId="7F33BCDD" w14:textId="7109AB41" w:rsidR="004514EC" w:rsidRDefault="004514EC" w:rsidP="004514EC">
            <w:pPr>
              <w:pStyle w:val="BUMainText"/>
              <w:keepNext/>
              <w:keepLines/>
            </w:pPr>
            <w:r w:rsidRPr="004514EC">
              <w:t>Medications</w:t>
            </w:r>
          </w:p>
        </w:tc>
      </w:tr>
      <w:tr w:rsidR="004514EC" w14:paraId="16BCFAD5" w14:textId="77777777" w:rsidTr="000332A2">
        <w:trPr>
          <w:cantSplit/>
        </w:trPr>
        <w:tc>
          <w:tcPr>
            <w:tcW w:w="3600" w:type="dxa"/>
          </w:tcPr>
          <w:p w14:paraId="47F12C6A" w14:textId="7A4C4100" w:rsidR="004514EC" w:rsidRDefault="004514EC" w:rsidP="004514EC">
            <w:pPr>
              <w:pStyle w:val="BUMainText"/>
              <w:keepNext/>
              <w:keepLines/>
            </w:pPr>
            <w:r>
              <w:t>ACTH inhibitors</w:t>
            </w:r>
          </w:p>
        </w:tc>
        <w:tc>
          <w:tcPr>
            <w:tcW w:w="5004" w:type="dxa"/>
          </w:tcPr>
          <w:p w14:paraId="0F162AEE" w14:textId="77777777" w:rsidR="004514EC" w:rsidRDefault="004514EC" w:rsidP="004514EC">
            <w:pPr>
              <w:pStyle w:val="BUMainText"/>
              <w:keepNext/>
              <w:keepLines/>
              <w:numPr>
                <w:ilvl w:val="0"/>
                <w:numId w:val="1"/>
              </w:numPr>
            </w:pPr>
            <w:r>
              <w:t>Subtype 5 somatostatin receptor agonists: pasireotide (FDA-approved)[153]</w:t>
            </w:r>
          </w:p>
          <w:p w14:paraId="0A41BB59" w14:textId="5B181DFA" w:rsidR="004514EC" w:rsidRDefault="004514EC" w:rsidP="004514EC">
            <w:pPr>
              <w:pStyle w:val="BUMainText"/>
              <w:keepNext/>
              <w:keepLines/>
              <w:numPr>
                <w:ilvl w:val="0"/>
                <w:numId w:val="1"/>
              </w:numPr>
            </w:pPr>
            <w:r>
              <w:t>Dopamine D2 receptor blockers: cabergoline</w:t>
            </w:r>
          </w:p>
        </w:tc>
      </w:tr>
      <w:tr w:rsidR="004514EC" w14:paraId="2B2C6033" w14:textId="77777777" w:rsidTr="000332A2">
        <w:trPr>
          <w:cantSplit/>
        </w:trPr>
        <w:tc>
          <w:tcPr>
            <w:tcW w:w="3600" w:type="dxa"/>
          </w:tcPr>
          <w:p w14:paraId="7DDEB7F6" w14:textId="4C519F53" w:rsidR="004514EC" w:rsidRDefault="004514EC" w:rsidP="004514EC">
            <w:pPr>
              <w:pStyle w:val="BUMainText"/>
              <w:keepNext/>
              <w:keepLines/>
            </w:pPr>
            <w:r>
              <w:t>11-β hydroxylase inhibitors</w:t>
            </w:r>
          </w:p>
        </w:tc>
        <w:tc>
          <w:tcPr>
            <w:tcW w:w="5004" w:type="dxa"/>
          </w:tcPr>
          <w:p w14:paraId="64444C34" w14:textId="24F20294" w:rsidR="004514EC" w:rsidRDefault="004514EC" w:rsidP="004514EC">
            <w:pPr>
              <w:pStyle w:val="BUMainText"/>
              <w:keepNext/>
              <w:keepLines/>
            </w:pPr>
            <w:r>
              <w:t>Metyrapone, mitotane, ketoconazole.</w:t>
            </w:r>
          </w:p>
        </w:tc>
      </w:tr>
      <w:tr w:rsidR="004514EC" w14:paraId="63F63159" w14:textId="77777777" w:rsidTr="000332A2">
        <w:trPr>
          <w:cantSplit/>
        </w:trPr>
        <w:tc>
          <w:tcPr>
            <w:tcW w:w="3600" w:type="dxa"/>
          </w:tcPr>
          <w:p w14:paraId="485CE471" w14:textId="0BE7501D" w:rsidR="004514EC" w:rsidRDefault="004514EC" w:rsidP="000332A2">
            <w:pPr>
              <w:pStyle w:val="BUMainText"/>
              <w:keepNext/>
              <w:keepLines/>
            </w:pPr>
            <w:r>
              <w:t>Inhibitor of 3 β-hydroxysteroid dehydrogenase</w:t>
            </w:r>
          </w:p>
        </w:tc>
        <w:tc>
          <w:tcPr>
            <w:tcW w:w="5004" w:type="dxa"/>
          </w:tcPr>
          <w:p w14:paraId="2EB4AA4E" w14:textId="60EF0F42" w:rsidR="004514EC" w:rsidRDefault="004514EC" w:rsidP="004514EC">
            <w:pPr>
              <w:pStyle w:val="BUMainText"/>
              <w:keepNext/>
              <w:keepLines/>
            </w:pPr>
            <w:r w:rsidRPr="004514EC">
              <w:t>Trilostane (EMA-approved, FDA-withdrawn)[154]</w:t>
            </w:r>
          </w:p>
        </w:tc>
      </w:tr>
      <w:tr w:rsidR="004514EC" w14:paraId="1866F4BC" w14:textId="77777777" w:rsidTr="000332A2">
        <w:trPr>
          <w:cantSplit/>
        </w:trPr>
        <w:tc>
          <w:tcPr>
            <w:tcW w:w="3600" w:type="dxa"/>
          </w:tcPr>
          <w:p w14:paraId="1DE64BD6" w14:textId="7AEB0962" w:rsidR="004514EC" w:rsidRDefault="004514EC" w:rsidP="000332A2">
            <w:pPr>
              <w:pStyle w:val="BUMainText"/>
              <w:keepNext/>
              <w:keepLines/>
            </w:pPr>
            <w:r>
              <w:t>Inhibitor of the</w:t>
            </w:r>
            <w:r w:rsidR="000332A2">
              <w:t xml:space="preserve"> </w:t>
            </w:r>
            <w:r>
              <w:t>cholesterol side-chain cleavage enzyme</w:t>
            </w:r>
          </w:p>
        </w:tc>
        <w:tc>
          <w:tcPr>
            <w:tcW w:w="5004" w:type="dxa"/>
          </w:tcPr>
          <w:p w14:paraId="26F82317" w14:textId="24B448C1" w:rsidR="004514EC" w:rsidRDefault="004514EC" w:rsidP="004514EC">
            <w:pPr>
              <w:pStyle w:val="BUMainText"/>
              <w:keepNext/>
              <w:keepLines/>
            </w:pPr>
            <w:r w:rsidRPr="004514EC">
              <w:t>Aminoglutethimide</w:t>
            </w:r>
          </w:p>
        </w:tc>
      </w:tr>
      <w:tr w:rsidR="004514EC" w14:paraId="7CB30B01" w14:textId="77777777" w:rsidTr="000332A2">
        <w:trPr>
          <w:cantSplit/>
        </w:trPr>
        <w:tc>
          <w:tcPr>
            <w:tcW w:w="3600" w:type="dxa"/>
          </w:tcPr>
          <w:p w14:paraId="28E74D59" w14:textId="2A3BFD39" w:rsidR="004514EC" w:rsidRDefault="004514EC" w:rsidP="004514EC">
            <w:pPr>
              <w:pStyle w:val="BUMainText"/>
              <w:keepNext/>
              <w:keepLines/>
            </w:pPr>
            <w:r w:rsidRPr="004514EC">
              <w:t>GR antagonist</w:t>
            </w:r>
          </w:p>
        </w:tc>
        <w:tc>
          <w:tcPr>
            <w:tcW w:w="5004" w:type="dxa"/>
          </w:tcPr>
          <w:p w14:paraId="2942A4A5" w14:textId="41C46FB3" w:rsidR="004514EC" w:rsidRDefault="004514EC" w:rsidP="004514EC">
            <w:pPr>
              <w:pStyle w:val="BUMainText"/>
              <w:keepNext/>
              <w:keepLines/>
            </w:pPr>
            <w:r w:rsidRPr="004514EC">
              <w:t>Mifepristone (FDA-approved)[155]</w:t>
            </w:r>
          </w:p>
        </w:tc>
      </w:tr>
    </w:tbl>
    <w:p w14:paraId="4A9F3A76" w14:textId="38323F1B" w:rsidR="00F3373D" w:rsidRPr="000A05E4" w:rsidRDefault="00F3373D" w:rsidP="009B2F28">
      <w:pPr>
        <w:pStyle w:val="BUTableCaption"/>
        <w:rPr>
          <w:sz w:val="20"/>
          <w:szCs w:val="20"/>
        </w:rPr>
      </w:pPr>
      <w:bookmarkStart w:id="12" w:name="_Toc238869198"/>
      <w:bookmarkStart w:id="13" w:name="_Toc238880543"/>
      <w:bookmarkStart w:id="14" w:name="_Toc422958750"/>
      <w:bookmarkEnd w:id="11"/>
      <w:r w:rsidRPr="000A05E4">
        <w:rPr>
          <w:sz w:val="20"/>
          <w:szCs w:val="20"/>
        </w:rPr>
        <w:t xml:space="preserve">Table </w:t>
      </w:r>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r w:rsidRPr="000A05E4">
        <w:rPr>
          <w:sz w:val="20"/>
          <w:szCs w:val="20"/>
        </w:rPr>
        <w:t>.</w:t>
      </w:r>
      <w:r w:rsidR="004514EC">
        <w:rPr>
          <w:sz w:val="20"/>
          <w:szCs w:val="20"/>
        </w:rPr>
        <w:t xml:space="preserve"> </w:t>
      </w:r>
      <w:r w:rsidR="004514EC" w:rsidRPr="004514EC">
        <w:rPr>
          <w:sz w:val="20"/>
          <w:szCs w:val="20"/>
        </w:rPr>
        <w:t>Pharmacological agents used in Cushing’s disease of unidentified ectopic, or diffuse localization (reviewed in [1, 2])</w:t>
      </w:r>
      <w:bookmarkEnd w:id="12"/>
      <w:bookmarkEnd w:id="13"/>
      <w:bookmarkEnd w:id="14"/>
    </w:p>
    <w:p w14:paraId="67CB199F" w14:textId="77777777" w:rsidR="000332A2" w:rsidRDefault="000332A2" w:rsidP="000332A2">
      <w:pPr>
        <w:pStyle w:val="BUMainText"/>
        <w:ind w:firstLine="720"/>
      </w:pPr>
      <w:r>
        <w:t>Similarly, the opportunities for AAS as adjuvant to GC therapy are very limited. Many of the diseases previously treated by high-dose GC are now treated with higher-specificity drugs. As practitioners became more accustomed with the risks 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component[124]. By mid-1970’s, it became common advice that “prescriptions for [glucocorticoid] steroids should not be refillable”[156]. By the time modern trials with AAS began, the incidence of overt hypercortisolism decreased significantly. Despite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23F52BD1" w14:textId="77777777" w:rsidR="000332A2" w:rsidRDefault="000332A2" w:rsidP="000332A2">
      <w:pPr>
        <w:pStyle w:val="BUMainText"/>
        <w:ind w:firstLine="720"/>
      </w:pPr>
      <w:r>
        <w:t>An unblinded trial observed AAS-induced increases in lean body mass and appendicular muscle mass, in men already receiving an average of 6 mg prednisone a day over 9 years[157]. Another, randomized, blinded, placebo-controlled trial by Crawford and colleagues tested the benefits of testosterone or nandrolone decanoate as an adjuvant to chronic GC therapy for diverse pathologies[158]. The exposure to GC was an average of 12 mg prednisone a day, over more than 8 years, and was already causing osteopenia, hyperlipidemia, hypercholesterolemia, and a reduction in quality of life compared to historical controls[159].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6D85542A" w14:textId="5948B936" w:rsidR="00EA4B26" w:rsidRDefault="000332A2" w:rsidP="000332A2">
      <w:pPr>
        <w:pStyle w:val="BUMainText"/>
        <w:ind w:firstLine="720"/>
      </w:pPr>
      <w:r>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r w:rsidR="00F3373D">
        <w:t>.</w:t>
      </w:r>
    </w:p>
    <w:p w14:paraId="588CC8A6" w14:textId="7BEC7292" w:rsidR="00EA4B26" w:rsidRPr="00FE328A" w:rsidRDefault="00FE328A" w:rsidP="00EA4B26">
      <w:pPr>
        <w:pStyle w:val="Heading2"/>
        <w:rPr>
          <w:sz w:val="24"/>
        </w:rPr>
      </w:pPr>
      <w:bookmarkStart w:id="15" w:name="_Toc422957897"/>
      <w:r w:rsidRPr="00FE328A">
        <w:rPr>
          <w:sz w:val="24"/>
        </w:rPr>
        <w:t>Hypercortisolism-induced changes in endogenous androgens levels</w:t>
      </w:r>
      <w:bookmarkEnd w:id="15"/>
    </w:p>
    <w:p w14:paraId="02E5F00D" w14:textId="77777777" w:rsidR="00FE328A" w:rsidRDefault="00FE328A" w:rsidP="00FE328A">
      <w:pPr>
        <w:pStyle w:val="BUMainText"/>
        <w:ind w:firstLine="720"/>
      </w:pPr>
      <w:r>
        <w:t>AAS therapy does not change circulating cortisol levels[160].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1937E7C3" w14:textId="77777777" w:rsidR="00FE328A" w:rsidRDefault="00FE328A" w:rsidP="00FE328A">
      <w:pPr>
        <w:pStyle w:val="BUMainText"/>
        <w:ind w:firstLine="720"/>
      </w:pPr>
      <w:r>
        <w:t>A series of trials observed the effect of short-term (hours or days) hypercortisolism in healthy volunteers. Experimental acute hypercortisolism represses circulating levels of Testo, in a reversible manner, in males and, to a lesser degree, in females[161, 162]. The mechanisms through which acute hypercortisolism causes Testo downregulation, also termed hypoandrogenism, are debated. Some studies suggested that acute hypercortisolism downregulates the pituitary-secreted, T-upregulating, luteinizing hormone (LH)[163, 164, 165]. Others found that GC induce hypoandrogenism even when LH is unchanged, thus locating the repression at gonad level[166]. Another hypothesis is that the negative feedback loop repressing ACTH in hypercortisolism has a side effect of androgen suppression[167]. A few groups have even hypothesized the existence of another, still unknown hormone, synthesized from ACTH precursor, pro-opiomelanocortin (POMC), with the ability to stimulate androstenedione synthesis and secretion[168, 169]. GC-induced repression of POMC would also repress this unknown androgen-stimulating hormone, but its existence was never proven.</w:t>
      </w:r>
    </w:p>
    <w:p w14:paraId="7B283798" w14:textId="77777777" w:rsidR="00FE328A" w:rsidRDefault="00FE328A" w:rsidP="00FE328A">
      <w:pPr>
        <w:pStyle w:val="BUMainText"/>
        <w:ind w:firstLine="720"/>
      </w:pPr>
      <w:r>
        <w:t>In males, chronic hypercortisolism is also associated with hypoandrogenism. Long-term prednisone therapy reduces circulating Testo levels[170].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LH[171]. Others found that that CS is correlated with pathologically low levels of LH and of the other gonad-stimulating pituitary hormone, follicle stimulating hormone (FSH), despite normal GnRH secretion[172, 173]. This scenario suggests that hypercortisolism reduces pituitary’s GnRH responsiveness. Finally, a small study found that male asthma patients receiving long-term prednisone have lower circulating Testo levels despite increases in LH and FSH, and concluded that prednisone has a direct inhibitory action on the testes[174]. Despite disagreeing on the mechanism, all these studies agree that chronic hypercortisolism represses testicular androgen secretion.</w:t>
      </w:r>
    </w:p>
    <w:p w14:paraId="7F3CC3F0" w14:textId="77777777" w:rsidR="00FE328A" w:rsidRDefault="00FE328A" w:rsidP="00FE328A">
      <w:pPr>
        <w:pStyle w:val="BUMainText"/>
        <w:ind w:firstLine="720"/>
      </w:pPr>
      <w:r>
        <w:t>In adult women, the regulation of AAS is more complex. During reproductive age and a few years afterwards, the main source of androgenic stimulation is the ovary[175], where Testo is an intermediate product in the synthesis of estrogens (reviewed in [176]). A feedback loop links LH and estrogens levels, with LH directly stimulating synthesis and secretion of estrogens from the developing and atretic follicles[177]. The reverse link is more complex, with estrogens inhibiting LH for most of the menstrual cycle[178], with the possible exception of ovulation. In the direct link, LH must stimulate ovarian Testo synthesis in order to achieve estrogen upregulation, but a reverse link, where Testo directly inhibits LH, is absent in women[179, 180]. Although measurement methods and normal ranges are still to be perfected, it appears that circulating Testo level in women are reflecting the menstruation-related cyclical interplay of estrogen and LH, rather than being independently controlled[181, 182].</w:t>
      </w:r>
    </w:p>
    <w:p w14:paraId="6AA8AF04" w14:textId="77777777" w:rsidR="00FE328A" w:rsidRDefault="00FE328A" w:rsidP="00FE328A">
      <w:pPr>
        <w:pStyle w:val="BUMainText"/>
        <w:ind w:firstLine="720"/>
      </w:pPr>
      <w:r>
        <w:t>This sexual dimorphism differentiates male and female AAS response to chronic hypercortisolism. Women with CS have lower muscle mass compared to general population[183]. Decreased libido, a sign of hypoandrogenism in both genders, is reported by 40% of female CS patients[65]. However, in contrast to males, females with CS have normal or even increased AAS synthesis and levels, compared to healthy controls[184, 185]. Four fifths of women with CS have menstrual irregularities, which has been attributed to hyperandrogenism, direct cortisol action, or depletion of LH or estradiol[171]. More than 75% of CS cases present with hirsutism, that is, male-patterned body and face hair growth in female patients, and a clear sign of hyperandrogenism[1, 65]. Women with CS-related hirsutism have androgen levels higher than healthy controls[186]. Other signs of hyperandrogenism, such as voice changes or acne, are rare in female CS.</w:t>
      </w:r>
    </w:p>
    <w:p w14:paraId="3F5E79C9" w14:textId="77777777" w:rsidR="00FE328A" w:rsidRDefault="00FE328A" w:rsidP="00FE328A">
      <w:pPr>
        <w:pStyle w:val="BUMainText"/>
        <w:ind w:firstLine="720"/>
      </w:pPr>
      <w:r>
        <w:t>Indirect evidence suggests that apparent hyperandrogenism is also present in children with hypercortisolism. In pediatric hypercortisolism, virilization signs such as change in voice, penile or clitoridian overgrowth, and hirsutism are common[187, 188]. Published studies do not describe muscle changes in these children, possibly due to difficulties in assessment and scarcity of cases.</w:t>
      </w:r>
    </w:p>
    <w:p w14:paraId="31E84664" w14:textId="77777777" w:rsidR="00FE328A" w:rsidRDefault="00FE328A" w:rsidP="00FE328A">
      <w:pPr>
        <w:pStyle w:val="BUMainText"/>
        <w:ind w:firstLine="720"/>
      </w:pPr>
      <w:r>
        <w:t>In adult female CS, muscle catabolism increase contrasts with virilization and circulating androgens changes. This suggests that relative hyperandrogenism in some tissues is coincident with relative hypoandrogenism in others. For example, it has been shown that in cultured prostate cells excess GC improves the sensitivity of the androgen receptor (AR)[189], the nuclear receptor mediating the action of AAS. In contrast, in women’s muscle, short-term Dexa inhibits AR expression [190]. It may be the case that GCs interfere with Testo signals in a tissue- or sex-specific manner.</w:t>
      </w:r>
    </w:p>
    <w:p w14:paraId="21B8B557" w14:textId="77777777" w:rsidR="00FE328A" w:rsidRDefault="00FE328A" w:rsidP="00FE328A">
      <w:pPr>
        <w:pStyle w:val="BUMainText"/>
        <w:ind w:firstLine="720"/>
      </w:pPr>
      <w:r>
        <w:t>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might be an AAS. Recent studies indicate that, in human female tissue, DHEA may in fact be a partial agonist, hindering the action of T[191]. DHEA and DHEAS, now termed adrenal androgen precursors (AAP), are upregulated by ACTH, through increased synthesis of DHEA in the adrenal and rapid bidirectional interconversion[192, 193]. Therefore, Cushing’s disease and other conditions associated with increases in ACTH will present with increases in AAPs, while primary hypercortisolism will be associated with ACTH repression and consequent AAP decrease[194, 195, 168, 196]. Both types of hypercortisolism are associated with 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5BF2BEB8" w14:textId="445BA1F2" w:rsidR="001A02FD" w:rsidRDefault="00FE328A" w:rsidP="00FE328A">
      <w:pPr>
        <w:pStyle w:val="BUMainText"/>
        <w:ind w:firstLine="720"/>
      </w:pPr>
      <w:r>
        <w:t>Loss of endogenous AAS is associated with loss of muscle mass and strength[197, 198]. Perhaps for this reason, muscle wasting is more common in males than in females with endogenous CS[199].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Testo[158]. Androgen therapy for muscle protection in CS is predicted to benefit adult males, especially in the frequent cases of patent hypogonadism.</w:t>
      </w:r>
    </w:p>
    <w:p w14:paraId="3F957B3E" w14:textId="77777777" w:rsidR="00FE328A" w:rsidRPr="00FE328A" w:rsidRDefault="00FE328A" w:rsidP="00FE328A">
      <w:pPr>
        <w:pStyle w:val="Heading2"/>
        <w:rPr>
          <w:sz w:val="24"/>
        </w:rPr>
      </w:pPr>
      <w:bookmarkStart w:id="16" w:name="_Toc422957898"/>
      <w:r w:rsidRPr="00FE328A">
        <w:rPr>
          <w:sz w:val="24"/>
        </w:rPr>
        <w:t>Molecular mechanisms of androgenic myoprotection in humans</w:t>
      </w:r>
      <w:bookmarkEnd w:id="16"/>
    </w:p>
    <w:p w14:paraId="26245787" w14:textId="77777777" w:rsidR="00FE328A" w:rsidRDefault="00FE328A" w:rsidP="00FE328A">
      <w:pPr>
        <w:pStyle w:val="BUMainText"/>
        <w:ind w:firstLine="720"/>
      </w:pPr>
      <w:r>
        <w:t>GAML is a well-studied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42CC01BE" w14:textId="77777777" w:rsidR="00FE328A" w:rsidRDefault="00FE328A" w:rsidP="00FE328A">
      <w:pPr>
        <w:pStyle w:val="BUMainText"/>
        <w:ind w:firstLine="720"/>
      </w:pPr>
      <w:r>
        <w:t>Most commonly, studies of AAS on muscle are carried on hypogonadal men. In male primary hypogonadism, rates of cortisol synthesis and degradation are typically normal[200]. In this population, AAS therapy, even with low, “replacement” doses, causes an increase in muscle mass and force[201, 202]. The gain in muscle mass is caused mainly by an increase in protein synthesis, as evidenced by increased nonoxidative uptake of labeled leucine[202].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122D5989" w14:textId="77777777" w:rsidR="00FE328A" w:rsidRDefault="00FE328A" w:rsidP="00FE328A">
      <w:pPr>
        <w:pStyle w:val="BUMainText"/>
        <w:ind w:firstLine="720"/>
      </w:pPr>
      <w:r>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patients[203, 204]. This form of chemical castration causes decreases in both protein synthesis and degradation[205], indicating that loss of muscle is caused by translation changes. In the prostate cancer study, correction of leuprolide-induced hypoandrogenism by co-administration of Testo reversed most of the muscle mass losses, although mechanisms were not studied.</w:t>
      </w:r>
    </w:p>
    <w:p w14:paraId="4BA3C800" w14:textId="77777777" w:rsidR="00FE328A" w:rsidRDefault="00FE328A" w:rsidP="00FE328A">
      <w:pPr>
        <w:pStyle w:val="BUMainText"/>
        <w:ind w:firstLine="720"/>
      </w:pPr>
      <w:r>
        <w:t>The protective action of AAS therapy in iatrogenic hypoandrogenism is not affected by co-administration of an aromatase inhibitor such as anastrozole[206]. Aromatase converts Testo in estradiol. The continuing muscle protection when Testo cannot be converted to estrogens demonstrates that muscle protection is an intrinsic ability of Testo. A more plausible mediator for AAS is the insulin-like growth factor I (IGF-I), whose muscle expression is decreased by iatrogenic hypogonadism[205].</w:t>
      </w:r>
    </w:p>
    <w:p w14:paraId="02EDA5EB" w14:textId="77777777" w:rsidR="00FE328A" w:rsidRDefault="00FE328A" w:rsidP="00FE328A">
      <w:pPr>
        <w:pStyle w:val="BUMainText"/>
        <w:ind w:firstLine="720"/>
      </w:pPr>
      <w:r>
        <w:t>Another well-studies group comprises older men, whose Testo levels and muscle mass are naturally declining[207, 208]. An argument has been made about benefits of Testo replacement therapy in this population. Multiple clinical studies tested this hypothesis. In older men with low bioavailable Testo, muscle mass and strength is improved by 200 mg Testo every other week[209, 210]. As in hypogonadal men, muscle recovery can be localized to the contractile cells, as indicated by increases in the CSA of fast- and slow-twitching fibers[211]. No evidence of fiber type switching or fiber type-specific effects in response to AAS therapy has been seen. Instead, histological studies reveal that elderly treated with AAS have significantly more satellite cells[211].</w:t>
      </w:r>
    </w:p>
    <w:p w14:paraId="1F9BAC8E" w14:textId="77777777" w:rsidR="00FE328A" w:rsidRDefault="00FE328A" w:rsidP="00FE328A">
      <w:pPr>
        <w:pStyle w:val="BUMainText"/>
        <w:ind w:firstLine="720"/>
      </w:pPr>
      <w:r>
        <w:t>Testo improves the net balance between protein synthesis and degradation at muscle level[212]. The cause of protein accretion is an increase in protein synthesis, as shown by an augmentation of mixed-muscle FSR[213]. The increase in muscle fiber protein is correlated with an upregulation of circulating N-terminal propeptide of type III procollagen[214], indicating that cellular hypertrophy is paralleled by extracellular matrix remodeling.</w:t>
      </w:r>
    </w:p>
    <w:p w14:paraId="54D13463" w14:textId="77777777" w:rsidR="00FE328A" w:rsidRDefault="00FE328A" w:rsidP="00FE328A">
      <w:pPr>
        <w:pStyle w:val="BUMainText"/>
        <w:ind w:firstLine="720"/>
      </w:pPr>
      <w:r>
        <w:t>Ferrando and colleagues made the case for an anti-catabolic action of AAS in older men[215].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proteasome enzymatic activity following Testo therapy. The same group found a similar pattern of net gain in muscle protein, correlated with reduced catabolism and unchanged protein synthesis, in a short-term trial of Testo on men with severe burns[216]. It is unclear why the anti-catabolic action of Testo did not garner more attention. The hypothesis that Testo inhibits protein degradation remains tempting, but better studies are needed.</w:t>
      </w:r>
    </w:p>
    <w:p w14:paraId="14A2D71A" w14:textId="77777777" w:rsidR="00FE328A" w:rsidRDefault="00FE328A" w:rsidP="00FE328A">
      <w:pPr>
        <w:pStyle w:val="BUMainText"/>
        <w:ind w:firstLine="720"/>
      </w:pPr>
      <w:r>
        <w:t>Perhaps provocatively, the protection of muscle force provided by Testo to the older hypogonadal men is not hindered by co-administration of finasteride, an inhibitor of 5α-reductase, which causes the transformation of Testo to 5α-dihydrotestosterone (DHT)[217]. Similarly, Testo muscle protection was present when another 5α-reductase inhibitor, dutasteride, was co-administered to a younger, possibly less hypoandrogenic cohort[218]. In human males, conversion to DHT is not required or T’s regulation of muscle mass. Once more, a more plausible mediator of AAS is IGF-I, the peptide hormone upregulated by Testo in the muscle and in the serum of the older men[212, 219].</w:t>
      </w:r>
    </w:p>
    <w:p w14:paraId="6696B902" w14:textId="77777777" w:rsidR="00FE328A" w:rsidRDefault="00FE328A" w:rsidP="00FE328A">
      <w:pPr>
        <w:pStyle w:val="BUMainText"/>
        <w:ind w:firstLine="720"/>
      </w:pPr>
      <w:r>
        <w:t>There is no agreement on the balance of benefits and deleterious effects of Testo therapy for women[220, 221]. There is no FDA-approved Testo preparation for women. Therefore, the action of Testo in women remains an area of research requiring further investigation.</w:t>
      </w:r>
    </w:p>
    <w:p w14:paraId="6AF0510F" w14:textId="77777777" w:rsidR="00FE328A" w:rsidRDefault="00FE328A" w:rsidP="00FE328A">
      <w:pPr>
        <w:pStyle w:val="BUMainText"/>
        <w:ind w:firstLine="720"/>
      </w:pPr>
      <w:r>
        <w:t>The best molecular observations on the action of Testo on muscle loss have been obtained from studies of HIV-positive men, who have significantly lower circulating Testo levels[222]. AAS delays loss of muscle mass in AIDS wasting syndrome, leading to better quality of life[223]. Microarray analysis indicated that T-treated muscle upregulated expression of genes from the IGF-I- and AR-stimulated signaling pathways[224].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 (described in [225, 226]), or of the two E3 ligases typically associated with muscle loss, MAFbx and MuRF-1 (described in [227, 228]).</w:t>
      </w:r>
    </w:p>
    <w:p w14:paraId="29F3BA21" w14:textId="77777777" w:rsidR="00FE328A" w:rsidRDefault="00FE328A" w:rsidP="00FE328A">
      <w:pPr>
        <w:pStyle w:val="BUMainText"/>
        <w:ind w:firstLine="720"/>
      </w:pPr>
      <w:r>
        <w:t>The histological and molecular findings from hypogonadal and HIV-positive males receiving AAS have been confirmed in many other pathologies that cause loss of muscle. AAS therapy improves muscle mass and strength in males with chronic kidney disease and liver cirrhosis[229, 230]. In men with COPD, 100 mg Testo enanthate injected weekly led to improvements in muscle mass and strength, potentially augmenting quality of life[231]. These improvements are caused by an increase in fiber CSA, regardless of fiber type, and by an upregulation of the IGF-I mRNA isoforms IGF-IEa and IGF-IEc[232]. In both COPD and HIV-positive men, Testo upregulated isoform 3, also known as embryonic, MyHC.</w:t>
      </w:r>
    </w:p>
    <w:p w14:paraId="75EAE780" w14:textId="77777777" w:rsidR="00FE328A" w:rsidRDefault="00FE328A" w:rsidP="00FE328A">
      <w:pPr>
        <w:pStyle w:val="BUMainText"/>
        <w:ind w:firstLine="720"/>
      </w:pPr>
      <w:r>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damage[233]. A randomized trial showed that heart failure patients improve their muscle force with AAS therapy[234, 235]. However, a series of recent studies found deleterious cardiovascular effects of AAS[236, 237],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4AA1E396" w14:textId="77777777" w:rsidR="00FE328A" w:rsidRDefault="00FE328A" w:rsidP="00FE328A">
      <w:pPr>
        <w:pStyle w:val="BUMainText"/>
        <w:ind w:firstLine="720"/>
      </w:pPr>
      <w:r>
        <w:t>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In their absence, our insights into glucocorticoid myopathy and AAS muscle protection come from animal and in vitro experiments, discussed in the next section.</w:t>
      </w:r>
    </w:p>
    <w:p w14:paraId="75FE2041" w14:textId="77777777" w:rsidR="002112A0" w:rsidRDefault="002112A0" w:rsidP="002112A0">
      <w:pPr>
        <w:pStyle w:val="BUMainText"/>
        <w:ind w:firstLine="720"/>
        <w:sectPr w:rsidR="002112A0"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2E7FFF44" w14:textId="77777777" w:rsidR="00FE328A" w:rsidRDefault="00FE328A" w:rsidP="00FE328A">
      <w:pPr>
        <w:pStyle w:val="Heading1"/>
      </w:pPr>
      <w:bookmarkStart w:id="17" w:name="_Toc422957899"/>
      <w:r>
        <w:t>BIOLOGICAL PREMISES</w:t>
      </w:r>
      <w:bookmarkEnd w:id="17"/>
    </w:p>
    <w:p w14:paraId="31B9AB03" w14:textId="20D29E44" w:rsidR="00FE328A" w:rsidRPr="00FE328A" w:rsidRDefault="00FE328A" w:rsidP="00FE328A">
      <w:pPr>
        <w:pStyle w:val="Heading2"/>
        <w:rPr>
          <w:sz w:val="24"/>
          <w:szCs w:val="24"/>
        </w:rPr>
      </w:pPr>
      <w:bookmarkStart w:id="18" w:name="_Toc422957900"/>
      <w:r w:rsidRPr="00FE328A">
        <w:rPr>
          <w:sz w:val="24"/>
          <w:szCs w:val="24"/>
        </w:rPr>
        <w:t>Skeletal muscle histology</w:t>
      </w:r>
      <w:bookmarkEnd w:id="18"/>
    </w:p>
    <w:p w14:paraId="799389DB" w14:textId="77777777" w:rsidR="00FE328A" w:rsidRDefault="00FE328A" w:rsidP="00FE328A">
      <w:pPr>
        <w:pStyle w:val="BUMainText"/>
        <w:ind w:firstLine="720"/>
      </w:pPr>
      <w:r>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women[238]. Three fifths of the human body’s protein is confined to the muscle contractile and support structures[239].</w:t>
      </w:r>
    </w:p>
    <w:p w14:paraId="0A81737B" w14:textId="63E75055" w:rsidR="00FE328A" w:rsidRDefault="00FE328A" w:rsidP="00FE328A">
      <w:pPr>
        <w:pStyle w:val="BUMainText"/>
        <w:ind w:firstLine="720"/>
      </w:pPr>
      <w:r>
        <w:t>For the most part, the skeletal muscles confer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 proteinic auxiliary structures. The largest of these structures, tendons and aponeuroses, attach the muscle to other body structures (reviewed in [240]).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multinucleate, elongated cell (termed myofiber). The connective tissue inside the muscle provides mechanical anchoring between fibers, longitudinally, laterally and with the tendons. This is particularly true of perimysium, which is almost acellular, at 95% collagen content[241]. Intramuscular connective structures carry terminal branches of the nervous, circulatory and lymphatic systems. In addition, muscles include adipose and immune cells. Muscle mass changes require remodeling of all these connective structures, and may confound in vivo studies. For example, collagen synthesis or macrophage proliferation may misleadingly increase during slow muscle atrophy.</w:t>
      </w:r>
    </w:p>
    <w:p w14:paraId="4007E2F4" w14:textId="77777777" w:rsidR="00FE328A" w:rsidRDefault="00FE328A" w:rsidP="00FE328A">
      <w:pPr>
        <w:pStyle w:val="BUMainText"/>
        <w:ind w:firstLine="720"/>
      </w:pPr>
      <w:r>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protein[242].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For example, in rat muscles atrophying due to streptozotocin-induced acute diabetes, an actin degradation fragment becomes upregulated to detectable levels [243]. Therefore, in atrophy studies, normalization to actin may misleadingly reduce the apparent rate of depletion for other proteins. Similar issues govern the use of 3MH as a marker for myofibril protein catabolism. Given that the main correlate of urinary 3MH is muscle mass[244], 3MH measurement may lack sensitivity when used as an indicator for muscle catabolic rate. On one hand, increased catabolism is expected to cause increased 3MH output, but on the other, an atrophic muscle has less 3MH to release.</w:t>
      </w:r>
    </w:p>
    <w:p w14:paraId="0E7C1505" w14:textId="77777777" w:rsidR="00FE328A" w:rsidRDefault="00FE328A" w:rsidP="00FE328A">
      <w:pPr>
        <w:pStyle w:val="BUMainText"/>
        <w:ind w:firstLine="720"/>
      </w:pPr>
      <w:r>
        <w:t>Myofibers acquire nuclei by fusion with surrounding proliferative mononucleate cells, or with neighboring myofibers. Two classes of mononucleate cells are relevant for muscle structure and development. Satellite cells are Pax7-positive, mononuclear, nearly devoid of cytosol, sitting in close proximity to the fiber, under the proteinic external lamina (reviewed in [245]).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muscle[246]. The transformation of quiescent satellite cells into proliferating myoblast is regulated by the interplay of growth factors, external lamina, and contact with myofibers[247]. Alternate extra-muscular sources of nuclei in the myofiber are subject of ongoing research, but their relative importance is expected to be minor at best (reviewed in [248]).</w:t>
      </w:r>
    </w:p>
    <w:p w14:paraId="0364F6B3" w14:textId="77777777" w:rsidR="00FE328A" w:rsidRDefault="00FE328A" w:rsidP="00FE328A">
      <w:pPr>
        <w:pStyle w:val="BUMainText"/>
        <w:ind w:firstLine="720"/>
      </w:pPr>
      <w:r>
        <w:t>Experimentally, α7 integrin is an effective marker for selecting proliferative precursors from muscle[249].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750AE825" w14:textId="77777777" w:rsidR="00FE328A" w:rsidRDefault="00FE328A" w:rsidP="00FE328A">
      <w:pPr>
        <w:pStyle w:val="BUMainText"/>
        <w:ind w:firstLine="720"/>
      </w:pPr>
      <w:r>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changes[250, 251], suggesting hypertrophy of existing fibers, but not additional cell division. Quail muscles depleted of proliferating cells by irradiation still undergo hypertrophy in response to stretch-overload[252]. These examples of amitotic hypertrophy demonstrate that, in some circumstances, the number of nuclei is not limiting muscle growth. Conversely, it is plausible that a moderate degree of muscle atrophy occurs without loss of nuclei.</w:t>
      </w:r>
    </w:p>
    <w:p w14:paraId="2B1F7DAC" w14:textId="77777777" w:rsidR="00FE328A" w:rsidRDefault="00FE328A" w:rsidP="00FE328A">
      <w:pPr>
        <w:pStyle w:val="BUMainText"/>
        <w:ind w:firstLine="720"/>
      </w:pPr>
      <w:r>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71C9ACE6" w14:textId="77777777" w:rsidR="00FE328A" w:rsidRPr="00FE328A" w:rsidRDefault="00FE328A" w:rsidP="00FE328A">
      <w:pPr>
        <w:pStyle w:val="Heading2"/>
        <w:rPr>
          <w:sz w:val="24"/>
          <w:szCs w:val="24"/>
        </w:rPr>
      </w:pPr>
      <w:bookmarkStart w:id="19" w:name="_Toc422957901"/>
      <w:r w:rsidRPr="00FE328A">
        <w:rPr>
          <w:sz w:val="24"/>
          <w:szCs w:val="24"/>
        </w:rPr>
        <w:t>Pre-adult muscle development</w:t>
      </w:r>
      <w:bookmarkEnd w:id="19"/>
    </w:p>
    <w:p w14:paraId="4F1E3C69" w14:textId="77777777" w:rsidR="00FE328A" w:rsidRDefault="00FE328A" w:rsidP="00FE328A">
      <w:pPr>
        <w:pStyle w:val="BUMainText"/>
        <w:ind w:firstLine="720"/>
      </w:pPr>
      <w:r>
        <w:t>In humans, immediately after birth, the number of satellite cells is much higher than in the adult, but drops by an order of magnitude between birth and 10 years[253]. This decay carries on throughout the lifetime at a slower rate. In mice, muscle growth at puberty is associated with a massive shift of nuclei from the satellite cells to the myofibers[254]. Perinatal Pax7 knockout reduces muscle ability to regenerate, while its genetic depletion in utero or at adulthood does not exhibit pathological traits[255], suggesting that juvenile muscle growth is distinct from muscle development at other ages.</w:t>
      </w:r>
    </w:p>
    <w:p w14:paraId="78178C5C" w14:textId="77777777" w:rsidR="00FE328A" w:rsidRDefault="00FE328A" w:rsidP="00FE328A">
      <w:pPr>
        <w:pStyle w:val="BUMainText"/>
        <w:ind w:firstLine="720"/>
      </w:pPr>
      <w:r>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 [256]). The latter contain the earliest cells expressing muscle regulatory factors (MRF). These embryonic epaxial and hypaxial muscles develop into trunk and limb muscles. Early on, limb muscle precursors express myogenic factor (Myf) 5, due to stimulation from the transcription factor Pax3[257, 258]. Myf5 is a strong inductor of the muscle phenotype, with the ability to convert embryonic fibroblasts to myosin-containing syncytia[259]. Cranial muscle formation is coordinated in a slightly different manner, through the transcription factors T-box (Tbx) 1 and paired-like homeodomain (Pitx) 2 (reviewed in [260]). Once this early stage is completed, later fetal muscle progenitors converge to a phenotype remarkable for the expression of the MRF MyoD, due to stimulation by the transcription factor Pax7[261]. MyoD knockout mice are normal, with Myf5 supplanting its absence[262]. In the Online Mendelian Inheritance in Man (OMIM) database, there is no reported case of human mutation of Myf5 or MyoD, further supporting the idea of duplicate function.</w:t>
      </w:r>
    </w:p>
    <w:p w14:paraId="781FC9EA" w14:textId="77777777" w:rsidR="00FE328A" w:rsidRDefault="00FE328A" w:rsidP="00FE328A">
      <w:pPr>
        <w:pStyle w:val="BUMainText"/>
        <w:ind w:firstLine="720"/>
      </w:pPr>
      <w:r>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cycle[263]. Subsequent changes include expression of muscle-specific enzymes and contractile proteins[264], of a fourth MRF, the myogenic regulatory factor 4 (Mrf4)[265], and, finally, acquisition of fusogenic abilities. In humans, by the seventh week of gestation, the initial wave of myoblast fusion slows down, and a second proliferative stage starts. The latter tapers off, leading to formation of secondary myotubes within the same laminar sheath with a primary myotube. Around the seventeenth week, some secondary myotubes migrate to form independent centers of coalescence for a third set of myotubes[266].</w:t>
      </w:r>
    </w:p>
    <w:p w14:paraId="16726CAF" w14:textId="77777777" w:rsidR="00FE328A" w:rsidRDefault="00FE328A" w:rsidP="00FE328A">
      <w:pPr>
        <w:pStyle w:val="BUMainText"/>
        <w:ind w:firstLine="720"/>
      </w:pPr>
      <w:r>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cells[267]. Phenotypic differences between myostatin-null and wild-type mice develop by the second week of embryogenesis, prior to the moment when differences in protein synthesis would become relevant[268]. Similarly, the few reports of viable human mutations in the myostatin gene concern newborns with unusually large muscles[269]. Because myostatin defects cause even ampler increases in muscle mass after birth[270, 269], it is possible that myostatin acts through parallel, mitotic and non-mitotic, mechanisms.</w:t>
      </w:r>
    </w:p>
    <w:p w14:paraId="3131315A" w14:textId="77777777" w:rsidR="00FE328A" w:rsidRDefault="00FE328A" w:rsidP="00FE328A">
      <w:pPr>
        <w:pStyle w:val="BUMainText"/>
        <w:ind w:firstLine="720"/>
      </w:pPr>
      <w:r>
        <w:t>IGF-I has a similar composite effect. In chick embryos, overexpression of IGF-I induces a rapid increase in the ratio of myoblast to myofiber nuclei, while fiber density is unchanged[271]. In addition to the hyperplastic effect, IGF-I stimulates protein anabolism in prenatal muscle[272]. Defects in IGF-1R signaling determine low birth weight and subsequent growth retardation in humans and transgenic mice[273, 274]. As in myostatin’s case, it is difficult to separate mitotic and non-mitotic effects of IGF-I.</w:t>
      </w:r>
    </w:p>
    <w:p w14:paraId="13665F6A" w14:textId="77777777" w:rsidR="00FE328A" w:rsidRDefault="00FE328A" w:rsidP="00FE328A">
      <w:pPr>
        <w:pStyle w:val="BUMainText"/>
        <w:ind w:firstLine="720"/>
      </w:pPr>
      <w:r>
        <w:t>The adult satellite cells are derived from a subset of fetal Pax3+ Pax7+ cells. Because some cells, such as bone marrow stem cells and pericytes, have the ability to fuse with myotubes in vitro, the muscle stem cell population was hypothesized to include extra-muscular self-renewing cells[275, 276]. However, after the age of 20, human muscle nuclei maintain an almost constant length of telomeres, suggesting that mitosis and recruitment of extramuscular cells are rare phenomena[277]. Moreover, the proportion of resident satellite cells with proliferating abilities decreases with age, as more of them approach the Hayflick limit[278]. As evidenced by studies such as the New Mexico Elder Health Survey, 1993-1995, aging is associated with accelerated loss of muscle mass[279].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6C6AE97F" w14:textId="77777777" w:rsidR="00FE328A" w:rsidRPr="00FE328A" w:rsidRDefault="00FE328A" w:rsidP="00FE328A">
      <w:pPr>
        <w:pStyle w:val="Heading2"/>
        <w:rPr>
          <w:sz w:val="24"/>
          <w:szCs w:val="24"/>
        </w:rPr>
      </w:pPr>
      <w:bookmarkStart w:id="20" w:name="_Toc422957902"/>
      <w:r w:rsidRPr="00FE328A">
        <w:rPr>
          <w:sz w:val="24"/>
          <w:szCs w:val="24"/>
        </w:rPr>
        <w:t>Physiological muscle metabolism</w:t>
      </w:r>
      <w:bookmarkEnd w:id="20"/>
    </w:p>
    <w:p w14:paraId="64CAE2E7" w14:textId="77777777" w:rsidR="00FE328A" w:rsidRDefault="00FE328A" w:rsidP="00FE328A">
      <w:pPr>
        <w:pStyle w:val="BUMainText"/>
        <w:ind w:firstLine="720"/>
      </w:pPr>
      <w:r>
        <w:t>Muscle is a major energy user in the body, with a skewed use of fat during rest and glucose during exercise (reviewed in [280, 281]).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muscle[282].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triglycerides[283]. Ongoing studies suggest that muscle oxidative (catabolic) uptake of NEFA is upregulated by peroxisome proliferator-activated receptor (PPAR) β/δ, which stimulates expression of the lipolysis rate-limiting enzyme, carnitine palmitoyltransferase I[284, 285]. This hypothesis is supported by fast- and exercise-induced upregulation of muscle PPAR δ[286, 287]. Moreover, PPAR δ overexpression leads to increase in type I fibers and subsequent resistance to high-fat diet[284]. Organ-level studies are impaired by the existence of nontrivial intramuscular adipose tissue.</w:t>
      </w:r>
    </w:p>
    <w:p w14:paraId="0BF58627" w14:textId="77777777" w:rsidR="00FE328A" w:rsidRDefault="00FE328A" w:rsidP="00FE328A">
      <w:pPr>
        <w:pStyle w:val="BUMainText"/>
        <w:ind w:firstLine="720"/>
      </w:pPr>
      <w:r>
        <w:t>The work described in this dissertation relies extensively on the C2C12 cell line, an immortalized female mouse muscle progenitor line obtained from a muscle recovering after mechanical injury. Treatment of confluent C2C12 cells with Dexa and 3-isobutyl-1-methylxanthine (IBMX) causes their differentiation into adipocytes[288]. Some pre-adipocyte traits, such as upregulation of PPAR γ, Krüppel-like factor-15 (Klf15), and CCAAT-enhancer-binding protein (C/EBP) β and δ ([289]; reviewed in [290]), may surface in cell culture experiments where muscle differentiation did not complete, and residual potential for adipogenesis remains (see, for example, [291]). An in vitro shift to a more adipose-like phenotype may be associated with diminished cell fusion ability, lower protein synthesis, and lower mitochondrial content, which may be misinterpreted as muscle atrophy.</w:t>
      </w:r>
    </w:p>
    <w:p w14:paraId="1C540926" w14:textId="77777777" w:rsidR="00FE328A" w:rsidRDefault="00FE328A" w:rsidP="00FE328A">
      <w:pPr>
        <w:pStyle w:val="BUMainText"/>
        <w:ind w:firstLine="720"/>
      </w:pPr>
      <w:r>
        <w:t>In humans, up to 90% of the glucose absorbed after a meal is removed from circulation by the skeletal muscles[292, 293], meaning that muscles should have a paramount role in the development of insulin resistance and eventually diabetes mellitus. After normal feeding, muscle builds polysaccharides reserves, in part because it can synthesize and deposit the largest glycogen stores in the body, and because it cannot release glucose.</w:t>
      </w:r>
    </w:p>
    <w:p w14:paraId="320C3B75" w14:textId="77777777" w:rsidR="00FE328A" w:rsidRDefault="00FE328A" w:rsidP="00FE328A">
      <w:pPr>
        <w:pStyle w:val="BUMainText"/>
        <w:ind w:firstLine="720"/>
      </w:pPr>
      <w:r>
        <w:t>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gluconeogenetic mechanism employs the intramuscular transamination of excess pyruvate to the amino acid alanine. Muscle-released alanine is converted by liver to glucose, especially at times when dietary carbohydrate intake is inadequate.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acids[294].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102779D0" w14:textId="77777777" w:rsidR="00FE328A" w:rsidRDefault="00FE328A" w:rsidP="00FE328A">
      <w:pPr>
        <w:pStyle w:val="BUMainText"/>
        <w:ind w:firstLine="720"/>
      </w:pPr>
      <w:r>
        <w:t>Among the amino acids with a trend for release between meals, isoleucine, leucine, methionine, phenylalanine, threonine, and valine cannot be synthesized by humans. Their net release indicates that, at rest, basal level of protein degradation slightly surpasses protein synthesis. Conversely, for a steady muscle mass, there must be net protein synthesis in the fed state. Muscle protein synthesis is stimulated by feeding in multiple ways. One of these mechanisms employs effects of branched-chain amino acids (BCAA), that is, valine, isoleucine, and leucine. BCAA stimulate protein accretion in muscle through a complex mechanism. Some studies show that BCAA ingestion or infusion increase protein synthesis rate[295], while others claim that BCAA solely reduce protein degradation[296]. The effect of BCAA supplementation is three-fold, combining increased caloric intake, reflex hyperinsulinemia, and an autonomous, insulin-independent effect. One study investigated the molecular effects of BCAA at clamped normal insulin levels[297]. In young, healthy men,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 [298]). Hyperphosphorylation of 4E-BP is the canonical way by which mTORC1 stimulates protein synthesis, by abolishing the former’s ability to bind and inhibit the mandatory translation initiation factor eIF4E. The activation of p70-S6K leads to the activation of a feedback phosphorylation of mTOR at Ser 2448[299]. Some of these three posttranslational modifications are paradoxically found in acute atrophy settings, when BCAA sudden release increases their circulating levels.</w:t>
      </w:r>
    </w:p>
    <w:p w14:paraId="6282E059" w14:textId="77777777" w:rsidR="002B6DC5" w:rsidRDefault="00FE328A" w:rsidP="00FE328A">
      <w:pPr>
        <w:pStyle w:val="BUMainText"/>
        <w:ind w:firstLine="720"/>
      </w:pPr>
      <w:r>
        <w:t>In vivo, BCAA are used by muscle as protein precursors, signaling molecules, and energetic substrates, when preferred energetic substrates are not available[300]. In studies that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effect[301, 302].</w:t>
      </w:r>
    </w:p>
    <w:p w14:paraId="6BDC71D1" w14:textId="77777777" w:rsidR="002B6DC5" w:rsidRPr="002B6DC5" w:rsidRDefault="00FE328A" w:rsidP="002B6DC5">
      <w:pPr>
        <w:pStyle w:val="Heading2"/>
        <w:rPr>
          <w:sz w:val="24"/>
          <w:szCs w:val="24"/>
        </w:rPr>
      </w:pPr>
      <w:bookmarkStart w:id="21" w:name="_Toc422957903"/>
      <w:r w:rsidRPr="002B6DC5">
        <w:rPr>
          <w:sz w:val="24"/>
          <w:szCs w:val="24"/>
        </w:rPr>
        <w:t>Adult muscle remodeling</w:t>
      </w:r>
      <w:bookmarkEnd w:id="21"/>
    </w:p>
    <w:p w14:paraId="0E14B420" w14:textId="77777777" w:rsidR="002B6DC5" w:rsidRDefault="00FE328A" w:rsidP="00FE328A">
      <w:pPr>
        <w:pStyle w:val="BUMainText"/>
        <w:ind w:firstLine="720"/>
      </w:pPr>
      <w:r>
        <w:t>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exercise and injury.</w:t>
      </w:r>
    </w:p>
    <w:p w14:paraId="32E190F3" w14:textId="77777777" w:rsidR="002B6DC5" w:rsidRDefault="00FE328A" w:rsidP="00FE328A">
      <w:pPr>
        <w:pStyle w:val="BUMainText"/>
        <w:ind w:firstLine="720"/>
      </w:pPr>
      <w:r>
        <w:t>Humans achieve muscle mass growth following exercise. Some forms of exercise are more suitable at increasing strength or resistance than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IL-6[303, 304, 305]. These signals are associated with increased proliferation of satellite cells and recruitment of neutrophils to the muscle[306, 307]. In the acute phase, the satellite cells co-localize with IGF-I[303]. The negative muscle regulator</w:t>
      </w:r>
      <w:r w:rsidR="002B6DC5">
        <w:t xml:space="preserve"> </w:t>
      </w:r>
      <w:r>
        <w:t>myostatin is not correlated with the phenotype, that is, it is not decreased by acute exercise[307, 308]. Acute exercise increases the fractional protein synthesis rate</w:t>
      </w:r>
      <w:r w:rsidR="002B6DC5">
        <w:t xml:space="preserve"> </w:t>
      </w:r>
      <w:r>
        <w:t>in muscle[309, 310]. Interestingly, a single bout of exercise during fast leads to increases circulating cortisol levels and the release of 3-MH, indicative of increased stimulation of protein degradation[311]. Concomitant amino acid feeding counters GC and catabolic response to exercise. Variations in regimens of exercise and timing and composition of diet have led to a plethora of studies. Just as most of the short-term exercise routines do not lead to muscle hypertrophy, literature is rich with examples of short exercise studies, where molecular changes have not been detected (reviewed in [312]). An important future direction in exercise science is establishing what distinguishes an effective brief exercise routine from an ineffective one. In this context, GCs may be interesting noninvasive markers.</w:t>
      </w:r>
    </w:p>
    <w:p w14:paraId="6EC807BF" w14:textId="77777777" w:rsidR="002B6DC5" w:rsidRDefault="00FE328A" w:rsidP="00FE328A">
      <w:pPr>
        <w:pStyle w:val="BUMainText"/>
        <w:ind w:firstLine="720"/>
      </w:pPr>
      <w:r>
        <w:t>In the long term, exercise increases fiber CSA, density of satellite cells, and the number of myofiber nuclei, while the level of intramuscular MyoD and IGF-I return to normal[313]. On the other hand, long-term exercise induces the</w:t>
      </w:r>
      <w:r w:rsidR="002B6DC5">
        <w:t xml:space="preserve"> </w:t>
      </w:r>
      <w:r>
        <w:t>expression of catabolic markers, such as the E3 ligases MAFbx and MuRF-1[314].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7883BC72" w14:textId="77777777" w:rsidR="002B6DC5" w:rsidRDefault="00FE328A" w:rsidP="00FE328A">
      <w:pPr>
        <w:pStyle w:val="BUMainText"/>
        <w:ind w:firstLine="720"/>
      </w:pPr>
      <w:r>
        <w:t>A similar biphasic response is yielded by injury. In the immediate stage after injury, the muscle is infiltrated by pro-inflammatory M1 macrophages, while at later stage, anti-inflammatory (M2) subclass dominates (reviewed in [315]). Although the studies are rather incomplete, it appears that, similar to exercise adaptations, injury triggers a burst of growth factors, probably including IGF-I, basic fibroblast growth factor (bFGF), and transforming growth factor-beta</w:t>
      </w:r>
      <w:r w:rsidR="002B6DC5">
        <w:t xml:space="preserve"> </w:t>
      </w:r>
      <w:r>
        <w:t>(TGF-β)[316].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factors[317].</w:t>
      </w:r>
    </w:p>
    <w:p w14:paraId="3F25279E" w14:textId="77777777" w:rsidR="002B6DC5" w:rsidRDefault="00FE328A" w:rsidP="00FE328A">
      <w:pPr>
        <w:pStyle w:val="BUMainText"/>
        <w:ind w:firstLine="720"/>
      </w:pPr>
      <w:r>
        <w:t>Less than half of the C2C12 cells in their proliferating, undifferentiated, form express MyoD or Pax7[318]. Limited evidence suggests these myoblast-like cells do not express Pax3 either[319]. Therefore, the C2C12 line is an incomplete model of hyperplastic muscle accretion.</w:t>
      </w:r>
    </w:p>
    <w:p w14:paraId="3BB0DF21" w14:textId="77777777" w:rsidR="002B6DC5" w:rsidRDefault="00FE328A" w:rsidP="00FE328A">
      <w:pPr>
        <w:pStyle w:val="BUMainText"/>
        <w:ind w:firstLine="720"/>
      </w:pPr>
      <w:r>
        <w:t>Generation and regeneration of muscle in common scenarios, such as development and adaptation, remain an object of study, due to their complexity. The variable importance of the immune cells, of MRFs, and of IGF-I, and concurring redundancy remain to be fully worked out to identify a common pattern for muscle hypertrophy.</w:t>
      </w:r>
    </w:p>
    <w:p w14:paraId="32CCF466" w14:textId="77777777" w:rsidR="002B6DC5" w:rsidRPr="002B6DC5" w:rsidRDefault="00FE328A" w:rsidP="002B6DC5">
      <w:pPr>
        <w:pStyle w:val="Heading2"/>
        <w:rPr>
          <w:sz w:val="24"/>
          <w:szCs w:val="24"/>
        </w:rPr>
      </w:pPr>
      <w:bookmarkStart w:id="22" w:name="_Toc422957904"/>
      <w:r w:rsidRPr="002B6DC5">
        <w:rPr>
          <w:sz w:val="24"/>
          <w:szCs w:val="24"/>
        </w:rPr>
        <w:t>Hormonal control of muscle mass</w:t>
      </w:r>
      <w:bookmarkEnd w:id="22"/>
    </w:p>
    <w:p w14:paraId="32EA5EF5" w14:textId="77777777" w:rsidR="002B6DC5" w:rsidRDefault="00FE328A" w:rsidP="00FE328A">
      <w:pPr>
        <w:pStyle w:val="BUMainText"/>
        <w:ind w:firstLine="720"/>
      </w:pPr>
      <w:r>
        <w:t>The variability of muscle mass within population is reflective of the variable needs for muscle strength. Muscle mass and strength are adjusted to the needs of the organism mainly through hormonal mechanisms. Multiple classical hormones regulate muscle mass. The acute phase of insulin response poses a conundrum, with some studies showing it stimulates protein synthesis in human muscle[320], while others demonstrating that its effect is limited to anti-catabolism[321]. In male rat muscle, 30 minutes in 30 nM insulin or IGF-I are equally able to stimulate protein synthesis and to inhibit protein degradation[322].</w:t>
      </w:r>
    </w:p>
    <w:p w14:paraId="27A8B058" w14:textId="77777777" w:rsidR="002B6DC5" w:rsidRDefault="00FE328A" w:rsidP="00FE328A">
      <w:pPr>
        <w:pStyle w:val="BUMainText"/>
        <w:ind w:firstLine="720"/>
      </w:pPr>
      <w:r>
        <w:t>Insulin and IGF-I pathways overlap to some degree. For both hormones, physiological concentrations are tens of times higher than the half-maximal effective concentration (EC50) for their receptor, suggesting that physiological fluctuations cause marginal effects downstream[323, 324]. On the other hand, insulin has the ability to bind and activate IGF-I receptor (IGF-1R), with an EC50 of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fully supplant the absence of hepatic</w:t>
      </w:r>
      <w:r w:rsidR="002B6DC5">
        <w:t xml:space="preserve"> </w:t>
      </w:r>
      <w:r>
        <w:t>IGF-I in adult conditional knockout mice[325].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w:t>
      </w:r>
      <w:r w:rsidR="002B6DC5">
        <w:t xml:space="preserve"> </w:t>
      </w:r>
      <w:r>
        <w:t>nutrients alone are its sole modulators (reviewed in [326]).</w:t>
      </w:r>
    </w:p>
    <w:p w14:paraId="52FEBD9D" w14:textId="77777777" w:rsidR="002B6DC5" w:rsidRDefault="00FE328A" w:rsidP="00FE328A">
      <w:pPr>
        <w:pStyle w:val="BUMainText"/>
        <w:ind w:firstLine="720"/>
      </w:pPr>
      <w:r>
        <w:t>The levels of bioavailable IGF-I are under complex regulation (reviewed in [327, 328]). IGF-I may be sequestered by IGF-I binding proteins (IGFBP), which are secreted by muscle under IGF-I stimulation[329].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signals[330]. IGF2 plays other, independent roles, suggested by the lethality of its knockout[331].</w:t>
      </w:r>
    </w:p>
    <w:p w14:paraId="6B6F60F2" w14:textId="77777777" w:rsidR="002B6DC5" w:rsidRDefault="00FE328A" w:rsidP="00FE328A">
      <w:pPr>
        <w:pStyle w:val="BUMainText"/>
        <w:ind w:firstLine="720"/>
      </w:pPr>
      <w:r>
        <w:t>There is no consensus concerning the ability of GH to stimulate muscular secretion of IGF-I. Multiple studies found an upregulation of IGF-I mRNA in response to GH stimulation[332, 333], but protein data are lacking. Medium conditioned by GH-stimulated C2C12 cells fails to elicit hypertrophy in other C2C12 myotubes[334], suggesting that IGF-I is not secreted in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knockout[335]. In the context of pituitary pathology associated with Cushing’s disease, the associated GH perturbations may contribute to loss of muscle.</w:t>
      </w:r>
    </w:p>
    <w:p w14:paraId="1F9D9181" w14:textId="77777777" w:rsidR="002B6DC5" w:rsidRDefault="00FE328A" w:rsidP="00FE328A">
      <w:pPr>
        <w:pStyle w:val="BUMainText"/>
        <w:ind w:firstLine="720"/>
      </w:pPr>
      <w:r>
        <w:t>Hypothyroidism is often associated with muscle weakness and pseudohypertrophy[336]. Other hormones, such as the parathormone, have small effects on muscle protein metabolism, essentially irrelevant outside their</w:t>
      </w:r>
      <w:r w:rsidR="002B6DC5">
        <w:t xml:space="preserve"> r</w:t>
      </w:r>
      <w:r>
        <w:t>espective pathologies[337].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6979FBF0" w14:textId="77777777" w:rsidR="002B6DC5" w:rsidRPr="002B6DC5" w:rsidRDefault="00FE328A" w:rsidP="002B6DC5">
      <w:pPr>
        <w:pStyle w:val="Heading2"/>
        <w:rPr>
          <w:sz w:val="24"/>
          <w:szCs w:val="24"/>
        </w:rPr>
      </w:pPr>
      <w:bookmarkStart w:id="23" w:name="_Toc422957905"/>
      <w:r w:rsidRPr="002B6DC5">
        <w:rPr>
          <w:sz w:val="24"/>
          <w:szCs w:val="24"/>
        </w:rPr>
        <w:t>Interaction of muscle mass and vascularization</w:t>
      </w:r>
      <w:bookmarkEnd w:id="23"/>
    </w:p>
    <w:p w14:paraId="62EDDEFF" w14:textId="77777777" w:rsidR="002B6DC5" w:rsidRDefault="00FE328A" w:rsidP="00FE328A">
      <w:pPr>
        <w:pStyle w:val="BUMainText"/>
        <w:ind w:firstLine="720"/>
      </w:pPr>
      <w:r>
        <w:t>Muscle vascularization is a modulator of muscle mass and contractility. Mice whose muscle VEGF-A secretion was genetically depleted still express a tenth of the muscle VEGF-A protein, but have only half of the capillaries per muscle fiber, compared to their Cre-/- siblings[338]. The muscle-restricted VEGF-A-depleted mice have 12% lighter gastrocnemii, although the muscle loss disappears when muscle mass is normalized to total body weight. The loss does not affect specific fiber types. Therefore, the muscle depleted of VEGF-A is less able of endurance effort (80% shorter time to exhaustion on the inclined treadmill) and of brief anaerobic exercise (34% lower maximal running speed).</w:t>
      </w:r>
    </w:p>
    <w:p w14:paraId="79DCBEEC" w14:textId="77777777" w:rsidR="002B6DC5" w:rsidRDefault="00FE328A" w:rsidP="00FE328A">
      <w:pPr>
        <w:pStyle w:val="BUMainText"/>
        <w:ind w:firstLine="720"/>
      </w:pPr>
      <w:r>
        <w:t>Conversely, murine muscles injected with VEGF-A-expressing retroviruses display a higher proportion of hypertrophic fibers than those expressing bacterial β-galactosidase[339].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654DA626" w14:textId="77777777" w:rsidR="002B6DC5" w:rsidRDefault="00FE328A" w:rsidP="00FE328A">
      <w:pPr>
        <w:pStyle w:val="BUMainText"/>
        <w:ind w:firstLine="720"/>
      </w:pPr>
      <w:r>
        <w:t>It has been suggested that the most direct effect of VEGF-A depletion is partial segregation of muscle from blood-carried endocrine signals. For example, VEGF-A-depleted muscle has lower glucose uptake, a defect that is reversed by</w:t>
      </w:r>
      <w:r w:rsidR="002B6DC5">
        <w:t xml:space="preserve"> </w:t>
      </w:r>
      <w:r>
        <w:t>explantation[340]. In addition, vascularization defects may induce relative intramuscular hypoxia, which is an independent atrophying, pro-proteolytic factor[341].</w:t>
      </w:r>
    </w:p>
    <w:p w14:paraId="59E4300E" w14:textId="77777777" w:rsidR="002B6DC5" w:rsidRDefault="00FE328A" w:rsidP="00FE328A">
      <w:pPr>
        <w:pStyle w:val="BUMainText"/>
        <w:ind w:firstLine="720"/>
      </w:pPr>
      <w:r>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VEGF[342]. Development of vasculature in growing muscle may be a physiologically meaningful way to ensure vasculature remains competent upon increase circulatory demands. Second, although the canonical positive regulator of VEGF is hypoxia-induced factor 1α (HIF 1a), muscle VEGF is also stimulated by PPAR γ coactivator 1</w:t>
      </w:r>
      <w:r w:rsidR="002B6DC5">
        <w:t xml:space="preserve"> </w:t>
      </w:r>
      <w:r>
        <w:t>(PGC-1)[343, 344]. Even in the absence of VEGF, PGC-1 coactivators facilitate mitochondria biosynthesis, leading to oxidative fiber hypertrophy and improvements in endurance capacity[345]. Therefore, it is difficult to distinguish VEGF-induced muscle changes from the common muscle remodeling program. Finally, VEGFR activation has multiple effects, including phosphorylation of Src family proteins[346], of phospholipase C (PLC) γ[347], and, indirectly, of regulatory subunits of PI3K[348] and of the Signal Transducers and Activators of Transcription (STAT) STAT3 and STAT5[349].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 factors.</w:t>
      </w:r>
    </w:p>
    <w:p w14:paraId="7B82D802" w14:textId="77777777" w:rsidR="002B6DC5" w:rsidRPr="002B6DC5" w:rsidRDefault="00FE328A" w:rsidP="002B6DC5">
      <w:pPr>
        <w:pStyle w:val="Heading2"/>
        <w:rPr>
          <w:sz w:val="24"/>
          <w:szCs w:val="24"/>
        </w:rPr>
      </w:pPr>
      <w:bookmarkStart w:id="24" w:name="_Toc422957906"/>
      <w:r w:rsidRPr="002B6DC5">
        <w:rPr>
          <w:sz w:val="24"/>
          <w:szCs w:val="24"/>
        </w:rPr>
        <w:t>Control of muscle mass through innervation</w:t>
      </w:r>
      <w:bookmarkEnd w:id="24"/>
    </w:p>
    <w:p w14:paraId="229051DF" w14:textId="77777777" w:rsidR="002B6DC5" w:rsidRDefault="00FE328A" w:rsidP="00FE328A">
      <w:pPr>
        <w:pStyle w:val="BUMainText"/>
        <w:ind w:firstLine="720"/>
      </w:pPr>
      <w:r>
        <w:t>Current understanding and future directions for the study of GAML are guided, to a large extend,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3C5C873D" w14:textId="77777777" w:rsidR="002B6DC5" w:rsidRDefault="00FE328A" w:rsidP="00FE328A">
      <w:pPr>
        <w:pStyle w:val="BUMainText"/>
        <w:ind w:firstLine="720"/>
      </w:pPr>
      <w:r>
        <w:t>Limb and trunk muscles are controlled by the lower (alpha) motor neuron, located in the ventral horn of the spinal cord. Their main point of contact is a chemical synapse, the neuro-muscular junction (NMJ). In addition to the direct synaptic activity, muscles and lower motor neurons are involved in a mutually beneficial life-long interaction.</w:t>
      </w:r>
    </w:p>
    <w:p w14:paraId="3D2E2304" w14:textId="77777777" w:rsidR="002B6DC5" w:rsidRDefault="00FE328A" w:rsidP="00FE328A">
      <w:pPr>
        <w:pStyle w:val="BUMainText"/>
        <w:ind w:firstLine="720"/>
      </w:pPr>
      <w:r>
        <w:t>Motor neuron precursors from the embryo spinal cord degenerate and die if they cannot engage in significant interactions with myofibers[350]. Eliminated motor neurons include neurons whose axons fail to reach myotubes, and neurons that eventually fail to maintain contact with myotubes, due to synapse elimination. The latter is a selective, competitive process, whose molecular basis is still unknown, and which ensures injectivity of the correspondence between lower motor neurons and myofibers (reviewed in [351]). For a few days after birth, rat motor neurons go into a particularly sensitive state, when axotomy determines motor neuron death[352]. Thence, axotomy elicits the reprogramming of the neuron into a less differentiated state, followed by axonal regrowth (reviewed in [353, 354]). The re-establishment of contact between the motor neuron and muscle causes the reverse molecular changes, suggesting the existence of muscle-secreted neurotrophic factors. The NMJ loses functionality with aging, although it is not clear whether NMJ cause or are caused by</w:t>
      </w:r>
      <w:r w:rsidR="002B6DC5">
        <w:t xml:space="preserve"> </w:t>
      </w:r>
      <w:r>
        <w:t>aging-related muscle loss[355]. Factors that improve muscle’s ability to exercise or even mimic exercise, such as IGF-I or androgens, have been shown to benefit NMJ recovery or to slow down its degradation during aging[356, 357, 358].</w:t>
      </w:r>
    </w:p>
    <w:p w14:paraId="4506FB72" w14:textId="77777777" w:rsidR="002B6DC5" w:rsidRDefault="00FE328A" w:rsidP="00FE328A">
      <w:pPr>
        <w:pStyle w:val="BUMainText"/>
        <w:ind w:firstLine="720"/>
      </w:pPr>
      <w:r>
        <w:t>The loss of contact with the lower motor neuron elicits similar detrimental changes in muscle, with clinical relevance in the understanding and treatment of spinal cord injury and spinal muscular atrophy. Conceptually, denervation is distinct from disuse, such as that induced by damage to the upper motor neuron. Clinically, the latter manifests differently, through a syndrome termed pyramidal weakness, which mainly affects muscles opposing gravity[359]. In humans, after upper motor neuron damage, disuse response occurs in a few days after injury, and leads to exaggerated spasticity[360]. Understandably, literature does not describe any animal model of disuse by experimental damage to the upper motor neuron. In fact, literature contains multiple examples where “disuse” is taken to mean “absence of action potentials, due to denervation”, “lack of work, due to denervation, unloading, immobilization”, or even both (see for example [361]). Consequently, there are no experimental attempts to disentangle</w:t>
      </w:r>
      <w:r w:rsidR="002B6DC5">
        <w:t xml:space="preserve"> </w:t>
      </w:r>
      <w:r>
        <w:t>muscle-maintaining effects of work, of the NMJ transmitter, acetylcholine, and of any other musculotrophic neuron-released factor.</w:t>
      </w:r>
    </w:p>
    <w:p w14:paraId="09B591F3" w14:textId="77777777" w:rsidR="002B6DC5" w:rsidRDefault="00FE328A" w:rsidP="00FE328A">
      <w:pPr>
        <w:pStyle w:val="BUMainText"/>
        <w:ind w:firstLine="720"/>
      </w:pPr>
      <w:r>
        <w:t>In utero, experimental destruction of motor neurons with bungarotoxin abolishes formation of secondary myotubes, although it has limited effect on the formation of primary fibers[362].</w:t>
      </w:r>
    </w:p>
    <w:p w14:paraId="632FD7C9" w14:textId="77777777" w:rsidR="002B6DC5" w:rsidRDefault="00FE328A" w:rsidP="00FE328A">
      <w:pPr>
        <w:pStyle w:val="BUMainText"/>
        <w:ind w:firstLine="720"/>
      </w:pPr>
      <w:r>
        <w:t>Experimental denervation causes rapid and ample loss of muscle mass. For example, three weeks after sciatic nerve removal, the tibialis anterior muscle halves in weight[363]. Fewer than one in 7,000 myofiber nuclei undergo apoptosis in this time[364], demonstrating how atrophy can occur without changes in nuclei density.</w:t>
      </w:r>
    </w:p>
    <w:p w14:paraId="745C793E" w14:textId="77777777" w:rsidR="002B6DC5" w:rsidRDefault="00FE328A" w:rsidP="00FE328A">
      <w:pPr>
        <w:pStyle w:val="BUMainText"/>
        <w:ind w:firstLine="720"/>
      </w:pPr>
      <w:r>
        <w:t>In a seminal study, Goldberg demonstrated that denervation leads to increased loss of prelabeled muscle protein, proving that denervation upregulates protein degradation[365]. Moreover, denervation increases urinary 3MH, indicating activation of myofibril catabolism[366]. The rate of muscle loss in denervated muscle is halved by the proteasome inhibitor bortezomib[367]. Denervation stimulates persistently proteasome enzymatic activity[368], and upregulates all the ubiquitin-proteasome pathway components, including ubiquitin, the E3 ligases MuRF-1 and MAFbx, and the proteasome subunit A1 [369, 227]. The upregulation of the E3 ligases is induced by multiple independent transcription factors, including myogenin and the Foxo class[370, 371, 372, 373].</w:t>
      </w:r>
    </w:p>
    <w:p w14:paraId="13E147C2" w14:textId="77777777" w:rsidR="002B6DC5" w:rsidRDefault="00FE328A" w:rsidP="00FE328A">
      <w:pPr>
        <w:pStyle w:val="BUMainText"/>
        <w:ind w:firstLine="720"/>
      </w:pPr>
      <w:r>
        <w:t>The temporal evolution of muscle loss following denervation comprises two stages. In the first few days of denervation, the atrophic response is correlated with myogenin upregulation by histone deacetylase (HDAC) 4[374]. After the first week, Foxo activation is attributed to the downregulation of its negative regulator, Akt[372, 375].</w:t>
      </w:r>
    </w:p>
    <w:p w14:paraId="3F3F148A" w14:textId="77777777" w:rsidR="002B6DC5" w:rsidRDefault="00FE328A" w:rsidP="00FE328A">
      <w:pPr>
        <w:pStyle w:val="BUMainText"/>
        <w:ind w:firstLine="720"/>
      </w:pPr>
      <w:r>
        <w:t>Because the mTOR inhibitor rapamycin prevents fiber hypertrophy that normally follows in vivo injections with a plasmid coding constitutively active Akt[375], the scientific community assumed, since the beginning of century, that atrophy is a mere reverse of hypertrophy. Commonly, reviews still state that atrophy, including denervation, requires Akt inactivation, followed by loss of downstream mTOR-mediated effects (for example, [376, 377]). Recent studies contradicted this paradigm. In 2013, Quy and colleagues found that denervation increased Thr 389 phosphorylation and catalytic activity of p70-S6K, indicating that denervation causes in fact activation of mTORC1[378]. In 2014, Tang and colleagues proved that rapamycin, an inhibitor of mTORC1, which lacks intrinsic anabolic properties, abolishes denervation-induced loss of muscle mass[372].</w:t>
      </w:r>
      <w:r w:rsidR="002B6DC5">
        <w:t xml:space="preserve"> </w:t>
      </w:r>
      <w:r>
        <w:t>These experiments prove that mTORC1 should be activated for</w:t>
      </w:r>
      <w:r w:rsidR="002B6DC5">
        <w:t xml:space="preserve"> </w:t>
      </w:r>
      <w:r>
        <w:t>denervation-associated muscle atrophy to proceed in its later stage. Tang showed that denervation causes phosphorylation of insulin receptor substrate (IRS) 1, proving that, in denervation, activated mTORC1 inhibits Akt through a p70-S6K - IRS 1-mediated negative feedback loop. Quy found that mTORC1 activation is lost upon proteasome inhibition with bortezomib. One can hypothesize the existence of an mTOR negative regulator, which is specifically targeted by the</w:t>
      </w:r>
      <w:r w:rsidR="002B6DC5">
        <w:t xml:space="preserve"> </w:t>
      </w:r>
      <w:r>
        <w:t>ubiquitin-proteasome system during denervation. Alternatively, mTORC1 activation may be caused by the preceding upregulation of proteasome, which is stimulating BCAA release. The mechanism by which mTORC1 is stimulated by denervation remains to be established, but its consequences, including activation of p70-S6K, phosphorylation of IRS1, inhibition of Akt, and increased Foxo activity, appear well-supported by evidence.</w:t>
      </w:r>
    </w:p>
    <w:p w14:paraId="1A9A9AAC" w14:textId="77777777" w:rsidR="002B6DC5" w:rsidRDefault="00FE328A" w:rsidP="00FE328A">
      <w:pPr>
        <w:pStyle w:val="BUMainText"/>
        <w:ind w:firstLine="720"/>
      </w:pPr>
      <w:r>
        <w:t>Establishing the role for mTORC1 in denervation-induced loss of muscle mass is crucial. In the conceptual frame before Quy and Tang experiments, mTORC1 inhibition was intuitively attractive, as it would simultaneously downregulate protein synthesis, and remove a restriction on autophagy. In particular, denervation-induced autophagy appealed to the muscle biologists of the 2000’s. For example, one group claimed that the lysosome inhibitor chloroquine prevents denervation-induced muscle loss[379]. Others showed that denervation upregulates lysosome enzyme cathepsin L[380]. A third group claimed that denervation causes buildup of the autophagosome marker,</w:t>
      </w:r>
      <w:r w:rsidR="002B6DC5">
        <w:t xml:space="preserve"> </w:t>
      </w:r>
      <w:r>
        <w:t>microtubule-associated protein 1 light chain 3 (LC3)[381]. These studies were published even as others clearly refuted the role of autophagy in denervation. The lysosome inhibitors leupeptin, methylamine, and E64-c have minimal effects on the release of free tyrosine from denervated muscle[366]. Transgenic mice</w:t>
      </w:r>
      <w:r w:rsidR="002B6DC5">
        <w:t xml:space="preserve"> </w:t>
      </w:r>
      <w:r>
        <w:t>expressing LC3 fused with green fluorescent protein (GFP) exhibit a loss of autophagosomes in denervated muscles[378]. The example of denervation illustrates the barriers in the study of autophagy, a challenge equally present in GAML study.</w:t>
      </w:r>
    </w:p>
    <w:p w14:paraId="083F0396" w14:textId="77777777" w:rsidR="002B6DC5" w:rsidRDefault="00FE328A" w:rsidP="00FE328A">
      <w:pPr>
        <w:pStyle w:val="BUMainText"/>
        <w:ind w:firstLine="720"/>
      </w:pPr>
      <w:r>
        <w:t>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reused in new protein. More recent functional studies, including some from Goldberg’s group, found that denervation stimulates</w:t>
      </w:r>
      <w:r w:rsidR="002B6DC5">
        <w:t xml:space="preserve"> </w:t>
      </w:r>
      <w:r>
        <w:t>translation[382, 378, 368, 383, 366].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2E6832A" w14:textId="77777777" w:rsidR="002B6DC5" w:rsidRDefault="00FE328A" w:rsidP="00FE328A">
      <w:pPr>
        <w:pStyle w:val="BUMainText"/>
        <w:ind w:firstLine="720"/>
      </w:pPr>
      <w:r>
        <w:t>Given that rapamycin has essentially no effect on adult muscle mass, it may be that mTOR is not the crucial effector of denervation-induced muscle atrophy once thought. Current evidence suggests that it is activated in late stages of</w:t>
      </w:r>
      <w:r w:rsidR="002B6DC5">
        <w:t xml:space="preserve"> </w:t>
      </w:r>
      <w:r>
        <w:t>denervation, with inconsequential, or perhaps compensatory, downstream</w:t>
      </w:r>
      <w:r w:rsidR="002B6DC5">
        <w:t xml:space="preserve"> </w:t>
      </w:r>
      <w:r>
        <w:t>activation of protein synthesis and inhibition of autophagy. In contrast, denervation-induced muscle loss is correlated systematically, and requires, the activation of ubiquitin-proteasome system. The predicaments of denervation research epitomize similar dilemmas in the study of muscle atrophy due to other, less studied etiologies, including GAML.</w:t>
      </w:r>
    </w:p>
    <w:p w14:paraId="42DECD75" w14:textId="77777777" w:rsidR="002B6DC5" w:rsidRPr="002B6DC5" w:rsidRDefault="00FE328A" w:rsidP="002B6DC5">
      <w:pPr>
        <w:pStyle w:val="Heading2"/>
        <w:rPr>
          <w:sz w:val="24"/>
          <w:szCs w:val="24"/>
        </w:rPr>
      </w:pPr>
      <w:bookmarkStart w:id="25" w:name="_Toc422957907"/>
      <w:r w:rsidRPr="002B6DC5">
        <w:rPr>
          <w:sz w:val="24"/>
          <w:szCs w:val="24"/>
        </w:rPr>
        <w:t>Animal models of glucocorticoid myopathy</w:t>
      </w:r>
      <w:bookmarkEnd w:id="25"/>
    </w:p>
    <w:p w14:paraId="0C15B86A" w14:textId="77777777" w:rsidR="00283331" w:rsidRDefault="00FE328A" w:rsidP="00FE328A">
      <w:pPr>
        <w:pStyle w:val="BUMainText"/>
        <w:ind w:firstLine="720"/>
      </w:pPr>
      <w:r>
        <w:t>In the 75 years since the discovery of iatrogenic glucocorticoid myopathy, scientists attempted, with variable success, to develop multiple animal models. In dogs, seven days of 0.44 mg/(kg d) prednisone increased nitrogen excretion[384]. In horses, the action of Dexa on glycogen regulating pathways was replicated, but muscle mass was not measured[385]. In cows, GAML is undetectable at macroscopic level. Any putative change in myofibers is compensated by bovines’ unusually rich intramuscular adipose component, further hypertrophied by Dexa[386]. In rabbits, four days of 1 mg/(kg d) did not change muscle mass and reduced urinary 3MH, despite the upregulation of some catabolic markers[387].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2BED2CB9" w14:textId="77777777" w:rsidR="00283331" w:rsidRDefault="00FE328A" w:rsidP="00FE328A">
      <w:pPr>
        <w:pStyle w:val="BUMainText"/>
        <w:ind w:firstLine="720"/>
      </w:pPr>
      <w:r>
        <w:t>In the era of genome sequencing, studies of GAML focused on mice and rats. The first study of mouse GAML was published in 1964[388]. However, for a long</w:t>
      </w:r>
      <w:r w:rsidR="002B6DC5">
        <w:t xml:space="preserve"> </w:t>
      </w:r>
      <w:r>
        <w:t>time, rats were the preferred model. Muscle mass in mice is smaller, making dissection harder and changes closer to detection threshold, compared to rats. In terms of glucose metabolism, mice are more GC-resistant than rats[389]. Mice studies became interesting with the advent of transgenic studies, starting with the MuRF-1 and MAFbx knockouts created by Bodine and colleagues[227]. To my knowledge, at the start of this work, there was no published account of muscle atrophy in mouse, which showed changes in individual muscle mass, and which stated the effective Dexa dose.</w:t>
      </w:r>
    </w:p>
    <w:p w14:paraId="78DA6976" w14:textId="77777777" w:rsidR="00283331" w:rsidRDefault="00FE328A" w:rsidP="00FE328A">
      <w:pPr>
        <w:pStyle w:val="BUMainText"/>
        <w:ind w:firstLine="720"/>
      </w:pPr>
      <w:r>
        <w:t>Myofiber-restricted knockout of GR abolishes GAML, while having no effect on denervation atrophy[390]. In rat muscle, chronic Dexa treatment upregulates expression of the NMJ essential component, muscle-specific nicotinic acetylcholine receptor, and resistance to NMJ-specific non-depolarizing muscle relaxants[391]. GAML appears associated with an improved NMJ, excluding the role of neurons, and confirming the phenotype that led to the “myopathy” designation in humans.</w:t>
      </w:r>
    </w:p>
    <w:p w14:paraId="3C1C8814" w14:textId="77777777" w:rsidR="00283331" w:rsidRDefault="00FE328A" w:rsidP="00FE328A">
      <w:pPr>
        <w:pStyle w:val="BUMainText"/>
        <w:ind w:firstLine="720"/>
      </w:pPr>
      <w:r>
        <w:t>There is no evidence of satellite cell dysfunction in GAML. In one report, Dong and colleagues hypothesize a “glucocorticoid-induced satellite cell dysfunction,” but describe solely that Dexa reduces the number of satellite cells in a post-injury regenerating muscle[392]. In conclusion, GAML is the direct effect of Dexa on myofibers.</w:t>
      </w:r>
    </w:p>
    <w:p w14:paraId="6C3B3FB6" w14:textId="77777777" w:rsidR="00283331" w:rsidRDefault="00FE328A" w:rsidP="00FE328A">
      <w:pPr>
        <w:pStyle w:val="BUMainText"/>
        <w:ind w:firstLine="720"/>
      </w:pPr>
      <w:r>
        <w:t>The perception that myotubes response to Dexa is a complete model of GAML inspired many reductionist in vitro models. Many published studies document the effect of Dexa on the mouse cell line C2C12 and</w:t>
      </w:r>
      <w:r w:rsidR="00283331">
        <w:t xml:space="preserve"> the rat cell line L6. However, </w:t>
      </w:r>
      <w:r>
        <w:t>these and other myogenic cell lines have significant limitations, which may cause divergence between in vitro models and the glucocorticoid myopathy they aim to describe. As mentioned earlier, in the case of primary cells, experiments with</w:t>
      </w:r>
      <w:r w:rsidR="00283331">
        <w:t xml:space="preserve"> </w:t>
      </w:r>
      <w:r>
        <w:t>Dexa are outright impossible, because primary cell survival is GC-dependent. Moreover, Dexa has hyperplastic and hypertrophic effects on myogenic cell lines. Commonly tested doses of Dexa, in the range of tens of nM, have been shown to synergize with IGF-I[393] and even to act directly towards improved proliferation of L6 myoblasts[394, 395]. C2C12 fusion is more efficient when Dexa is added to IGF-I[90].</w:t>
      </w:r>
    </w:p>
    <w:p w14:paraId="50DB34D4" w14:textId="77777777" w:rsidR="00283331" w:rsidRDefault="00FE328A" w:rsidP="00FE328A">
      <w:pPr>
        <w:pStyle w:val="BUMainText"/>
        <w:ind w:firstLine="720"/>
      </w:pPr>
      <w:r>
        <w:t>Until the end of the 1990s, Dexa was a common ingredient in myogenic culture media[396]. Even contemporary standard proliferation media, containing</w:t>
      </w:r>
      <w:r w:rsidR="00283331">
        <w:t xml:space="preserve"> </w:t>
      </w:r>
      <w:r>
        <w:t>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(REDD1)[90]. Conversely, the synergy with Dexa amplifies some of insulin and IGF-I effects, such as Akt phosphorylation on Ser 473[396]. In addition to myotubes, C2C12 may differentiate into adipose-like or osteoblast-like cells. To avoid histological ambiguities, this chapter will refer mainly to in vivo studies.</w:t>
      </w:r>
    </w:p>
    <w:p w14:paraId="369D8AC3" w14:textId="77777777" w:rsidR="00283331" w:rsidRDefault="00FE328A" w:rsidP="00FE328A">
      <w:pPr>
        <w:pStyle w:val="BUMainText"/>
        <w:ind w:firstLine="720"/>
      </w:pPr>
      <w:r>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nM[397]. Evidence from in vitro studies on</w:t>
      </w:r>
      <w:r w:rsidR="00283331">
        <w:t xml:space="preserve"> </w:t>
      </w:r>
      <w:r>
        <w:t>myogenic cell lines will be used in this chapter, but will be limited to studies where multi-nucleate myotubes were obtained and myoblasts were depleted.</w:t>
      </w:r>
    </w:p>
    <w:p w14:paraId="30234E9A" w14:textId="77777777" w:rsidR="00283331" w:rsidRDefault="00FE328A" w:rsidP="00FE328A">
      <w:pPr>
        <w:pStyle w:val="BUMainText"/>
        <w:ind w:firstLine="720"/>
      </w:pPr>
      <w:r>
        <w:t>The effects of 7-day, 5 mg/(kg d) treatment on rats allow the classification of</w:t>
      </w:r>
      <w:r w:rsidR="00283331">
        <w:t xml:space="preserve"> </w:t>
      </w:r>
      <w:r>
        <w:t>GCs in two subsets[398].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force[399]. GAML is an organized process, lacking the microscopic features of necrosis[400]. Although Dexa temporarily reduces food intake, possibly through stimulation of leptin secretion[401], pair-feeding experiments demonstrated that the GAML is not the effect of appetite changes[402, 403]. In response to Dexa, rat myofibers undergo reductions in CSA, to an ampler degree in fast twitch fibers[404, 405]. Dexa-induced loss of muscle mass is present, although less manifest, in female rats, possibly because, in males, hypercortisolism is compounded by a reduction in circulating Testo levels[404].</w:t>
      </w:r>
    </w:p>
    <w:p w14:paraId="3595C8F1" w14:textId="77777777" w:rsidR="00283331" w:rsidRDefault="00FE328A" w:rsidP="00FE328A">
      <w:pPr>
        <w:pStyle w:val="BUMainText"/>
        <w:ind w:firstLine="720"/>
      </w:pPr>
      <w:r>
        <w:t>In rats, the nitrogen imbalance induced by Dexa slows down by the third day, and is compensated around the seventh day of treatment[406, 407].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0.5 mg/(kg d) Dexa, more than twice the muscle-impairing dose in humans. Illustrating the higher resistance to Dexa, recently published mouse experiments used even higher doses (3 mg/(kg d) to 10 mg/(kg d)[408, 409]).</w:t>
      </w:r>
    </w:p>
    <w:p w14:paraId="6CF4438B" w14:textId="77777777" w:rsidR="00283331" w:rsidRDefault="00FE328A" w:rsidP="00FE328A">
      <w:pPr>
        <w:pStyle w:val="BUMainText"/>
        <w:ind w:firstLine="720"/>
      </w:pPr>
      <w:r>
        <w:t>Unless specified, the next sections refer to studies with chronic (5-10 days) Dexa on adult (not aged) male rodents, which are the best model from human</w:t>
      </w:r>
      <w:r w:rsidR="00283331">
        <w:t xml:space="preserve"> </w:t>
      </w:r>
      <w:r>
        <w:t>male glucocorticoid myopathy.</w:t>
      </w:r>
    </w:p>
    <w:p w14:paraId="52199CF5" w14:textId="77777777" w:rsidR="00283331" w:rsidRPr="00F3504A" w:rsidRDefault="00FE328A" w:rsidP="00F3504A">
      <w:pPr>
        <w:pStyle w:val="Heading2"/>
        <w:rPr>
          <w:sz w:val="24"/>
          <w:szCs w:val="24"/>
        </w:rPr>
      </w:pPr>
      <w:bookmarkStart w:id="26" w:name="_Toc422957908"/>
      <w:r w:rsidRPr="00F3504A">
        <w:rPr>
          <w:sz w:val="24"/>
          <w:szCs w:val="24"/>
        </w:rPr>
        <w:t>Glucocorticoid stimulation of ubiquitin-proteasome system</w:t>
      </w:r>
      <w:bookmarkEnd w:id="26"/>
    </w:p>
    <w:p w14:paraId="50AC2531" w14:textId="77777777" w:rsidR="00283331" w:rsidRDefault="00FE328A" w:rsidP="00FE328A">
      <w:pPr>
        <w:pStyle w:val="BUMainText"/>
        <w:ind w:firstLine="720"/>
      </w:pPr>
      <w:r>
        <w:t>The loss of muscle in the Dexa-treated adult rat is mainly the result of an increase in protein degradation. The 1969 Goldberg study on atrophy revealed that cortisone induced an even ampler upregulation of proteolysis than denervation[365]. His comparison of “fast-twitch” plantaris and “slow-twitch”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06C7D9C3" w14:textId="77777777" w:rsidR="00283331" w:rsidRDefault="00FE328A" w:rsidP="00FE328A">
      <w:pPr>
        <w:pStyle w:val="BUMainText"/>
        <w:ind w:firstLine="720"/>
      </w:pPr>
      <w:r>
        <w:t>In rats receiving 0.5 mg/(kg d) Dexa for six days, epitrochlearis muscle</w:t>
      </w:r>
      <w:r w:rsidR="00283331">
        <w:t xml:space="preserve"> </w:t>
      </w:r>
      <w:r>
        <w:t>proteolysis rate increased by 50%, while protein synthesis was essentially unchanged[402]. Dexa-stimulated proteolysis affects the contractile apparatus, as indicated by the doubling of urinary 3-MH output[410]. The upregulation of proteolysis occurs even when explants, rather than animals, are treated with</w:t>
      </w:r>
      <w:r w:rsidR="00283331">
        <w:t xml:space="preserve"> </w:t>
      </w:r>
      <w:r>
        <w:t>Dexa, suggesting that GAML does not require extramuscular inputs[411].</w:t>
      </w:r>
    </w:p>
    <w:p w14:paraId="2EAA0332" w14:textId="77777777" w:rsidR="00283331" w:rsidRDefault="00FE328A" w:rsidP="00FE328A">
      <w:pPr>
        <w:pStyle w:val="BUMainText"/>
        <w:ind w:firstLine="720"/>
      </w:pPr>
      <w:r>
        <w:t>In vivo GAML is best correlated with an upregulation of the</w:t>
      </w:r>
      <w:r w:rsidR="00283331">
        <w:t xml:space="preserve"> </w:t>
      </w:r>
      <w:r>
        <w:t>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MG132[412], or depleted of ATP by a combination of the mitochondrial decoupling agent dinitrophenol and the unlysable glucose homologue,</w:t>
      </w:r>
      <w:r w:rsidR="00283331">
        <w:t xml:space="preserve"> </w:t>
      </w:r>
      <w:r>
        <w:t>2-deoxyglucose[413]. Proteasome chymotrypsin-like catalytic activity is doubled</w:t>
      </w:r>
      <w:r w:rsidR="00283331">
        <w:t xml:space="preserve"> </w:t>
      </w:r>
      <w:r>
        <w:t>by Dexa[414]. Dexa upregulates proteasome subunits such as C1, C2, C4, C5 [402, 412].</w:t>
      </w:r>
    </w:p>
    <w:p w14:paraId="0B5D572C" w14:textId="77777777" w:rsidR="0009126D" w:rsidRDefault="00FE328A" w:rsidP="00FE328A">
      <w:pPr>
        <w:pStyle w:val="BUMainText"/>
        <w:ind w:firstLine="720"/>
      </w:pPr>
      <w:r>
        <w:t>In cultured myotubes treated with 100 nM to 1000 nM Dexa, the loss of diameter is reliably correlated with a 20% increase in protein degradation rate[415, 397]. Between 78% and 95% of the Dexa-induced proteolysis augmentation is lost, when proteasome inhibitors, such as beta-lactone or</w:t>
      </w:r>
      <w:r w:rsidR="0009126D">
        <w:t xml:space="preserve"> </w:t>
      </w:r>
      <w:r>
        <w:t>MG-132, are co-administered[415, 416]. Demonstrating proteasome’s primacy, MG-132 has this overriding effect even co-administered as an addition to a cocktail of lysosome and calpain inhibitors[412]. Co-administration of dinitrophenol essentially abolishes Dexa-induced proteolysis[415]. GAML dependence on ATP reinforces the idea that GC-stimulated proteolysis takes place in the proteasome. In contrast, lysosome inhibitors had no effect, while E-64 has minimal effect[415].</w:t>
      </w:r>
    </w:p>
    <w:p w14:paraId="2850AB85" w14:textId="77777777" w:rsidR="0009126D" w:rsidRDefault="00FE328A" w:rsidP="00FE328A">
      <w:pPr>
        <w:pStyle w:val="BUMainText"/>
        <w:ind w:firstLine="720"/>
      </w:pPr>
      <w:r>
        <w:t>In L6 myotubes, Dexa causes increased expression of the ubiquitin gene UbC, through a putative SV40 promoter-specific 1 (Sp1) response element[417]. In vivo, upregulation of UbC was confirmed only for acute Dexa treatment[411] and in diabetic rats[418].</w:t>
      </w:r>
    </w:p>
    <w:p w14:paraId="4F001765" w14:textId="77777777" w:rsidR="0009126D" w:rsidRDefault="00FE328A" w:rsidP="00FE328A">
      <w:pPr>
        <w:pStyle w:val="BUMainText"/>
        <w:ind w:firstLine="720"/>
      </w:pPr>
      <w:r>
        <w:t>One of the most tempting hypotheses attributed a role to nuclear factor kappa light-chain enhancer of activated B cells (NF-κB), a mediator of muscle loss in conditions such as cancer cachexia (reviewed in [419]), and a regulator of multiple inflammatory genes (reviewed in [420]). However, the few published reports are contradictory. In L6 myotubes, Dexa stimulates acetylation and nuclear translocation of the translational activator p65[421], seemingly paralleling cancer cachexia. In contradiction to such parallels, Dexa was shown to inhibit NF-κB signals by upregulating inhibitory κBα (IκBα)[422]. Moreover, Dexa’s inhibition</w:t>
      </w:r>
      <w:r w:rsidR="0009126D">
        <w:t xml:space="preserve"> </w:t>
      </w:r>
      <w:r>
        <w:t>of NF-κB was shown to be necessary for proteasome subunit C3 upregulation in the same L6 cells[423].</w:t>
      </w:r>
    </w:p>
    <w:p w14:paraId="068F6942" w14:textId="77777777" w:rsidR="0009126D" w:rsidRDefault="00FE328A" w:rsidP="00FE328A">
      <w:pPr>
        <w:pStyle w:val="BUMainText"/>
        <w:ind w:firstLine="720"/>
      </w:pPr>
      <w:r>
        <w:t>Unbiased searches in atrophying mouse muscles revealed two upregulated genes, termed atrogenes, MAFbx and MuRF-1[227]. Both are E3 ligases, pointing to an important role for the proteasome-ubiquitin system in muscle atrophy. Studies on cultured myotubes confirmed that GCs induce the two atrogenes directly, without a third-party organ mediation[424]. In contrast to other muscle atrophy models, GAML is associated with stronger reliance on MuRF-1 than on MAFbx. Indicating a lower amplitude and / or higher variability in MAFbx, some unbiased searches in rat GAML failed to identify MAFbx as a target of Dexa[425]. While genetic depletion of either atrogene leads to muscle sparing in the denervation model[227], only MuRF-1, but not MAFbx genetic depletion spares muscle treated with Dexa[426]. The incomplete sparing of the MuRF-1 knockout indicates genetic redundancy. The main candidates for supplanting MuRF-1 are homologs MuRF-2 and MuRF-3, rather than MAFbx.</w:t>
      </w:r>
    </w:p>
    <w:p w14:paraId="227B1B2F" w14:textId="77777777" w:rsidR="0009126D" w:rsidRDefault="00FE328A" w:rsidP="00FE328A">
      <w:pPr>
        <w:pStyle w:val="BUMainText"/>
        <w:ind w:firstLine="720"/>
      </w:pPr>
      <w:r>
        <w:t>One distinction between the two atrogenes is set by their promoters. MuRF-1 promoter includes a GC response element, which MAFbx promoter appears to lack[427, 428]. In contrast, MAFbx promoter is activated by myogenin[371], a MRF involved in muscle regeneration. In C2C12 cells, MAFbx is upregulated by differentiation[429]. MAFbx is induced in muscle during hypertrophy from reloading[430]. Moreover, MAFbx knockout abolishes hypertrophy of loading[431]. Denervation leads to a stronger myogenin upregulation compared to GAML[432]. It is possible that GAML represses regeneration to a higher degree, thus leading to a less ample activation of the myogenin - MAFbx axis.</w:t>
      </w:r>
    </w:p>
    <w:p w14:paraId="37F1A337" w14:textId="4F868D5C" w:rsidR="0009126D" w:rsidRDefault="00FE328A" w:rsidP="00FE328A">
      <w:pPr>
        <w:pStyle w:val="BUMainText"/>
        <w:ind w:firstLine="720"/>
      </w:pPr>
      <w:r>
        <w:t>Substrate specificity is also distinguishing the two ligases. The only two known MAFbx ubiquitination substrates are MyoD and the eukaryotic initiation factor 3f (eIF3-f), identified in C2C12 ([433, 434], reviewed in [108]). This suggests that MAFbx may be an initiator, neutralizing a few specific</w:t>
      </w:r>
      <w:r w:rsidR="00F3504A">
        <w:t xml:space="preserve"> </w:t>
      </w:r>
      <w:r w:rsidR="00F3504A" w:rsidRPr="00F3504A">
        <w:t>muscle-protecting factors, belonging to multiple metabolic pathways. Because</w:t>
      </w:r>
      <w:r w:rsidR="00F3504A">
        <w:t xml:space="preserve"> </w:t>
      </w:r>
      <w:r>
        <w:t>MAFbx neutralizes a translation initiation factor, it has been suggested that MAFbx relative importance is augmented in conditions where muscle loss relies more on loss of protein synthesis.</w:t>
      </w:r>
    </w:p>
    <w:p w14:paraId="02909D32" w14:textId="77777777" w:rsidR="0009126D" w:rsidRDefault="00FE328A" w:rsidP="00FE328A">
      <w:pPr>
        <w:pStyle w:val="BUMainText"/>
        <w:ind w:firstLine="720"/>
      </w:pPr>
      <w:r>
        <w:t>Two-yeast hybrid experiments revealed two classes of putative MuRF-1 substrates[435].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 proteins from the second class were downregulated[436]. In vitro, MuRF-1 ubiquitinates myosin heavy chains[437] and actin[438]. MuRF-1 is therefore a more plausible effector of bulk protein degradation, as it is a better fit for the “undiscriminating” proteolytic machine postulated by Goldberg.</w:t>
      </w:r>
    </w:p>
    <w:p w14:paraId="702635D6" w14:textId="77777777" w:rsidR="0009126D" w:rsidRDefault="00FE328A" w:rsidP="00FE328A">
      <w:pPr>
        <w:pStyle w:val="BUMainText"/>
        <w:ind w:firstLine="720"/>
      </w:pPr>
      <w:r>
        <w:t>The mechanisms by which MuRF-1 is induced are still under study. Transgenic mice with a defective GR still exhibit upregulated atrogenes in denervation and fasting, thus demonstrating the multiplicity of</w:t>
      </w:r>
      <w:r w:rsidR="0009126D">
        <w:t xml:space="preserve"> </w:t>
      </w:r>
      <w:r>
        <w:t>atrogene-stimulating mechanisms. A sizable body of indirect evidence suggests that the main positive regulators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upregulation[439].</w:t>
      </w:r>
    </w:p>
    <w:p w14:paraId="4101181E" w14:textId="77777777" w:rsidR="0009126D" w:rsidRDefault="00FE328A" w:rsidP="00FE328A">
      <w:pPr>
        <w:pStyle w:val="BUMainText"/>
        <w:ind w:firstLine="720"/>
      </w:pPr>
      <w:r>
        <w:t>In cultured cells, Dexa upregulates the nuclear cofactor p300[440]. Dexa also</w:t>
      </w:r>
      <w:r w:rsidR="0009126D">
        <w:t xml:space="preserve"> </w:t>
      </w:r>
      <w:r>
        <w:t>upregulates acetylation and nuclear translocation of C/EBP β, in a p300 dependent-manner[421]. Because atrogenes promoters contain putative binding sites for C/EBP transcription factors, p300 was hypothesized to be yet another mechanism by which GCs stimulate atrogenes. Interestingly, p300 is a histone acetyltransferase (HAT). Dexa increases HAT activity and reduces HDAC activity in muscle[441]. Because HDAC 3 and 6 are repressed by Dexa and because trichostatin A, an HDAC inhibitor, upregulates MAFbx, it has been hypothesized that Dexa acts by increased histone acetylation. The importance of histone acetylation in in vivo GAML and the specific genes affected by epigenetic mechanisms are still to be determined. Therefore, the hypothesis that</w:t>
      </w:r>
      <w:r w:rsidR="0009126D">
        <w:t xml:space="preserve"> </w:t>
      </w:r>
      <w:r>
        <w:t>Dexa-induced histone acetylation stimulates MuRF-1 remains a speculation.</w:t>
      </w:r>
    </w:p>
    <w:p w14:paraId="6506A1BB" w14:textId="77777777" w:rsidR="00F3504A" w:rsidRDefault="00FE328A" w:rsidP="00FE328A">
      <w:pPr>
        <w:pStyle w:val="BUMainText"/>
        <w:ind w:firstLine="720"/>
      </w:pPr>
      <w:r>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localization[108]. Next sections will describe the various pathways that are hypothesized to upregulate the</w:t>
      </w:r>
      <w:r w:rsidR="0009126D">
        <w:t xml:space="preserve"> </w:t>
      </w:r>
      <w:r>
        <w:t>ubiquitin-proteasome system. Each of them has proteasome-unrelated side effects, including activation of other proteolytic and anti-translational pathways.</w:t>
      </w:r>
    </w:p>
    <w:p w14:paraId="1645EF67" w14:textId="77777777" w:rsidR="00F3504A" w:rsidRPr="00317593" w:rsidRDefault="00FE328A" w:rsidP="00F3504A">
      <w:pPr>
        <w:pStyle w:val="Heading2"/>
        <w:rPr>
          <w:sz w:val="24"/>
          <w:szCs w:val="24"/>
        </w:rPr>
      </w:pPr>
      <w:bookmarkStart w:id="27" w:name="_Toc422957909"/>
      <w:r w:rsidRPr="00317593">
        <w:rPr>
          <w:sz w:val="24"/>
          <w:szCs w:val="24"/>
        </w:rPr>
        <w:t>Glucocorticoid-induced loss of sensitivity on the IRS - Akt axis</w:t>
      </w:r>
      <w:bookmarkEnd w:id="27"/>
    </w:p>
    <w:p w14:paraId="128462F5" w14:textId="77777777" w:rsidR="00F3504A" w:rsidRDefault="00FE328A" w:rsidP="00FE328A">
      <w:pPr>
        <w:pStyle w:val="BUMainText"/>
        <w:ind w:firstLine="720"/>
      </w:pPr>
      <w:r>
        <w:t>Surprisingly, the most comprehensive account on GC-induced changes on protein metabolic regulation comes from the study of glucose metabolism</w:t>
      </w:r>
      <w:r w:rsidR="0009126D">
        <w:t xml:space="preserve"> </w:t>
      </w:r>
      <w:r>
        <w:t>changes. The latter is more easily measured in muscle, because it comprises only catabolic, but no anabolic, components (detailed in the dedicated section).</w:t>
      </w:r>
    </w:p>
    <w:p w14:paraId="4F58937C" w14:textId="77777777" w:rsidR="00F3504A" w:rsidRDefault="00FE328A" w:rsidP="00FE328A">
      <w:pPr>
        <w:pStyle w:val="BUMainText"/>
        <w:ind w:firstLine="720"/>
      </w:pPr>
      <w:r>
        <w:t>Dexa causes systemic insulin resistance, manifested as uncompensated hyperglycemia[403]. Dexa induces concerted catabolic changes, which eventually</w:t>
      </w:r>
      <w:r w:rsidR="00F3504A">
        <w:t xml:space="preserve"> </w:t>
      </w:r>
      <w:r>
        <w:t>converge to hyperglycemia, and consequent hyperinsulinemia. Together, these yield a higher index of homeostatic model assessment - insulin resistance (HOMA-IR)[442]. However, Dexa overrides insulin to reduce muscle glucose</w:t>
      </w:r>
      <w:r w:rsidR="00F3504A">
        <w:t xml:space="preserve"> </w:t>
      </w:r>
      <w:r>
        <w:t>uptake[443, 322, 444]. Dexa does not alter expression and activity of hexokinase, and of glucose transporter (GLUT) 4 expression[445], but inhibits GLUT4 recruitment to the cell membrane[443, 445]. Because translocation of GLUT4 in response to insulin is critically dependent on Akt[446],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w:t>
      </w:r>
      <w:r w:rsidR="00F3504A">
        <w:t xml:space="preserve"> </w:t>
      </w:r>
      <w:r>
        <w:t>multi-step process.</w:t>
      </w:r>
    </w:p>
    <w:p w14:paraId="5900ECA1" w14:textId="77777777" w:rsidR="00F3504A" w:rsidRDefault="00FE328A" w:rsidP="00FE328A">
      <w:pPr>
        <w:pStyle w:val="BUMainText"/>
        <w:ind w:firstLine="720"/>
      </w:pPr>
      <w:r>
        <w:t>The inhibition of Akt as result of Dexa interference was the subject of debates in the 2000’s. Proving Akt inactivation by Dexa is a complex endeavor, due to the extremely low Akt activation in basal state. Insulin or IGF-I, in concentrations close to the physiological levels, increase glucose uptake about 10-fold in muscle explants [443]. The fact that there is significant leeway for amplification of anabolic pathways demonstrates that, at basal state, muscle Akt-mediated signals are far below maximum. In immunoblots, active, that is, phosphorylated Akt is often below detection threshold in basal state[402]. Unsurprisingly, observations on basal state muscle frequently failed to identify further repression of Akt by Dexa. Many studies misinterpreted this failure to detect as an actual absence of effect.</w:t>
      </w:r>
    </w:p>
    <w:p w14:paraId="060EFC3D" w14:textId="77777777" w:rsidR="00F3504A" w:rsidRDefault="00FE328A" w:rsidP="00FE328A">
      <w:pPr>
        <w:pStyle w:val="BUMainText"/>
        <w:ind w:firstLine="720"/>
      </w:pPr>
      <w:r>
        <w:t>The opposite situation may also be true. Experimental studies on the Akt pathway are conceptually challenged by its extremely low basal activity. In a molecular biology experiment, in order to prove causality by inhibition, one must</w:t>
      </w:r>
      <w:r w:rsidR="00F3504A">
        <w:t xml:space="preserve"> </w:t>
      </w:r>
      <w:r>
        <w:t>reverse the inhibition, and observe that the final effect is lost. In the case of a putative inhibition of Akt by Dexa, genetic reversal of inhibition will never be able to merely reverse the inhibition. Most often, overexpression of IGF-I, IGF-1R,</w:t>
      </w:r>
      <w:r w:rsidR="00F3504A">
        <w:t xml:space="preserve"> </w:t>
      </w:r>
      <w:r>
        <w:t>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3DB5CC94" w14:textId="77777777" w:rsidR="00F3504A" w:rsidRDefault="00FE328A" w:rsidP="00FE328A">
      <w:pPr>
        <w:pStyle w:val="BUMainText"/>
        <w:ind w:firstLine="720"/>
      </w:pPr>
      <w:r>
        <w:t>Dexa interference on the Akt pathway begins at IRS 1. Dexa treatment does not change basal levels of autophosphorylated insulin receptor in absolute or stoichiometric terms[442, 447, 448]. Similarly, Dexa alone does not appear to change the basal level of phosphorylated IRS. However, in response to insulin, mice treated for 5 days with 1 mg/(kg d) Dexa exhibit only a third of the IRS 1 and</w:t>
      </w:r>
      <w:r w:rsidR="00F3504A">
        <w:t xml:space="preserve"> </w:t>
      </w:r>
      <w:r>
        <w:t>2 phosphorylation, compared to untreated animals[449]. The mechanism by which Dexa interferes with IRS 1 is unknown. Based on observational studies, the interference was attributed to an improved protection of IRS by calmodulin[450], to an inhibitory phosphorylation on another residue, possibly by PKC[451, 448], or to the upregulated phosphatase C1-Ten[452]. In C2C12 myotubes, Dexa may downregulate IRS through caveolin repression[409].</w:t>
      </w:r>
    </w:p>
    <w:p w14:paraId="53661048" w14:textId="77777777" w:rsidR="00F3504A" w:rsidRDefault="00FE328A" w:rsidP="00FE328A">
      <w:pPr>
        <w:pStyle w:val="BUMainText"/>
        <w:ind w:firstLine="720"/>
      </w:pPr>
      <w:r>
        <w:t>The notion that Dexa interferes with IGF-I signaling suggested that GAML also attenuates downstream, IRS-independent, MAPK response (reviewed in [453]).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Grb2[454]. Paralleling the findings in sugar metabolism, Dexa has no detectable effect in basal state.</w:t>
      </w:r>
      <w:r w:rsidR="00F3504A">
        <w:t xml:space="preserve"> </w:t>
      </w:r>
      <w:r>
        <w:t>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rats[418]. Others describe increased Erk phosphorylation in</w:t>
      </w:r>
      <w:r w:rsidR="00F3504A">
        <w:t xml:space="preserve"> </w:t>
      </w:r>
      <w:r>
        <w:t>L6 myotubes during acute Dexa[455]. No reports describe such changes in wild-type healthy animals. Measurements of changes in activation of another MAPK, p38, are contradictory[456, 457].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5F774BCF" w14:textId="77777777" w:rsidR="00F3504A" w:rsidRDefault="00FE328A" w:rsidP="00FE328A">
      <w:pPr>
        <w:pStyle w:val="BUMainText"/>
        <w:ind w:firstLine="720"/>
      </w:pPr>
      <w:r>
        <w:t>Next interference by Dexa occurs at the level of PI3K, whose recruitment to the membrane complex containing insulin receptor and IRS1 is</w:t>
      </w:r>
      <w:r w:rsidR="00F3504A">
        <w:t xml:space="preserve"> </w:t>
      </w:r>
      <w:r>
        <w:t>hindered[442, 449]. One PI3K-inhibiting mechanism is based on transcriptional effects, with Dexa upregulating transcription of the PI3K regulatory subunit p85 α[425]. It was hypothesized that p85 α sequesters PI3K catalytic subunit, p110, in the cytosol, and away from the IRS-containing membrane complex</w:t>
      </w:r>
      <w:r w:rsidR="00F3504A">
        <w:t xml:space="preserve"> </w:t>
      </w:r>
      <w:r>
        <w:t>[442, 458, 459]. Another putative mechanism contends that activated GR binds p85 in a competitive manner, thus displacing it from IRS1[460]. This</w:t>
      </w:r>
      <w:r w:rsidR="00F3504A">
        <w:t xml:space="preserve"> </w:t>
      </w:r>
      <w:r>
        <w:t>non-transcriptional effect has not been fully explored in GAML in vivo, but is supported by the unusual persistence of IRS1-PI3K complexes during diabetes in GR knockout mice muscle[460].</w:t>
      </w:r>
    </w:p>
    <w:p w14:paraId="0469045C" w14:textId="77777777" w:rsidR="00F3504A" w:rsidRDefault="00FE328A" w:rsidP="00FE328A">
      <w:pPr>
        <w:pStyle w:val="BUMainText"/>
        <w:ind w:firstLine="720"/>
      </w:pPr>
      <w:r>
        <w:t>The next step in the Akt pathway is the formation of a membrane complex comprising the receptor, IRS, p85, and p110 (reviewed in [461]). The latter acts on</w:t>
      </w:r>
      <w:r w:rsidR="00F3504A">
        <w:t xml:space="preserve"> </w:t>
      </w:r>
      <w:r>
        <w:t>the membrane lipids to synthesize 3-phosphoinositides. In muscle cell lines treated with Dexa in vitro, the depletion of membrane-bound PI3K and of</w:t>
      </w:r>
      <w:r w:rsidR="00F3504A">
        <w:t xml:space="preserve"> </w:t>
      </w:r>
      <w:r>
        <w:t>3-phosphoinositides leads to lower activation of 3-phosphoinositide-dependent protein kinase 1 (PDK1). In turn, the reduction in PDK1 lowers the phosphorylation on its substrate, Thr 308 on the activation loop of Akt. While Thr</w:t>
      </w:r>
      <w:r w:rsidR="00F3504A">
        <w:t xml:space="preserve"> </w:t>
      </w:r>
      <w:r>
        <w:t>308 phosphorylation is not detectable in rat muscle in basal state, its sensitivity to insulin is depressed by Dexa[462].</w:t>
      </w:r>
    </w:p>
    <w:p w14:paraId="54928B53" w14:textId="77777777" w:rsidR="00F3504A" w:rsidRDefault="00FE328A" w:rsidP="00FE328A">
      <w:pPr>
        <w:pStyle w:val="BUMainText"/>
        <w:ind w:firstLine="720"/>
      </w:pPr>
      <w:r>
        <w:t>Akt has another important phosphorylation site at Ser 473. Historically, Ser</w:t>
      </w:r>
      <w:r w:rsidR="00F3504A">
        <w:t xml:space="preserve"> </w:t>
      </w:r>
      <w:r>
        <w:t>473 phosphorylation was seen as a non-limiting step towards Akt activation, occurring automatically after Thr 308 phosphorylation. In GAML, Ser 473 appears to closely mimic Thr 308, with Dexa lowering insulin’s ability to upregulate Ser 473 phosphorylation[462, 449, 463, 390].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state[464, 465, 466].</w:t>
      </w:r>
    </w:p>
    <w:p w14:paraId="66829563" w14:textId="77777777" w:rsidR="00F3504A" w:rsidRDefault="00FE328A" w:rsidP="00FE328A">
      <w:pPr>
        <w:pStyle w:val="BUMainText"/>
        <w:ind w:firstLine="720"/>
      </w:pPr>
      <w:r>
        <w:t>A second distinction between Thr 308 and Ser 473 is the difference in stimuli and enzymes causing their phosphorylation. Ser 473 phosphorylation is nominally stimulated by growth factors, through mTOR complex 2, and through little-known, mTOR-independent, 3-phosphoinositide-stimulated mechanisms[467]. Extracellular stimuli that activate Thr 308 are expected to cause 3-phosphoinositide synthesis, and simultaneous Ser 473 activation. However, Ser 473 and Thr 308 phosphorylation may occur separately (see examples in the next section). In this case, it may be the case that Dexa impedes Ser 473 phosphorylation through another, yet undiscovered, mechanism.</w:t>
      </w:r>
    </w:p>
    <w:p w14:paraId="7E9BDC31" w14:textId="77777777" w:rsidR="00F3504A" w:rsidRDefault="00FE328A" w:rsidP="00FE328A">
      <w:pPr>
        <w:pStyle w:val="BUMainText"/>
        <w:ind w:firstLine="720"/>
      </w:pPr>
      <w:r>
        <w:t>The interdependence between Ser 473 and Thr 308 is illustrated by the fact</w:t>
      </w:r>
      <w:r w:rsidR="00F3504A">
        <w:t xml:space="preserve"> </w:t>
      </w:r>
      <w:r>
        <w:t>that non-mutagenic in vivo experiments rarely describe Akt activation without phosphorylation at both residues (reviewed in [468]). In vivo, the scarcity of segregation reports leads to lack of knowledge regarding potential independent specializations for the two sites. However, in vitro manipulations indicate that the two sites synergize for maximal Akt activation[469]. Mutagenic abolition of Ser</w:t>
      </w:r>
      <w:r w:rsidR="00F3504A">
        <w:t xml:space="preserve"> </w:t>
      </w:r>
      <w:r>
        <w:t>473 phosphorylation abrogates Akt activity on substrates belonging to the Foxo class, but does not change Akt ability to phosphorylate tuberin (Tuberous Sclerosis Complex 2; TSC2) and glycogen synthase kinase 3 (GSK3)[470]. Such</w:t>
      </w:r>
      <w:r w:rsidR="00F3504A">
        <w:t xml:space="preserve"> </w:t>
      </w:r>
      <w:r>
        <w:t>changes in substrate imply that Ser 473 controls specificity. Because Foxo is at the core of atrogene regulation in muscle atrophy, Ser 473 status has been of greater interest for GAML studies.</w:t>
      </w:r>
    </w:p>
    <w:p w14:paraId="506DC42A" w14:textId="77777777" w:rsidR="00F3504A" w:rsidRDefault="00FE328A" w:rsidP="00FE328A">
      <w:pPr>
        <w:pStyle w:val="BUMainText"/>
        <w:ind w:firstLine="720"/>
      </w:pPr>
      <w:r>
        <w:t>More evidence for Dexa-induced inhibition of Akt comes from its substrates, such as Ser 9 on GSK3-β. Chronic Dexa reduces GSK3-β phosphorylation at Ser 9, thus leading to GSK3-β activation[462]. The activation of GSK3-β in GAML is confirmed by increased phosphorylation of its substrate glycogen synthase at Ser</w:t>
      </w:r>
      <w:r w:rsidR="00F3504A">
        <w:t xml:space="preserve"> </w:t>
      </w:r>
      <w:r>
        <w:t>645, 649, 653, 657, and decreases intramuscular glycogen synthesis rate[471, 472, 462]. Among the many substrates of GSK3-β, the subunit ε of eukaryotic initiation factor 2B (eIF2B) may mediate an anti-anabolic effect[473]. In cultured myotubes, GSK3-β knockdown reduces Dexa ability to upregulate MAFbx[474]. While inactivation of GSK3-β is typically attributed to latent Akt inhibition, the Ser 9 site is also a target for ribosomal protein S6 kinase, 90 kDa (p90-RSK), serum and glucocorticoid-inducible kinase-like kinase (SGKL), and p70-S6K[475, 476, 477].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w:t>
      </w:r>
      <w:r w:rsidR="00F3504A">
        <w:t xml:space="preserve"> </w:t>
      </w:r>
      <w:r>
        <w:t>anabolism[478] led to an unjustified neglect of GSK3-β.</w:t>
      </w:r>
    </w:p>
    <w:p w14:paraId="63B61F58" w14:textId="77777777" w:rsidR="00F3504A" w:rsidRDefault="00FE328A" w:rsidP="00FE328A">
      <w:pPr>
        <w:pStyle w:val="BUMainText"/>
        <w:ind w:firstLine="720"/>
      </w:pPr>
      <w:r>
        <w:t>In conclusion, Dexa interferes with IRS / Akt pathway in multiple ways, thus inhibiting glucose uptake. The inhibition of this pathway is difficult to detect in basal conditions, but consistently observed during challenge tests with insulin or IGF-I. Because the model of GAML centered on Akt is derived from experiments with acute states, cell models, and intrinsic anabolic interventions, it is perfectible. The best-studied downstream targets of Akt are mTOR and FOXO.</w:t>
      </w:r>
    </w:p>
    <w:p w14:paraId="7ECAAA2B" w14:textId="77777777" w:rsidR="00F3504A" w:rsidRPr="00317593" w:rsidRDefault="00FE328A" w:rsidP="00317593">
      <w:pPr>
        <w:pStyle w:val="Heading2"/>
        <w:rPr>
          <w:sz w:val="24"/>
          <w:szCs w:val="24"/>
        </w:rPr>
      </w:pPr>
      <w:bookmarkStart w:id="28" w:name="_Toc422957910"/>
      <w:r w:rsidRPr="00317593">
        <w:rPr>
          <w:sz w:val="24"/>
          <w:szCs w:val="24"/>
        </w:rPr>
        <w:t>Glucocorticoid inhibition of mTOR</w:t>
      </w:r>
      <w:bookmarkEnd w:id="28"/>
    </w:p>
    <w:p w14:paraId="414A3B5F" w14:textId="77777777" w:rsidR="00F3504A" w:rsidRDefault="00FE328A" w:rsidP="00FE328A">
      <w:pPr>
        <w:pStyle w:val="BUMainText"/>
        <w:ind w:firstLine="720"/>
      </w:pPr>
      <w:r>
        <w:t>One of the most effective pathways for Akt to induce its anabolic program is mTORC1 (reviewed in [479, 480, 481]). The latter’s modulation in acute Dexa administration is proven by reduced phosphorylation in its substrates, 4E-BP (Thr 37/46) and p70-S6K (Thr 389)[482]. More commonly, 4E-BP and p70-S6K phosphorylation are reported to behave in a manner similar to Akt activation, with no detectable Dexa effect on their basal phosphorylation, and a</w:t>
      </w:r>
      <w:r w:rsidR="00F3504A">
        <w:t xml:space="preserve"> </w:t>
      </w:r>
      <w:r>
        <w:t>Dexa-induced loss of sensitivity to insulin[483, 444].</w:t>
      </w:r>
    </w:p>
    <w:p w14:paraId="778E65B1" w14:textId="77777777" w:rsidR="00F3504A" w:rsidRDefault="00FE328A" w:rsidP="00FE328A">
      <w:pPr>
        <w:pStyle w:val="BUMainText"/>
        <w:ind w:firstLine="720"/>
      </w:pPr>
      <w:r>
        <w:t>The mechanism by which mTOR is modulated by Dexa is not elucidated yet. Cell models established that activated Akt phosphorylates and inhibits</w:t>
      </w:r>
      <w:r w:rsidR="00F3504A">
        <w:t xml:space="preserve"> </w:t>
      </w:r>
      <w:r>
        <w:t>proline-rich Akt substrate of 40-kDa (PRAS40), a negative regulator of mTORC1[484]. The same cell models showed that activated Akt phosphorylates TSC2, thus causing its sequestration with a cytosol partner, 14-3-3, and away from its transmembrane partner, hamartin (Tuberous Sclerosis Complex 1; TSC1)[485]. The destruction of TSC1-TSC2 complexes relieves the negative regulation from Rheb, a small GTPase, which can induce activation of mTORC1. Therefore, in theory, Dexa-induced repression of Akt should inhibit mTORC1 in two distinct ways. In practice, there is little evidence for TSC2 or PRAS40 based mechanisms</w:t>
      </w:r>
      <w:r w:rsidR="00F3504A">
        <w:t xml:space="preserve"> </w:t>
      </w:r>
      <w:r>
        <w:t>in GAML in vivo.</w:t>
      </w:r>
    </w:p>
    <w:p w14:paraId="2EC07A65" w14:textId="77777777" w:rsidR="00F3504A" w:rsidRDefault="00FE328A" w:rsidP="00FE328A">
      <w:pPr>
        <w:pStyle w:val="BUMainText"/>
        <w:ind w:firstLine="720"/>
      </w:pPr>
      <w:r>
        <w:t>The scarcity of evidence for PRAS40 or TSC2 mediation suggested that other mechanisms might lead to mTORC1 inactivation in GAML. Moreover, an</w:t>
      </w:r>
      <w:r w:rsidR="00F3504A">
        <w:t xml:space="preserve"> </w:t>
      </w:r>
      <w:r>
        <w:t>Akt-mediated Dexa effect on mTORC1 would be subtle, with sizable amplitude only during hyperinsulinemia. Alternative Akt-independent pathways have been hypothesized. A well-studied negative regulator of mTOR is the energy sensor AMPK[486, 487]. However, Dexa inhibits muscle AMPK phosphorylation and activity[463, 488], probably as a consequence of intramuscular ATP upregulation[489]. The surge in intramuscular ATP is caused by Dexa-induced improvements in mitochondrial function, exemplified by upregulation of cytochrome c oxidase expression and activity[490] and of Na(+)-K(+)-ATPase expression and maximal activity[491]. Chronic Dexa or corticosterone do not alter Liver Kinase B1 (LKB1)[463, 492], the main AMPK kinase, indicating that ATP availability causes AMPK inhibition by another, unknown mediator. In</w:t>
      </w:r>
      <w:r w:rsidR="00F3504A">
        <w:t xml:space="preserve"> </w:t>
      </w:r>
      <w:r>
        <w:t>conclusion, in GAML, mTOR suppression does not employ AMPK. Moreover, GAML does not involve mitochondrial dysfunction.</w:t>
      </w:r>
    </w:p>
    <w:p w14:paraId="4975DA3A" w14:textId="77777777" w:rsidR="00F3504A" w:rsidRDefault="00FE328A" w:rsidP="00FE328A">
      <w:pPr>
        <w:pStyle w:val="BUMainText"/>
        <w:ind w:firstLine="720"/>
      </w:pPr>
      <w:r>
        <w:t>A third putative mTORC1 inactivating mechanism is centered on the stress sensor REDD1. Dexa upregulates REDD1 expression in muscle[425]. Demonstrating its key role, genetic depletion of REDD1 abolishes GAML and Dexa-induced myotube atrophy[493, 494]. In cell culture, REDD1 interferes with</w:t>
      </w:r>
      <w:r w:rsidR="00F3504A">
        <w:t xml:space="preserve"> </w:t>
      </w:r>
      <w:r>
        <w:t>14-3-3 in order to release TSC2, restore TSC1-TSC2 complexes, and eventually inhibit mTORC1[495]. Moreover, REDD1 is in epistasis with AMPK[496], at times overriding its action on mTORC1. Interestingly, a REDD1-based mechanism could explain the few observations on mTORC1 changes just as well as an Akt-centered model would.</w:t>
      </w:r>
    </w:p>
    <w:p w14:paraId="628D910A" w14:textId="77777777" w:rsidR="00F3504A" w:rsidRDefault="00FE328A" w:rsidP="00FE328A">
      <w:pPr>
        <w:pStyle w:val="BUMainText"/>
        <w:ind w:firstLine="720"/>
      </w:pPr>
      <w:r>
        <w:t>Finally, limited evidence suggests that Dexa impedes mTORC1 ability to act</w:t>
      </w:r>
      <w:r w:rsidR="00F3504A">
        <w:t xml:space="preserve"> </w:t>
      </w:r>
      <w:r>
        <w:t>on its substrate p70-S6K, through the depletion of a putative scaffold, eIF3f[497].</w:t>
      </w:r>
    </w:p>
    <w:p w14:paraId="01DA070E" w14:textId="77777777" w:rsidR="00F3504A" w:rsidRDefault="00FE328A" w:rsidP="00FE328A">
      <w:pPr>
        <w:pStyle w:val="BUMainText"/>
        <w:ind w:firstLine="720"/>
      </w:pPr>
      <w:r>
        <w:t>Another way to gauge the role of mTORC1 is to use its inhibitor, rapamycin. One group reported that the Dexa-induced decrement in protein synthesis is unmodified, in absolute terms, upon rapamycin co-administration[444], suggesting that mTOR signaling is dispensable. In a C2C12 microarray study, interference of IGF-I transcriptional program with PI3K inhibitor was virtually identical to the interference induced by rapamycin[498], indicating that, on the contrary, mTOR is indispensable for PI3K effects. Most likely, both hypotheses are based on reductionist models that do not reflect true in vivo phenomena.</w:t>
      </w:r>
    </w:p>
    <w:p w14:paraId="0492C7AF" w14:textId="77777777" w:rsidR="00F3504A" w:rsidRDefault="00FE328A" w:rsidP="00FE328A">
      <w:pPr>
        <w:pStyle w:val="BUMainText"/>
        <w:ind w:firstLine="720"/>
      </w:pPr>
      <w:r>
        <w:t>Discovery of novel mTORC1 substrates such as UNC-51-like kinase 1 (ULK1)[499]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035B198F" w14:textId="77777777" w:rsidR="00F3504A" w:rsidRDefault="00FE328A" w:rsidP="00FE328A">
      <w:pPr>
        <w:pStyle w:val="BUMainText"/>
        <w:ind w:firstLine="720"/>
      </w:pPr>
      <w:r>
        <w:t>A recent study on acute Dexa[494] 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w:t>
      </w:r>
      <w:r w:rsidR="00F3504A">
        <w:t xml:space="preserve"> </w:t>
      </w:r>
      <w:r>
        <w:t>Dexa-induced mTORC1 inactivation is mediated by hypophosphorylation of</w:t>
      </w:r>
      <w:r w:rsidR="00F3504A">
        <w:t xml:space="preserve"> </w:t>
      </w:r>
      <w:r>
        <w:t>PRAS40, which is in turn caused by hypophosphorylation of Akt at Thr 308.</w:t>
      </w:r>
      <w:r w:rsidR="00F3504A">
        <w:t xml:space="preserve"> </w:t>
      </w:r>
      <w:r>
        <w:t>Britto found more evidence for the REDD1 - Akt - PRAS40 axis in the REDD1 knockout mice, which are resistant to chronic Dexa. In these mice, acute Dexa fails to induce hypophosphorylation on PRAS40, and on Thr 308 of Akt.</w:t>
      </w:r>
    </w:p>
    <w:p w14:paraId="0DD00179" w14:textId="77777777" w:rsidR="00F3504A" w:rsidRDefault="00FE328A" w:rsidP="00FE328A">
      <w:pPr>
        <w:pStyle w:val="BUMainText"/>
        <w:ind w:firstLine="720"/>
      </w:pPr>
      <w:r>
        <w:t>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([500]; reviewed in [501]).</w:t>
      </w:r>
    </w:p>
    <w:p w14:paraId="38D40410" w14:textId="77777777" w:rsidR="00F3504A" w:rsidRDefault="00FE328A" w:rsidP="00FE328A">
      <w:pPr>
        <w:pStyle w:val="BUMainText"/>
        <w:ind w:firstLine="720"/>
      </w:pPr>
      <w:r>
        <w:t>The hypothesis that REDD1 suppresses Akt and mTORC1 is very attractive, because, in contrast to IRS1, REDD1 would be an active and permanent repressor. The mechanism by which Dexa stimulates REDD1 remains to be found. In neurons, the most robust inducer of REDD1 is hypoxia, through HIF transcription factors[501]. In contrast, in muscle, Dexa downregulates VEGF [502], a downstream effector of HIF (described in the section on vascularization). This suggests that Dexa causes REDD1 upregulation independent of HIF1a and of hypoxia. Other putative positive regulators of REDD1 include ATF4 and NFAT, discussed in other sections of this chapter.</w:t>
      </w:r>
    </w:p>
    <w:p w14:paraId="0CFBDDBA" w14:textId="77777777" w:rsidR="00F3504A" w:rsidRDefault="00FE328A" w:rsidP="00FE328A">
      <w:pPr>
        <w:pStyle w:val="BUMainText"/>
        <w:ind w:firstLine="720"/>
      </w:pPr>
      <w:r>
        <w:t>While it is certain that GAML is correlated with mTORC1 downregulation, it is still unclear how mTORC1 repression is achieved, and what is its relative importance. Based on the published evidence, the recent change of paradigm, which placed p70-S6K at the forefront of denervation atrophy, appears unlikely in GAML. For now, our understanding of GAML places Akt upstream of mTORC1.Better transgenic models, a deeper understanding of mTOR pathway, and more in vitro / recombinant experiments are required for a definitive conclusion.</w:t>
      </w:r>
    </w:p>
    <w:p w14:paraId="42A33E66" w14:textId="77777777" w:rsidR="00F3504A" w:rsidRPr="00317593" w:rsidRDefault="00FE328A" w:rsidP="00317593">
      <w:pPr>
        <w:pStyle w:val="Heading2"/>
        <w:rPr>
          <w:sz w:val="24"/>
          <w:szCs w:val="24"/>
        </w:rPr>
      </w:pPr>
      <w:bookmarkStart w:id="29" w:name="_Toc422957911"/>
      <w:r w:rsidRPr="00317593">
        <w:rPr>
          <w:sz w:val="24"/>
          <w:szCs w:val="24"/>
        </w:rPr>
        <w:t>Glucocorticoid activation of Foxo transcriptional program</w:t>
      </w:r>
      <w:bookmarkEnd w:id="29"/>
    </w:p>
    <w:p w14:paraId="3E7DBD29" w14:textId="77777777" w:rsidR="00F3504A" w:rsidRDefault="00FE328A" w:rsidP="00FE328A">
      <w:pPr>
        <w:pStyle w:val="BUMainText"/>
        <w:ind w:firstLine="720"/>
      </w:pPr>
      <w:r>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582F8001" w14:textId="77777777" w:rsidR="00F3504A" w:rsidRDefault="00FE328A" w:rsidP="00FE328A">
      <w:pPr>
        <w:pStyle w:val="BUMainText"/>
        <w:ind w:firstLine="720"/>
      </w:pPr>
      <w:r>
        <w:t>The importance of Foxo transcription factors is supported intuitively by their role as integrators of multiple atrophy signaling pathways. Multiple mechanisms converge to induce Foxo upregulation in GAML. First, chronic Dexa doubles Foxo expression[425]. Foxo1 promoter contains a GR response element[503]. In C2C12 myotubes, the response is biphasic, combining a short-lived ample and rapid increase, with a gentler long-term augmentation[429]. Foxo promoters contain GR-binding sites[504]. In vitro, Foxo induction by GR is facilitated by the histone acetyl transferases p300 and CREB-binding protein, which are independently upregulated by Dexa[441]. Consequently, GR knockout reduces expression of FOXO1 and FOXO3a in muscle[427].</w:t>
      </w:r>
    </w:p>
    <w:p w14:paraId="59A9FEF3" w14:textId="77777777" w:rsidR="00F3504A" w:rsidRDefault="00FE328A" w:rsidP="00FE328A">
      <w:pPr>
        <w:pStyle w:val="BUMainText"/>
        <w:ind w:firstLine="720"/>
      </w:pPr>
      <w:r>
        <w:t>Second, Foxo transcription factors are thought to be potentiated by Dexa through post-translational means involving the earlier-described Akt pathway (reviewed in [505]). When active, Akt phosphorylates Foxo1 at Tyr 32 and Ser</w:t>
      </w:r>
      <w:r w:rsidR="00F3504A">
        <w:t xml:space="preserve"> </w:t>
      </w:r>
      <w:r>
        <w:t>253, thus creating binding sites for 14-3-3. Phosphorylated Foxo transcription factors are exported from the nucleus, and eventually marked for</w:t>
      </w:r>
      <w:r w:rsidR="00F3504A">
        <w:t xml:space="preserve"> </w:t>
      </w:r>
      <w:r>
        <w:t>ubiquitin-proteasome-mediated degradation. Intuitively, Dexa-induced impairment of Akt is expected to contribute to an increase in Foxo activity in</w:t>
      </w:r>
      <w:r w:rsidR="00F3504A">
        <w:t xml:space="preserve"> </w:t>
      </w:r>
      <w:r>
        <w:t>GAML. Finding evidence for this mechanism has been challenging. In C2C12 myotubes, the expected Foxo hypophosphorylation in response to Dexa has been frequently reported[376, 506]. In vivo, evidence for Dexa-induced Foxo hypophosphorylation is limited to a few experiments, performed in unusual conditions, such as diabetes[507, 464, 508]. Given that phosphorylated Foxo is degraded, the ability to observe and quantify it is limited.</w:t>
      </w:r>
    </w:p>
    <w:p w14:paraId="10956FFE" w14:textId="77777777" w:rsidR="00F3504A" w:rsidRDefault="00FE328A" w:rsidP="00FE328A">
      <w:pPr>
        <w:pStyle w:val="BUMainText"/>
        <w:ind w:firstLine="720"/>
      </w:pPr>
      <w:r>
        <w:t>Third, PGC nuclear cofactors may facilitate the Dexa-induced Foxo surge. Loss of sensitivity to insulin causes PGC-1 repression in muscle[509]. In particular, Dexa represses muscle PGC-1α[456, 508] and PGC-1β[510]. In cultured myotubes, PGC-1β overexpression and knockdown cause changes in the reverse direction for Foxo3a and atrogenes’ mRNA. Because PGC-1α overexpression drives conversion of fast to slow twitch fibers[345], it has been speculated that differences in PGC-1α levels make different types of muscle fiber more or less sensitive to Dexa[377]. A whole higher level of regulation, centered on PGC-1α splicing, is yet to be studied. For example, isoform 1, and not 4, of PGC-1α is correlated with muscle hypertrophy[511].</w:t>
      </w:r>
    </w:p>
    <w:p w14:paraId="0E302E4F" w14:textId="77777777" w:rsidR="00F3504A" w:rsidRDefault="00FE328A" w:rsidP="00FE328A">
      <w:pPr>
        <w:pStyle w:val="BUMainText"/>
        <w:ind w:firstLine="720"/>
      </w:pPr>
      <w:r>
        <w:t>Fourth, indirect evidence links Foxo1 to PPARβ/δ. Dexa stimulates simultaneously PPARβ/δ DNA binding and Foxo1 acetylation[512]. PPARβ/δ inhibition reduces GAML and, at the same time, prevents Dexa-stimulated acetylation of Foxo1. While the direct effects of this post-transcriptional modification is not elucidated (reviewed in [513, 514]), it was speculated that PPARβ/δ changes induce physiologically relevant alterations in Foxo1.</w:t>
      </w:r>
    </w:p>
    <w:p w14:paraId="050DB39D" w14:textId="77777777" w:rsidR="00F3504A" w:rsidRDefault="00FE328A" w:rsidP="00FE328A">
      <w:pPr>
        <w:pStyle w:val="BUMainText"/>
        <w:ind w:firstLine="720"/>
      </w:pPr>
      <w:r>
        <w:t>Finally, the microRNA miR-182, whose expression is inhibited by Dexa, is a negative regulator of Foxo3[515]. Other mechanisms, such as AMPK, have been hypothesized, based on the latter’s ability to upregulate atrogenes.</w:t>
      </w:r>
    </w:p>
    <w:p w14:paraId="37B10C58" w14:textId="77777777" w:rsidR="00F3504A" w:rsidRDefault="00FE328A" w:rsidP="00FE328A">
      <w:pPr>
        <w:pStyle w:val="BUMainText"/>
        <w:ind w:firstLine="720"/>
      </w:pPr>
      <w:r>
        <w:t>The net result of these mechanisms is that Dexa treatments upregulates</w:t>
      </w:r>
      <w:r w:rsidR="00F3504A">
        <w:t xml:space="preserve"> </w:t>
      </w:r>
      <w:r>
        <w:t>nuclear Foxo[456]. More convincing evidence towards Foxo activation comes from its downstream effects. For example, tens of reports describe how Dexa upregulates glutamine synthetase expression and activity[516]. Glutamine synthetase promoter contains a FOXO response element. Dexa-induced expression of muscle glutamine synthetase is absent in Foxo1 knockout[517].</w:t>
      </w:r>
    </w:p>
    <w:p w14:paraId="2C399FC1" w14:textId="1E334F8E" w:rsidR="00F3504A" w:rsidRDefault="00FE328A" w:rsidP="00FE328A">
      <w:pPr>
        <w:pStyle w:val="BUMainText"/>
        <w:ind w:firstLine="720"/>
      </w:pPr>
      <w:r>
        <w:t>Manipulations of Foxo have supported their role in GAML. Transfection with dominant negative Foxo3A partially prevents diameter reduction in disuse of rat soleus and Dexa-treated C2C12 myotubes[506, 518].</w:t>
      </w:r>
    </w:p>
    <w:p w14:paraId="29E2CA3A" w14:textId="77777777" w:rsidR="00F3504A" w:rsidRDefault="00FE328A" w:rsidP="00FE328A">
      <w:pPr>
        <w:pStyle w:val="BUMainText"/>
        <w:ind w:firstLine="720"/>
      </w:pPr>
      <w:r>
        <w:t>Among the Foxo-induced genes, a special importance was given to the E3 ligases associated with muscle loss, MAFbx and MuRF-1[424]. Both atrogenes contain FOXO-binding regions in their promoter[506, 519, 427]. These</w:t>
      </w:r>
      <w:r w:rsidR="00F3504A">
        <w:t xml:space="preserve"> </w:t>
      </w:r>
      <w:r>
        <w:t>Foxo-responsive elements are in close proximity of SMAD3-binding elements, in a shared response element, which facilitates synergistic interactions between the two classes of transcription factors[520]. MuRF-1 promoter facilitates another synergistic interaction, between FOXO1 and GR[427]. A positive feedback loop links MuRF-1 and FOXO1, as indicated by downregulation of FOXO1 in late</w:t>
      </w:r>
      <w:r w:rsidR="00F3504A">
        <w:t xml:space="preserve"> </w:t>
      </w:r>
      <w:r>
        <w:t>GAML in the MuRF-1 knockout[408].</w:t>
      </w:r>
    </w:p>
    <w:p w14:paraId="18F6DA20" w14:textId="77777777" w:rsidR="00F3504A" w:rsidRDefault="00FE328A" w:rsidP="00FE328A">
      <w:pPr>
        <w:pStyle w:val="BUMainText"/>
        <w:ind w:firstLine="720"/>
      </w:pPr>
      <w:r>
        <w:t>In both atrogenes’ promoter, a Klf15 response element is located, near the FOXO binding site[521].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F3504A">
        <w:t xml:space="preserve"> </w:t>
      </w:r>
      <w:r>
        <w:t>Foxo, favored by concomitant activation of synergistic factors. Dominant negative Foxo3A transfection in rat soleus leads to loss of atrogene upregulation[522]. In cultured myotubes, transfection of constitutively active FOXO3a upregulates MAFbx[506], while knocking down FOXO1 causes a reduction in the atrogene</w:t>
      </w:r>
      <w:r w:rsidR="00F3504A">
        <w:t xml:space="preserve"> </w:t>
      </w:r>
      <w:r>
        <w:t>response to GC[523].</w:t>
      </w:r>
    </w:p>
    <w:p w14:paraId="70CD0957" w14:textId="77777777" w:rsidR="00317593" w:rsidRDefault="00FE328A" w:rsidP="00FE328A">
      <w:pPr>
        <w:pStyle w:val="BUMainText"/>
        <w:ind w:firstLine="720"/>
      </w:pPr>
      <w:r>
        <w:t>A majority of the effectors described in this chapter appear to be under the control of Foxo pathway. In addition to atrogenes, Foxo targets include 4E-BP1, cathepsin L, and another effector of denervation atrophy, Growth Arrest and DNA Damage 45 (Gadd45)[524].</w:t>
      </w:r>
    </w:p>
    <w:p w14:paraId="720839F9" w14:textId="77777777" w:rsidR="00317593" w:rsidRPr="00317593" w:rsidRDefault="00FE328A" w:rsidP="00317593">
      <w:pPr>
        <w:pStyle w:val="Heading2"/>
        <w:rPr>
          <w:sz w:val="24"/>
          <w:szCs w:val="24"/>
        </w:rPr>
      </w:pPr>
      <w:bookmarkStart w:id="30" w:name="_Toc422957912"/>
      <w:r w:rsidRPr="00317593">
        <w:rPr>
          <w:sz w:val="24"/>
          <w:szCs w:val="24"/>
        </w:rPr>
        <w:t>Glucocorticoid activation of myostatin</w:t>
      </w:r>
      <w:bookmarkEnd w:id="30"/>
    </w:p>
    <w:p w14:paraId="7836F0E2" w14:textId="40A4F2C7" w:rsidR="00F3504A" w:rsidRDefault="00FE328A" w:rsidP="00FE328A">
      <w:pPr>
        <w:pStyle w:val="BUMainText"/>
        <w:ind w:firstLine="720"/>
      </w:pPr>
      <w:r>
        <w:t>In rodents, Dexa upregulates myostatin, a strong negative regulator of muscle mass[525]. In myostatin knockout mice, Dexa induces most of its transcriptional program, including modulations of IGF-I, MuRF-1, MAFbx, FOXO3A, but</w:t>
      </w:r>
      <w:r w:rsidR="00F3504A">
        <w:t xml:space="preserve"> </w:t>
      </w:r>
      <w:r>
        <w:t>Dexa-induced muscle loss does not occur[414]. These findings suggest that myostatin is an important mediator of Dexa.</w:t>
      </w:r>
    </w:p>
    <w:p w14:paraId="10F86395" w14:textId="77777777" w:rsidR="00317593" w:rsidRDefault="00FE328A" w:rsidP="00FE328A">
      <w:pPr>
        <w:pStyle w:val="BUMainText"/>
        <w:ind w:firstLine="720"/>
      </w:pPr>
      <w:r>
        <w:t>Myostatin’s promoter contains GR response element[525], a FOXO</w:t>
      </w:r>
      <w:r w:rsidR="00F3504A">
        <w:t xml:space="preserve"> </w:t>
      </w:r>
      <w:r>
        <w:t>responsive element[526], and a CCAAT sequence[527], all known to be stimulated by Dexa. Myostatin expression is also upregulated by the histone methyltransferase SMYD 3, which in turn is upregulated in muscle by Dexa[528]. The stability of the myostatin transcript is improved by Dexa-exerted repression</w:t>
      </w:r>
      <w:r w:rsidR="00F3504A">
        <w:t xml:space="preserve"> </w:t>
      </w:r>
      <w:r>
        <w:t>of its negative regulators, miR-27[529].</w:t>
      </w:r>
    </w:p>
    <w:p w14:paraId="48FFECD5" w14:textId="77777777" w:rsidR="00317593" w:rsidRDefault="00FE328A" w:rsidP="00FE328A">
      <w:pPr>
        <w:pStyle w:val="BUMainText"/>
        <w:ind w:firstLine="720"/>
      </w:pPr>
      <w:r>
        <w:t>Glutamine supplementation reduces GAML and myostatin expression in muscle[530]. This finding suggests that, in the context of GAML, myostatin may double as a nutrient sensor.</w:t>
      </w:r>
    </w:p>
    <w:p w14:paraId="2C9729A1" w14:textId="77777777" w:rsidR="00317593" w:rsidRDefault="00FE328A" w:rsidP="00FE328A">
      <w:pPr>
        <w:pStyle w:val="BUMainText"/>
        <w:ind w:firstLine="720"/>
      </w:pPr>
      <w:r>
        <w:t>Myostatin’s effects are manifold, and not completely understood. While myostatin inhibition in utero leads to doubling of muscle mass in adult animals[225], its overexpression in adult animals causes a more moderate effect[531]. This split in action indicates that myostatin modulates both hyperplasia- and hypertrophy-based pathways of muscle growth. In explanted</w:t>
      </w:r>
      <w:r w:rsidR="00317593">
        <w:t xml:space="preserve"> </w:t>
      </w:r>
      <w:r>
        <w:t>adult mouse myofibers, where proliferation has been minimized, expression of a dominant negative form of activin A receptor, type IIB (ActRIIB), the receptor for myostatin, causes an increase in CSA, which is halved by rapamycin[532]. 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0F8838F5" w14:textId="77777777" w:rsidR="00317593" w:rsidRDefault="00FE328A" w:rsidP="00FE328A">
      <w:pPr>
        <w:pStyle w:val="BUMainText"/>
        <w:ind w:firstLine="720"/>
      </w:pPr>
      <w:r>
        <w:t>A series of experiments describe Akt inhibition in response to myostatin treatments. In vivo electroporation with myostatin-encoding plasmids led to 10% loss in tibialis anterior mass in the transfected muscle, in the absence of any changes at the level of atrogenes[533].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regeneration[534, 535]. Repression of Akt in proliferating myoblasts is not expected to mediate GAML.</w:t>
      </w:r>
    </w:p>
    <w:p w14:paraId="5BCA7D18" w14:textId="77777777" w:rsidR="00317593" w:rsidRDefault="00FE328A" w:rsidP="00FE328A">
      <w:pPr>
        <w:pStyle w:val="BUMainText"/>
        <w:ind w:firstLine="720"/>
      </w:pPr>
      <w:r>
        <w:t>Another study describes Akt inhibition in human myotubes differentiated from cultured myoblasts. In this system, myostatin treatments lead to reductions in diameter and atrogene downregulation[536]. In contrast, GAML is characterized by an upregulation of atrogenes, possibly facilitated by Akt inhibition. The authors of this study pinpoint the myostatin-induced Akt inhibition to changes in proliferating myoblasts. In conclusion, there is no evidence for adult GAML mediation through a myostatin - Akt axis.</w:t>
      </w:r>
    </w:p>
    <w:p w14:paraId="488900A9" w14:textId="77777777" w:rsidR="00317593" w:rsidRDefault="00FE328A" w:rsidP="00FE328A">
      <w:pPr>
        <w:pStyle w:val="BUMainText"/>
        <w:ind w:firstLine="720"/>
      </w:pPr>
      <w:r>
        <w:t>Myostatin-induced or -associated models of atrophy do not upregulate</w:t>
      </w:r>
      <w:r w:rsidR="00317593">
        <w:t xml:space="preserve"> </w:t>
      </w:r>
      <w:r>
        <w:t>protein degradation. For example, microgravity atrophy is associated myostatin upregulation, but no changes in 3MH excretion[537]. This contrasts again with GAML, which strongly relies on upregulation of protein degradation.</w:t>
      </w:r>
    </w:p>
    <w:p w14:paraId="252F0243" w14:textId="77777777" w:rsidR="00317593" w:rsidRDefault="00FE328A" w:rsidP="00FE328A">
      <w:pPr>
        <w:pStyle w:val="BUMainText"/>
        <w:ind w:firstLine="720"/>
      </w:pPr>
      <w:r>
        <w:t>Myostatin is particularly adept at modulating the fusion of myoblast to myotubes[538]. Myostatin’s action appears more relevant for processes where myoblasts or satellite cells are involved, such as muscle development and regeneration (reviewed in [539, 540]). However, normal adult muscle maintenance is more dependent on protein accretion than on satellite cells. In adult GAML, loss of satellite cells regenerative action may play a minor role, at most.</w:t>
      </w:r>
    </w:p>
    <w:p w14:paraId="7883AD79" w14:textId="77777777" w:rsidR="00317593" w:rsidRDefault="00FE328A" w:rsidP="00FE328A">
      <w:pPr>
        <w:pStyle w:val="BUMainText"/>
        <w:ind w:firstLine="720"/>
      </w:pPr>
      <w:r>
        <w:t>Myostatin’s relative importance for GAML remains incompletely explored. The typical experiments, using qualitative alterations of myostatin, may override any endogenous mechanism, and yield non-specific anti-atrophic effects.</w:t>
      </w:r>
    </w:p>
    <w:p w14:paraId="15814FFD" w14:textId="77777777" w:rsidR="00317593" w:rsidRPr="00317593" w:rsidRDefault="00FE328A" w:rsidP="00317593">
      <w:pPr>
        <w:pStyle w:val="Heading2"/>
        <w:rPr>
          <w:sz w:val="24"/>
          <w:szCs w:val="24"/>
        </w:rPr>
      </w:pPr>
      <w:bookmarkStart w:id="31" w:name="_Toc422957913"/>
      <w:r w:rsidRPr="00317593">
        <w:rPr>
          <w:sz w:val="24"/>
          <w:szCs w:val="24"/>
        </w:rPr>
        <w:t>Glucocorticoid modulation of protein synthesis</w:t>
      </w:r>
      <w:bookmarkEnd w:id="31"/>
    </w:p>
    <w:p w14:paraId="74D26BA2" w14:textId="77777777" w:rsidR="00317593" w:rsidRDefault="00FE328A" w:rsidP="00FE328A">
      <w:pPr>
        <w:pStyle w:val="BUMainText"/>
        <w:ind w:firstLine="720"/>
      </w:pPr>
      <w:r>
        <w:t>Goldberg’s[365]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w:t>
      </w:r>
      <w:r w:rsidR="00317593">
        <w:t xml:space="preserve"> </w:t>
      </w:r>
      <w:r>
        <w:t>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w:t>
      </w:r>
      <w:r w:rsidR="00317593">
        <w:t xml:space="preserve"> </w:t>
      </w:r>
      <w:r>
        <w:t>muscles that already underwent atrophy in the prior days. In these cases, a loss in</w:t>
      </w:r>
      <w:r w:rsidR="00317593">
        <w:t xml:space="preserve"> </w:t>
      </w:r>
      <w:r>
        <w:t>protein synthesis rate might be underestimated or even factored out, after normalization to a lower muscle mass.</w:t>
      </w:r>
    </w:p>
    <w:p w14:paraId="2077C6A5" w14:textId="77777777" w:rsidR="00317593" w:rsidRDefault="00FE328A" w:rsidP="00FE328A">
      <w:pPr>
        <w:pStyle w:val="BUMainText"/>
        <w:ind w:firstLine="720"/>
      </w:pPr>
      <w:r>
        <w:t>As in human studies, the role of protein synthesis modulation during chronic hypercortisolism is still debated, because chronic Dexa effect is superimposed by acute effects. A single 20 mg/(kg d) triamcinolone dose nearly halves incorporation of labeled precursors in rat muscle protein at 8 hours, yet has no effect after 24 hours[541]. Similar acute effects may be expected from feeding, which causes fluctuations of insulin and possibly of the Akt / mTOR / 4E-BP axis in muscle.</w:t>
      </w:r>
    </w:p>
    <w:p w14:paraId="09ACEC67" w14:textId="77777777" w:rsidR="00317593" w:rsidRDefault="00FE328A" w:rsidP="00FE328A">
      <w:pPr>
        <w:pStyle w:val="BUMainText"/>
        <w:ind w:firstLine="720"/>
      </w:pPr>
      <w:r>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0.5 mg/(kg d) Dexa for 6 days, compared to pair-fed animals, in the epitrochlearis muscle[402, 542]. In two other studies, assaying other glycolytic muscles or quadrupling the Dexa dose, led to observable reductions in protein FSR[543, 444].</w:t>
      </w:r>
    </w:p>
    <w:p w14:paraId="6C452A21" w14:textId="77777777" w:rsidR="00317593" w:rsidRDefault="00FE328A" w:rsidP="00FE328A">
      <w:pPr>
        <w:pStyle w:val="BUMainText"/>
        <w:ind w:firstLine="720"/>
      </w:pPr>
      <w:r>
        <w:t>In cell culture, studies of Dexa inhibition of protein synthesis are similarly equivocal, although Dexa causes 4E-BP hypophosphorylation directly, even in basal state[544]. In the most glaring example, the same group, using the same methods and working on the same L6 line, found that protein synthesis is “not altered” by Dexa in one article, and decreased in the next[397, 545].</w:t>
      </w:r>
    </w:p>
    <w:p w14:paraId="5F28E2BF" w14:textId="77777777" w:rsidR="00317593" w:rsidRDefault="00FE328A" w:rsidP="00FE328A">
      <w:pPr>
        <w:pStyle w:val="BUMainText"/>
        <w:ind w:firstLine="720"/>
      </w:pPr>
      <w:r>
        <w:t>Even when detected, the amplitude of changes in protein synthesis in vitro[545, 546, 547] and in vivo[322] is lower than that on protein degradation, when Dexa is given at the dose that causes muscle loss. In contrast, doses of Dexa below the apparent EC50 are unable to change protein degradation rate, while</w:t>
      </w:r>
      <w:r w:rsidR="00317593">
        <w:t xml:space="preserve"> </w:t>
      </w:r>
      <w:r>
        <w:t>still lowering protein synthesis rate[329].</w:t>
      </w:r>
    </w:p>
    <w:p w14:paraId="745AC0B5" w14:textId="77777777" w:rsidR="00317593" w:rsidRDefault="00FE328A" w:rsidP="00FE328A">
      <w:pPr>
        <w:pStyle w:val="BUMainText"/>
        <w:ind w:firstLine="720"/>
      </w:pPr>
      <w:r>
        <w:t>In the MuRF-1 knockout mouse, Dexa fails to change FSR[426],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5014830F" w14:textId="77777777" w:rsidR="00317593" w:rsidRDefault="00FE328A" w:rsidP="00FE328A">
      <w:pPr>
        <w:pStyle w:val="BUMainText"/>
        <w:ind w:firstLine="720"/>
      </w:pPr>
      <w:r>
        <w:t>While direct evidence has been rarely obtained, indirect evidence showing that Dexa modulates muscle protein synthesis is rich. For example, acute GC administration causes a reduction in the proportion of polyribosomes[548]. The proportion of polysomes recovers to basal level in less than 24 hours, when the GC is short-acting prednisone[398]. In contrast, polysome downregulation lasts</w:t>
      </w:r>
      <w:r w:rsidR="00317593">
        <w:t xml:space="preserve"> </w:t>
      </w:r>
      <w:r>
        <w:t>about two days after Dexa. No published accounts describe polysome profile changes after longer GC exposure.</w:t>
      </w:r>
    </w:p>
    <w:p w14:paraId="3F6B6F0B" w14:textId="77777777" w:rsidR="00317593" w:rsidRDefault="00FE328A" w:rsidP="00FE328A">
      <w:pPr>
        <w:pStyle w:val="BUMainText"/>
        <w:ind w:firstLine="720"/>
      </w:pPr>
      <w:r>
        <w:t>Dexa has a dual effect on 4E-BP, the inhibitor of protein synthesis that binds and inhibits the eukaryotic initiation eIF4E. First, Dexa upregulates 4E-BP mRNA[425]. It was long believed 4E-BP induction is direct, and based on a Foxo response element in 4E-BP promoter[549]. As of 2015, this response element is proven only in Drosophila. The only replication in mouse cells, in culture, was withdrawn during the preparation of this work, for unspecified reason. While the transcriptional upregulation of 4E-BP is certain, the mechanisms by which Dexa achieves it remain unknown.</w:t>
      </w:r>
    </w:p>
    <w:p w14:paraId="03160FB3" w14:textId="77777777" w:rsidR="00317593" w:rsidRDefault="00FE328A" w:rsidP="00FE328A">
      <w:pPr>
        <w:pStyle w:val="BUMainText"/>
        <w:ind w:firstLine="720"/>
      </w:pPr>
      <w:r>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w:t>
      </w:r>
      <w:r w:rsidR="00317593">
        <w:t xml:space="preserve"> </w:t>
      </w:r>
      <w:r>
        <w:t>study of mTOR action is challenged by the existence of multiple phosphorylation sites, inability of antibodies to discern them, and inability of rapamycin to inhibit mTORC1 action on 4E-BP1[550].</w:t>
      </w:r>
    </w:p>
    <w:p w14:paraId="6F2A4028" w14:textId="77777777" w:rsidR="00317593" w:rsidRDefault="00FE328A" w:rsidP="00FE328A">
      <w:pPr>
        <w:pStyle w:val="BUMainText"/>
        <w:ind w:firstLine="720"/>
      </w:pPr>
      <w:r>
        <w:t>Dexa upregulates mitogen-activated protein kinase–interacting kinase 2 (MNK2) expression[551]. Dexa reduces eIF4G Ser 1108 phosphorylation in wild type mice, but not in MNK2 knockout mice. This posttranslational modification correlates with nutrient availability, but its role in GAML was not studied (reviewed in [552]).</w:t>
      </w:r>
    </w:p>
    <w:p w14:paraId="4056CB24" w14:textId="77777777" w:rsidR="00317593" w:rsidRDefault="00FE328A" w:rsidP="00FE328A">
      <w:pPr>
        <w:pStyle w:val="BUMainText"/>
        <w:ind w:firstLine="720"/>
      </w:pPr>
      <w:r>
        <w:t>In C2C12 myotubes, GAML may repress protein synthesis by MAFbx-initiated neutralization of eIF3f[434].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complex[497]. The role of eIF3f in GAML has not been confirmed in vivo.</w:t>
      </w:r>
    </w:p>
    <w:p w14:paraId="011FC794" w14:textId="77777777" w:rsidR="00317593" w:rsidRDefault="00FE328A" w:rsidP="00FE328A">
      <w:pPr>
        <w:pStyle w:val="BUMainText"/>
        <w:ind w:firstLine="720"/>
      </w:pPr>
      <w:r>
        <w:t>Canonical control of protein synthesis includes translational derepression, a cytosol-based mechanism for sensing amino acid starvation (reviewed in [553]). Relative lack of amino acids enriches uncharged tRNA, which bind and activates General Control Nonderepressible 2 (GCN2)[554]. Activated GCN2 phosphorylates eIF2α at Ser 51, leading to the formation of an inactivating complex with eIF2B[555]. The inactivation of eIF2B, the guanine exchange factor for eIF2, leads to general translation shutdown[556]. The lack of eIF2-GTP complexes leads to start codon skipping, which, for transcripts including multiple open reading frames (ORF), determines extraordinary translation from downstream start ORFs. In eukaryotes, a physiologically relevant downstream</w:t>
      </w:r>
      <w:r w:rsidR="00317593">
        <w:t xml:space="preserve"> </w:t>
      </w:r>
      <w:r>
        <w:t>ORF is Activating transcription factor 4 (ATF4), which upregulates genes involved in transport of essential amino acids and synthesis of non-essential amino acids, such as asparagine synthetase[557]. Overall, the translational derepression pathway is a mechanism for inhibiting protein synthesis, initiated by apparent depletion of free amino acids, and leading to ATF4 upregulation.</w:t>
      </w:r>
    </w:p>
    <w:p w14:paraId="685AD534" w14:textId="77777777" w:rsidR="00317593" w:rsidRDefault="00FE328A" w:rsidP="00FE328A">
      <w:pPr>
        <w:pStyle w:val="BUMainText"/>
        <w:ind w:firstLine="720"/>
      </w:pPr>
      <w:r>
        <w:t>The study of translational derepression in mammalians is still in its beginnings. The ATF4 knockout mouse has normal weight, but exhibits some sparing from muscle atrophy in response to starvation[558]. ATF4 knockout mice exhibit a normal atrogene response to starvation, indicating that ATF4 is part of a novel atrophy pathway. The only study that measured chronic Dexa effect on phosphorylation of eIF2 reported negative results[123]. However, Dexa abrogated amino acid infusion ability to reduce eIF2 phosphorylation, a situation reminiscent of Dexa’s action on Akt. In a fibroblastic cell line, Dexa upregulated ATF4 translation as long as insulin was withheld from the medium[559].</w:t>
      </w:r>
    </w:p>
    <w:p w14:paraId="6E29FB3A" w14:textId="77777777" w:rsidR="00317593" w:rsidRDefault="00FE328A" w:rsidP="00FE328A">
      <w:pPr>
        <w:pStyle w:val="BUMainText"/>
        <w:ind w:firstLine="720"/>
      </w:pPr>
      <w:r>
        <w:t>Unexpectedly, in C2C12 myotubes, ATF4 protein levels are upregulated by insulin in a rapamycin-dependent manner[559]. A plausible explanation is that ATF4 is upregulated by apparent amino acid deficits, including cases when mTOR-stimulated protein translation depletes the free amino acid pool.</w:t>
      </w:r>
    </w:p>
    <w:p w14:paraId="097B3725" w14:textId="77777777" w:rsidR="00317593" w:rsidRDefault="00FE328A" w:rsidP="00FE328A">
      <w:pPr>
        <w:pStyle w:val="BUMainText"/>
        <w:ind w:firstLine="720"/>
      </w:pPr>
      <w:r>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w:t>
      </w:r>
      <w:r w:rsidR="00317593">
        <w:t xml:space="preserve"> </w:t>
      </w:r>
      <w:r>
        <w:t>ubiquitin-proteasome system in GAML.</w:t>
      </w:r>
    </w:p>
    <w:p w14:paraId="69CE41F4" w14:textId="77777777" w:rsidR="00317593" w:rsidRPr="00317593" w:rsidRDefault="00FE328A" w:rsidP="00317593">
      <w:pPr>
        <w:pStyle w:val="Heading2"/>
        <w:rPr>
          <w:sz w:val="24"/>
          <w:szCs w:val="24"/>
        </w:rPr>
      </w:pPr>
      <w:bookmarkStart w:id="32" w:name="_Toc422957914"/>
      <w:r w:rsidRPr="00317593">
        <w:rPr>
          <w:sz w:val="24"/>
          <w:szCs w:val="24"/>
        </w:rPr>
        <w:t>The effects of glucocorticoids on autophagy</w:t>
      </w:r>
      <w:bookmarkEnd w:id="32"/>
    </w:p>
    <w:p w14:paraId="7881228D" w14:textId="77777777" w:rsidR="00317593" w:rsidRDefault="00FE328A" w:rsidP="00FE328A">
      <w:pPr>
        <w:pStyle w:val="BUMainText"/>
        <w:ind w:firstLine="720"/>
      </w:pPr>
      <w:r>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 Moreover, in L6 myotubes, 100 µM chloroquine or 200 mM E-64 reduce the rate at which Dexa amplifies proteolytic tracer release[415].</w:t>
      </w:r>
    </w:p>
    <w:p w14:paraId="4C46167B" w14:textId="77777777" w:rsidR="00317593" w:rsidRDefault="00FE328A" w:rsidP="00FE328A">
      <w:pPr>
        <w:pStyle w:val="BUMainText"/>
        <w:ind w:firstLine="720"/>
      </w:pPr>
      <w:r>
        <w:t>A series of molecular markers further support the idea that autophagy is upregulated by Dexa. In C2C12 myotubes, Dexa may induce the formation of double-membrane autophagic vesicles, although evidence is limited to unquantified micrographs[560].</w:t>
      </w:r>
    </w:p>
    <w:p w14:paraId="13462DD8" w14:textId="77777777" w:rsidR="00317593" w:rsidRDefault="00FE328A" w:rsidP="00FE328A">
      <w:pPr>
        <w:pStyle w:val="BUMainText"/>
        <w:ind w:firstLine="720"/>
      </w:pPr>
      <w:r>
        <w:t>Dexa reliably upregulates the family of lysosome proteases known as cathepsins. In vivo, Dexa doubles the lysosome proteases cathepsin L and D [402, 561, 429]. In L6 myotubes, Dexa upregulates cathepsin B[415].</w:t>
      </w:r>
    </w:p>
    <w:p w14:paraId="730DAA6F" w14:textId="77777777" w:rsidR="00317593" w:rsidRDefault="00FE328A" w:rsidP="00FE328A">
      <w:pPr>
        <w:pStyle w:val="BUMainText"/>
        <w:ind w:firstLine="720"/>
      </w:pPr>
      <w:r>
        <w:t>A new modality for investigating autophagy hinges on one of the</w:t>
      </w:r>
      <w:r w:rsidR="00317593">
        <w:t xml:space="preserve"> </w:t>
      </w:r>
      <w:r>
        <w:t>longest-living markers on its surface, LC3. Transgenic mice with expressing LC3-GFP have been developed, and are regularly used for tracking autophagosomes, including in denervation atrophy. Unfortunately, there are no reports of this model being used in the study of GAML. Alternatively, endogenous LC3 is tracked through immunofluorescence microscopy. Some reports describe an accumulation of punctate LC3-containing structures in L6 myotubes treated with Dexa for 6 hours[455].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 [562]). LC3-II is enriched in C2C12 myotubes</w:t>
      </w:r>
      <w:r w:rsidR="00317593">
        <w:t xml:space="preserve"> </w:t>
      </w:r>
      <w:r>
        <w:t>overexpressing LC3[560] and in L6 myotubes[455]. Similar to the microscopy experiments, these reports use acute Dexa treatments. Moreover, a time course reveals that in L6 myotubes, LC3-II peaks at 6 hours and is extinguished at 24 hours after Dexa administration[563]. Such findings are consistent with a rapid formation of autophagosomes, followed by a slower fusion with lysosomes and clearance.</w:t>
      </w:r>
    </w:p>
    <w:p w14:paraId="5959A668" w14:textId="77777777" w:rsidR="00317593" w:rsidRDefault="00FE328A" w:rsidP="00FE328A">
      <w:pPr>
        <w:pStyle w:val="BUMainText"/>
        <w:ind w:firstLine="720"/>
      </w:pPr>
      <w:r>
        <w:t>In vivo, LC3 changes are rarely documented. Acute Dexa causes accumulation of LC3-II protein[494]. Recently, the enrichment of LC3-II after chronic Dexa has been reported in rats[564].</w:t>
      </w:r>
    </w:p>
    <w:p w14:paraId="0AF6B9C6" w14:textId="77777777" w:rsidR="00317593" w:rsidRDefault="00FE328A" w:rsidP="00FE328A">
      <w:pPr>
        <w:pStyle w:val="BUMainText"/>
        <w:ind w:firstLine="720"/>
      </w:pPr>
      <w:r>
        <w:t>In contrast with the limited body of evidence we have for autophagy upregulation, there is a significant amount of literature describing what would drive autophagy up in GAML. In C2C12 myotubes, overexpression of a constitutively active FoxO3 or chemical inhibition of Akt upregulate</w:t>
      </w:r>
      <w:r w:rsidR="00317593">
        <w:t xml:space="preserve"> </w:t>
      </w:r>
      <w:r>
        <w:t>lysosome-attributable proteolysis[376]. As mentioned earlier, mTORC1 is a negative regulator of autophagy, whose inhibition in GAML is hypothesized to stimulate autophagy. Acute Dexa administration reduces ULK1 phosphorylation at Ser 575, the mTOR-specific, inhibitory site[494].</w:t>
      </w:r>
    </w:p>
    <w:p w14:paraId="69FCC338" w14:textId="77777777" w:rsidR="00317593" w:rsidRDefault="00FE328A" w:rsidP="00FE328A">
      <w:pPr>
        <w:pStyle w:val="BUMainText"/>
        <w:ind w:firstLine="720"/>
      </w:pPr>
      <w:r>
        <w:t>Other lines of evidence provide indirect support for autophagy upregulation in GAML. Acute Dexa downregulates p62, one of the shortest-lived markers on the autophagosome, thus suggesting that autophagic flux is upregulated[494]. Acute Dexa increases expression of the mitophagy effector Bnip3[494, 455]. In C2C12, acute Dexa upregulates expression of lysosome markers such as autophagy-related 12 (Atg12)[515].</w:t>
      </w:r>
    </w:p>
    <w:p w14:paraId="6EBFDC8E" w14:textId="77777777" w:rsidR="00317593" w:rsidRDefault="00FE328A" w:rsidP="00FE328A">
      <w:pPr>
        <w:pStyle w:val="BUMainText"/>
        <w:ind w:firstLine="720"/>
      </w:pPr>
      <w:r>
        <w:t>Given the spatial segregation between lysosomes internal and outer space, autophagy must rely on a selective mechanism for any protein that it is processing. Therefore, it is likely that autophagy acts only on a few specific,</w:t>
      </w:r>
      <w:r w:rsidR="00317593">
        <w:t xml:space="preserve"> </w:t>
      </w:r>
      <w:r>
        <w:t>perhaps limiting, proteins. For example, Dexa-induced depletion of sialidase</w:t>
      </w:r>
      <w:r w:rsidR="00317593">
        <w:t xml:space="preserve"> </w:t>
      </w:r>
      <w:r>
        <w:t>Neu2 is prevented by 3-MA[560].</w:t>
      </w:r>
    </w:p>
    <w:p w14:paraId="763F3010" w14:textId="77777777" w:rsidR="00317593" w:rsidRDefault="00FE328A" w:rsidP="00FE328A">
      <w:pPr>
        <w:pStyle w:val="BUMainText"/>
        <w:ind w:firstLine="720"/>
      </w:pPr>
      <w:r>
        <w:t>Autophagy may play a significant role in triggering and regulating GAML. Current evidence, based on cell culture experiments, is far from satisfactory. Given its limited amplitude in vivo, it is improbable that autophagy is responsible for bulk protein elimination.</w:t>
      </w:r>
    </w:p>
    <w:p w14:paraId="41882251" w14:textId="77777777" w:rsidR="00317593" w:rsidRPr="00317593" w:rsidRDefault="00FE328A" w:rsidP="00317593">
      <w:pPr>
        <w:pStyle w:val="Heading2"/>
        <w:rPr>
          <w:sz w:val="24"/>
          <w:szCs w:val="24"/>
        </w:rPr>
      </w:pPr>
      <w:bookmarkStart w:id="33" w:name="_Toc422957915"/>
      <w:r w:rsidRPr="00317593">
        <w:rPr>
          <w:sz w:val="24"/>
          <w:szCs w:val="24"/>
        </w:rPr>
        <w:t>Other proteolytic systems modulated by glucocorticoids</w:t>
      </w:r>
      <w:bookmarkEnd w:id="33"/>
    </w:p>
    <w:p w14:paraId="1EE1FB83" w14:textId="77777777" w:rsidR="00317593" w:rsidRDefault="00FE328A" w:rsidP="00FE328A">
      <w:pPr>
        <w:pStyle w:val="BUMainText"/>
        <w:ind w:firstLine="720"/>
      </w:pPr>
      <w:r>
        <w:t>In 1986, it was discovered that proteolysis in muscle is increased when explants are soaked in 2.5 mM calcium[565, 566].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 [567]). Transgenic mice overexpressing calpastatin have 30% lower loss of muscle upon unloading[568], proving that the calpain system is important in some atrophy models.</w:t>
      </w:r>
    </w:p>
    <w:p w14:paraId="332D0EA4" w14:textId="77777777" w:rsidR="00317593" w:rsidRDefault="00FE328A" w:rsidP="00FE328A">
      <w:pPr>
        <w:pStyle w:val="BUMainText"/>
        <w:ind w:firstLine="720"/>
      </w:pPr>
      <w:r>
        <w:t>There is limited evidence for calpains involvement in GAML, beyond the experiments from 1980’s. In vivo, expression of the calcium-dependent protease m-calpain is trebled by Dexa[402]. In L6 myotubes, calpastatin overexpression halves Dexa-induced proteolysis[569]. Also in L6 myotubes, Dexa promotes store-operated calcium entry, the mechanism by which intracellular Ca concentration is increased when ER stores are depleted[570].</w:t>
      </w:r>
    </w:p>
    <w:p w14:paraId="4A79455A" w14:textId="77777777" w:rsidR="00317593" w:rsidRDefault="00FE328A" w:rsidP="00FE328A">
      <w:pPr>
        <w:pStyle w:val="BUMainText"/>
        <w:ind w:firstLine="720"/>
      </w:pPr>
      <w:r>
        <w:t>It has been speculated that activations of calpains is an initial step in GAML, allowing myofibril protein to interact with MuRF-1[571]. Calpains are important</w:t>
      </w:r>
      <w:r w:rsidR="00317593">
        <w:t xml:space="preserve"> </w:t>
      </w:r>
      <w:r>
        <w:t>for some atrophy models, but their role in GAML is understudied.</w:t>
      </w:r>
    </w:p>
    <w:p w14:paraId="1E59FA0C" w14:textId="77777777" w:rsidR="00317593" w:rsidRDefault="00FE328A" w:rsidP="00FE328A">
      <w:pPr>
        <w:pStyle w:val="BUMainText"/>
        <w:ind w:firstLine="720"/>
      </w:pPr>
      <w:r>
        <w:t>Many unbiased studies found that a family of proteases, metallothioneins, are upregulated in GAML[572]. However, they contribution to GAML has not been analyzed.</w:t>
      </w:r>
    </w:p>
    <w:p w14:paraId="00162529" w14:textId="77777777" w:rsidR="00317593" w:rsidRDefault="00FE328A" w:rsidP="00FE328A">
      <w:pPr>
        <w:pStyle w:val="BUMainText"/>
        <w:ind w:firstLine="720"/>
      </w:pPr>
      <w:r>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D904164" w14:textId="77777777" w:rsidR="00317593" w:rsidRPr="00317593" w:rsidRDefault="00FE328A" w:rsidP="00317593">
      <w:pPr>
        <w:pStyle w:val="Heading2"/>
        <w:rPr>
          <w:sz w:val="24"/>
          <w:szCs w:val="24"/>
        </w:rPr>
      </w:pPr>
      <w:bookmarkStart w:id="34" w:name="_Toc422957916"/>
      <w:r w:rsidRPr="00317593">
        <w:rPr>
          <w:sz w:val="24"/>
          <w:szCs w:val="24"/>
        </w:rPr>
        <w:t>Alleviation of glucocorticoid myopathy by IGF-I</w:t>
      </w:r>
      <w:bookmarkEnd w:id="34"/>
    </w:p>
    <w:p w14:paraId="17F93301" w14:textId="77777777" w:rsidR="00317593" w:rsidRDefault="00FE328A" w:rsidP="00FE328A">
      <w:pPr>
        <w:pStyle w:val="BUMainText"/>
        <w:ind w:firstLine="720"/>
      </w:pPr>
      <w:r>
        <w:t>Upon finding that, in L6 myoblasts, Dexa-stimulated proteolysis is abated by co-administration of insulin, Ballard hypothesized in 1983 that Dexa acts indirectly, by depleting the body’s supply of IGF-I[573]. While the use of</w:t>
      </w:r>
      <w:r w:rsidR="00317593">
        <w:t xml:space="preserve"> </w:t>
      </w:r>
      <w:r>
        <w:t>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GC[574, 575]. Many reports describe the easily measurable interaction between Dexa and IGF-I on</w:t>
      </w:r>
      <w:r w:rsidR="00317593">
        <w:t xml:space="preserve"> </w:t>
      </w:r>
      <w:r>
        <w:t>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w:t>
      </w:r>
      <w:r w:rsidR="00317593">
        <w:t xml:space="preserve"> </w:t>
      </w:r>
      <w:r>
        <w:t>of IGF-I plasmid in tibialis protected solely the transformed fibers from</w:t>
      </w:r>
      <w:r w:rsidR="00317593">
        <w:t xml:space="preserve"> </w:t>
      </w:r>
      <w:r>
        <w:t>Dexa-induced atrophy[576]. In Dexa-treated rats, co-administration of IGF-I</w:t>
      </w:r>
      <w:r w:rsidR="00317593">
        <w:t xml:space="preserve"> </w:t>
      </w:r>
      <w:r>
        <w:t>reduces loss of muscle mass, fiber atrophy, and 3MH release[577], thus providing</w:t>
      </w:r>
      <w:r w:rsidR="00317593">
        <w:t xml:space="preserve"> </w:t>
      </w:r>
      <w:r>
        <w:t>a blueprint for the ideal anti-GAML therapy.</w:t>
      </w:r>
    </w:p>
    <w:p w14:paraId="59DCB0FB" w14:textId="77777777" w:rsidR="00317593" w:rsidRDefault="00FE328A" w:rsidP="00FE328A">
      <w:pPr>
        <w:pStyle w:val="BUMainText"/>
        <w:ind w:firstLine="720"/>
      </w:pPr>
      <w:r>
        <w:t>Co-administration of IGF-I reverses upregulation of ubiquitin, and of proteasome subunits C2 C3, C8[578, 579], thus blunting one of the major</w:t>
      </w:r>
      <w:r w:rsidR="00317593">
        <w:t xml:space="preserve"> </w:t>
      </w:r>
      <w:r>
        <w:t>effectors of GAML, the ubiquitin-proteasome system. However, Dexa antagonizes</w:t>
      </w:r>
      <w:r w:rsidR="00317593">
        <w:t xml:space="preserve"> </w:t>
      </w:r>
      <w:r>
        <w:t>IGF-I on many other downstream effects, such as glutamine synthesis[580].</w:t>
      </w:r>
    </w:p>
    <w:p w14:paraId="20386ED8" w14:textId="77777777" w:rsidR="00317593" w:rsidRDefault="00FE328A" w:rsidP="00FE328A">
      <w:pPr>
        <w:pStyle w:val="BUMainText"/>
        <w:ind w:firstLine="720"/>
      </w:pPr>
      <w:r>
        <w:t>In vivo, Dexa reduces muscle expression of IGF-I[581, 190], and possibly interferes by altering IGFBP secretion[425]. Therefore, GAML manifests as an absolute loss of IGF-I exacerbated by a downstream inhibition. Intuitively, IGF-I supplementation may provide GAML alleviation.</w:t>
      </w:r>
    </w:p>
    <w:p w14:paraId="512A1AD6" w14:textId="77777777" w:rsidR="00317593" w:rsidRDefault="00FE328A" w:rsidP="00FE328A">
      <w:pPr>
        <w:pStyle w:val="BUMainText"/>
        <w:ind w:firstLine="720"/>
      </w:pPr>
      <w:r>
        <w:t>Despite the positive results seen in rodents, few studies analyzed molecular mechanisms by which IGF-I works in vivo. Because co-administration of GH cannot reverse muscle loss from Dexa or triamcinolone[582, 579], it was hypothesized that, similar to Dexa, IGF-I action on muscle is cell-autonomous,</w:t>
      </w:r>
      <w:r w:rsidR="00317593">
        <w:t xml:space="preserve"> </w:t>
      </w:r>
      <w:r>
        <w:t>and may be modeled by cell cultures. In cell culture, IGF-I alone improves protein synthesis, but has no effect on protein degradation[583]. In contrast, on</w:t>
      </w:r>
      <w:r w:rsidR="00317593">
        <w:t xml:space="preserve"> </w:t>
      </w:r>
      <w:r>
        <w:t>myotubes treated with Dexa, co-administration of IGF-I has an anti-proteolytic effect[583]. The reduction in proteolysis covers all domains, but, in acute settings, appears more effective in repressing lysosome than proteasome activity[584].</w:t>
      </w:r>
      <w:r w:rsidR="00317593">
        <w:t xml:space="preserve"> </w:t>
      </w:r>
      <w:r>
        <w:t>IGF-I co-administration reverses MAFbx and MuRF-1 upregulation[478, 427], in a Foxo dependent manner. During co-administration, Foxo regulation is split. Dexa upregulates Foxo protein levels, while IGF-I counters by increasing their phosphorylation[424] and reducing its ability to bind MuRF-1 promoter[427].</w:t>
      </w:r>
    </w:p>
    <w:p w14:paraId="61D055DE" w14:textId="77777777" w:rsidR="002112A0" w:rsidRDefault="00FE328A" w:rsidP="00FE328A">
      <w:pPr>
        <w:pStyle w:val="BUMainText"/>
        <w:ind w:firstLine="720"/>
      </w:pPr>
      <w:r>
        <w:t>The IGF-I-induced Foxo phosphorylation is consistent with upstream modulations of the Akt axis. Among those, myoprotective phosphorylation of Akt, GSK-3β, p70-S6K and 4E-BP1 is seen with IGF-I co-administration in</w:t>
      </w:r>
      <w:r w:rsidR="00317593">
        <w:t xml:space="preserve"> </w:t>
      </w:r>
      <w:r>
        <w:t>cells[585, 586]. Studies with chemical inhibitors revealed that IGF-I protective</w:t>
      </w:r>
      <w:r w:rsidR="00317593">
        <w:t xml:space="preserve"> </w:t>
      </w:r>
      <w:r>
        <w:t>effect is mediated by Akt and PI3K[585]. It is not known which of these downstream mediators is in fact relevant for myoprotection. Muscle hypertrophy and recovery are halved by rapamycin, indicating that other anabolic mediators are as important as the mTOR pathway [587, 375, 588]. From the similarity between muscle protection conferred by IGF-I and by GSK-3β inhibitors, it was speculated that IGF-I acts by inhibiting GSK-3β[589, 465].</w:t>
      </w:r>
    </w:p>
    <w:p w14:paraId="2FF1019E" w14:textId="77777777" w:rsidR="002112A0" w:rsidRDefault="00FE328A" w:rsidP="00FE328A">
      <w:pPr>
        <w:pStyle w:val="BUMainText"/>
        <w:ind w:firstLine="720"/>
      </w:pPr>
      <w:r>
        <w:t>Based on the current evidence, it appears that IGF-I alleviating action is not completely overlapping with the wide spectrum of atrophic actions of Dexa. The putative mediator of muscle loss REDD1 is upregulated by acute insulin or</w:t>
      </w:r>
      <w:r w:rsidR="002112A0">
        <w:t xml:space="preserve"> </w:t>
      </w:r>
      <w:r>
        <w:t>IGF-I[590]. It is possible that REDD1 upregulation contributes to the incompleteness in reversal of GAML by IGF-I.</w:t>
      </w:r>
    </w:p>
    <w:p w14:paraId="3AD4FD99" w14:textId="77777777" w:rsidR="002112A0" w:rsidRDefault="00FE328A" w:rsidP="00FE328A">
      <w:pPr>
        <w:pStyle w:val="BUMainText"/>
        <w:ind w:firstLine="720"/>
      </w:pPr>
      <w:r>
        <w:t>IGF-I is only one of the many determinants of muscle mass. For example, myostatin knockout mice have double muscle size, yet lower circulating IGF-I levels, compared to wild type mice[591]. However, the changes induced by Dexa in IGF-I are consistent with its involvement in the atrophy program. As our understanding of GAML improved, studies on its alleviation by IGF-I are lagging. A large number of publications focus on the balance of GC and IGF-I on Akt in</w:t>
      </w:r>
      <w:r w:rsidR="002112A0">
        <w:t xml:space="preserve"> </w:t>
      </w:r>
      <w:r>
        <w:t>cultured cells. Given the reduced number of co-administration in vivo studies, our understanding of how IGF-I could alleviate glucocorticoid myopathy is incomplete.</w:t>
      </w:r>
    </w:p>
    <w:p w14:paraId="04A8DED9" w14:textId="77777777" w:rsidR="002112A0" w:rsidRPr="002112A0" w:rsidRDefault="00FE328A" w:rsidP="002112A0">
      <w:pPr>
        <w:pStyle w:val="Heading2"/>
        <w:rPr>
          <w:sz w:val="24"/>
          <w:szCs w:val="24"/>
        </w:rPr>
      </w:pPr>
      <w:bookmarkStart w:id="35" w:name="_Toc422957917"/>
      <w:r w:rsidRPr="002112A0">
        <w:rPr>
          <w:sz w:val="24"/>
          <w:szCs w:val="24"/>
        </w:rPr>
        <w:t>Alleviation of glucocorticoid myopathy by anabolic steroids</w:t>
      </w:r>
      <w:bookmarkEnd w:id="35"/>
    </w:p>
    <w:p w14:paraId="543EC0BA" w14:textId="77777777" w:rsidR="002112A0" w:rsidRDefault="00FE328A" w:rsidP="002112A0">
      <w:pPr>
        <w:pStyle w:val="BUMainText"/>
        <w:ind w:firstLine="720"/>
      </w:pPr>
      <w:r w:rsidRPr="002112A0">
        <w:t>Human studies demonstrated that AAS addition to chronic Dexa benefits male</w:t>
      </w:r>
      <w:r>
        <w:t xml:space="preserve"> adult patients, by reducing their loss of muscle and improving their quality</w:t>
      </w:r>
      <w:r w:rsidR="002112A0">
        <w:t xml:space="preserve"> </w:t>
      </w:r>
      <w:r>
        <w:t>of life[158]. The idea of alleviating the CS by AAS therapy came two years after the discovery of an affordable source of Testo. In the case of exogenous</w:t>
      </w:r>
      <w:r w:rsidR="002112A0">
        <w:t xml:space="preserve"> </w:t>
      </w:r>
      <w:r>
        <w:t>hypercortisolism, the same idea surfaced less than a year after the discovery of GC. Two years later, Courier and Marois report the first replication of the myoprotective effect in rats[592]. For a long time, during the second dark age of steroids, the combination of AAS and GC, with androgenic, but without anabolic potency, was investigated, in the hope that it would show the way towards splitting the anabolic from the androgenic principle in Testo.</w:t>
      </w:r>
    </w:p>
    <w:p w14:paraId="6F9C6E8C" w14:textId="77777777" w:rsidR="002112A0" w:rsidRDefault="00FE328A" w:rsidP="00FE328A">
      <w:pPr>
        <w:pStyle w:val="BUMainText"/>
        <w:ind w:firstLine="720"/>
      </w:pPr>
      <w:r>
        <w:t>A related theoretic question was the nature of the nuclear receptor. At the 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range[593]. In vitro Dexa doses used in muscle atrophy experiments range in the tens of hundred nanomolar. Similar concentrations are likely in the blood of mice injected with the 0.5 g/kg to 1 g/kg doses described before. At a concentration of</w:t>
      </w:r>
      <w:r w:rsidR="002112A0">
        <w:t xml:space="preserve"> </w:t>
      </w:r>
      <w:r>
        <w:t>2 pM in rat skeletal muscle[594], virtually all GR should be bound to Dexa. On the other hand, inhibitory constant (Ki) for Testo competing with Dexa for binding to muscle protein extracts is 10 µM[595].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affinity[596]. Therefore, barring allosteric effects, direct competition between the two steroids remains only of theoretical importance.</w:t>
      </w:r>
    </w:p>
    <w:p w14:paraId="44C08B51" w14:textId="77777777" w:rsidR="002112A0" w:rsidRDefault="00FE328A" w:rsidP="00FE328A">
      <w:pPr>
        <w:pStyle w:val="BUMainText"/>
        <w:ind w:firstLine="720"/>
      </w:pPr>
      <w:r>
        <w:t>The experiments in the 1980’s and 1990’s tested the interaction of AAS and</w:t>
      </w:r>
      <w:r w:rsidR="002112A0">
        <w:t xml:space="preserve"> </w:t>
      </w:r>
      <w:r>
        <w:t>GC on the diaphragm. While these studies could not have measured the</w:t>
      </w:r>
      <w:r w:rsidR="002112A0">
        <w:t xml:space="preserve"> </w:t>
      </w:r>
      <w:r>
        <w:t>yet-undiscovered mediators of GAML, they established that myoprotection</w:t>
      </w:r>
      <w:r w:rsidR="002112A0">
        <w:t xml:space="preserve"> </w:t>
      </w:r>
      <w:r>
        <w:t>provided by AAS manifests in both muscle mass and force[597, 598, 599].</w:t>
      </w:r>
    </w:p>
    <w:p w14:paraId="7D946105" w14:textId="555F8436" w:rsidR="00FE328A" w:rsidRDefault="00FE328A" w:rsidP="00FE328A">
      <w:pPr>
        <w:pStyle w:val="BUMainText"/>
        <w:ind w:firstLine="720"/>
      </w:pPr>
      <w:r>
        <w:t>The mechanism by which AAS accomplishes muscle protection in GAML</w:t>
      </w:r>
      <w:r w:rsidR="002112A0">
        <w:t xml:space="preserve"> </w:t>
      </w:r>
      <w:r>
        <w:t>remains unknown to date. One early study found that, in vivo, Testo</w:t>
      </w:r>
      <w:r w:rsidR="002112A0">
        <w:t xml:space="preserve"> </w:t>
      </w:r>
      <w:r>
        <w:t>re-establishes the percentage of ribosomes that are involved in translation[600]. Two later studies on L6 myotubes found that AAS could not reverse the downregulation of protein synthesis induced by Dexa[573, 601]. A study on C2C12 myotubes also rejected an action of Testo on protein metabolism, despite trends for restored protein synthesis and degradation when 1 µM Testo is added to</w:t>
      </w:r>
      <w:r w:rsidR="002112A0">
        <w:t xml:space="preserve"> </w:t>
      </w:r>
      <w:r>
        <w:t>100 nM Dexa[546]. Given the limited number of attempts, the failure of in vitro systems to replicate in vivo benefits may be ascribed to reduced sensitivity rather than to fundamental shortcomings of the in vitro model.</w:t>
      </w:r>
    </w:p>
    <w:p w14:paraId="405AFAEC" w14:textId="77777777" w:rsidR="00FE328A" w:rsidRDefault="00FE328A" w:rsidP="00FE328A">
      <w:pPr>
        <w:pStyle w:val="BUMainText"/>
        <w:ind w:firstLine="720"/>
      </w:pPr>
      <w:r>
        <w:t>A few studies investigated the interaction of AAS and GC, by measuring the changes in one signal when the other is altered. An interaction at the level of receptors cannot be excluded. In skeletal muscle, GR mRNA and binding activity are increased upon castration[602, 603], suggesting a way by which castration causes muscle atrophy. Conversely, Dexa reduces the expression of AR in skeletal muscle[190]. Hypercortisolism reduces endogenous Testo levels in male rats, thus leading to ampler loss of muscle than in females, which experience Testo upregulation[404]. Sexual dimorphism in animal models confirms that males stand to benefit more from AAS therapy in GAML.</w:t>
      </w:r>
    </w:p>
    <w:p w14:paraId="79CC3866" w14:textId="1DF10B1F" w:rsidR="00FE328A" w:rsidRDefault="00FE328A" w:rsidP="00FE328A">
      <w:pPr>
        <w:pStyle w:val="BUMainText"/>
        <w:ind w:firstLine="720"/>
      </w:pPr>
      <w:r>
        <w:t>In the absence of direct interference, studies sought downstream effectors at which Testo could prevent Dexa’s program. One putative interaction is centered on myostatin. Myostatin promoter contains putative androgen responsive elements[525]. In intact animals and even in atrophic muscle after spinal cord injury, Testo does not alter myostatin[604, 605]. Myostatin changes in</w:t>
      </w:r>
      <w:r w:rsidR="002112A0">
        <w:t xml:space="preserve"> </w:t>
      </w:r>
      <w:r>
        <w:t>co-administration of AAS and GC has not been investigated. Given myostatin’s</w:t>
      </w:r>
      <w:r w:rsidR="002112A0">
        <w:t xml:space="preserve"> </w:t>
      </w:r>
      <w:r>
        <w:t>limited role in GAML, it is unlikely myostatin repression could contribute to the ample alleviation provided by Testo.</w:t>
      </w:r>
    </w:p>
    <w:p w14:paraId="2A9CACB9" w14:textId="77777777" w:rsidR="00FE328A" w:rsidRDefault="00FE328A" w:rsidP="00FE328A">
      <w:pPr>
        <w:pStyle w:val="BUMainText"/>
        <w:ind w:firstLine="720"/>
      </w:pPr>
      <w:r>
        <w:t>Another promising point of interaction is at the level of the Akt axis. Testo upregulates IGF-I in muscle, potentially leading to reversal of Dexa-induced Akt inhibition. In other atrophy models, including castration, AAS administration had an IGF-I-dependent myoprotective action[606]. Of note, this protection was correlated with increased Foxo3a phosphorylation, indicating restoration of Akt pathway.</w:t>
      </w:r>
    </w:p>
    <w:p w14:paraId="184D649C" w14:textId="77777777" w:rsidR="002112A0" w:rsidRDefault="00FE328A" w:rsidP="00FE328A">
      <w:pPr>
        <w:pStyle w:val="BUMainText"/>
        <w:ind w:firstLine="720"/>
      </w:pPr>
      <w:r>
        <w:t>In the era of immunoblot, only three laboratories published studies of co-administration of AAS and GC. All three converged towards describing a reversal of Akt pathway inhibition. Sheng laboratory describes the effect of 10-day</w:t>
      </w:r>
      <w:r w:rsidR="002112A0">
        <w:t xml:space="preserve"> </w:t>
      </w:r>
      <w:r>
        <w:t>1 mg/(kg d) Dexa and/or 13-day 5 mg/(kg d) T[607] on rat gastrocnemius. With</w:t>
      </w:r>
      <w:r w:rsidR="002112A0">
        <w:t xml:space="preserve"> </w:t>
      </w:r>
      <w:r>
        <w:t>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4B56F2C3" w14:textId="77777777" w:rsidR="002112A0" w:rsidRDefault="00FE328A" w:rsidP="00FE328A">
      <w:pPr>
        <w:pStyle w:val="BUMainText"/>
        <w:ind w:firstLine="720"/>
      </w:pPr>
      <w:r>
        <w:t>Dalton laboratory account describes the effect of 8-day 600 µg/(kg d) Dexa</w:t>
      </w:r>
      <w:r w:rsidR="002112A0">
        <w:t xml:space="preserve"> </w:t>
      </w:r>
      <w:r>
        <w:t>and/or 25 mg/(kg d) T[507] on rat muscles. This study is focused on the anabolic-androgenic split, and therefore compares levator to extraperitoneal muscles. At these doses, Testo co-administration restores levator ani, but not other muscles. This is a surprising finding, given that muscle atrophy caused by a</w:t>
      </w:r>
      <w:r w:rsidR="002112A0">
        <w:t xml:space="preserve"> </w:t>
      </w:r>
      <w:r>
        <w:t>higher Dexa dose was reversed by a much lower dose of Testo, in the study from</w:t>
      </w:r>
      <w:r w:rsidR="002112A0">
        <w:t xml:space="preserve"> S</w:t>
      </w:r>
      <w:r>
        <w:t>heng and collaborators.</w:t>
      </w:r>
    </w:p>
    <w:p w14:paraId="5F569AAE" w14:textId="77777777" w:rsidR="002112A0" w:rsidRDefault="00FE328A" w:rsidP="00FE328A">
      <w:pPr>
        <w:pStyle w:val="BUMainText"/>
        <w:ind w:firstLine="720"/>
      </w:pPr>
      <w:r>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33CD9983" w14:textId="77777777" w:rsidR="002112A0" w:rsidRDefault="00FE328A" w:rsidP="00FE328A">
      <w:pPr>
        <w:pStyle w:val="BUMainText"/>
        <w:ind w:firstLine="720"/>
      </w:pPr>
      <w:r>
        <w:t>The series of studies from Cardozo laboratory is the most informative. This was also the first group to show that 28 mg/(kg d) Testo reverses losses in rat gastrocnemius induced by simultaneous 700 µg/(kg d) Dexa[608]. They ascribed this alleviation to a reduction in proteolysis and atrogenes expression. In studies on L6 and C2C12 myotubes overexpressing AR, they found that Testo</w:t>
      </w:r>
      <w:r w:rsidR="002112A0">
        <w:t xml:space="preserve"> </w:t>
      </w:r>
      <w:r>
        <w:t>co-administration reverses transcriptional upregulation of REDD1 and</w:t>
      </w:r>
      <w:r w:rsidR="002112A0">
        <w:t xml:space="preserve"> </w:t>
      </w:r>
      <w:r>
        <w:t>MAFbx[609, 425].</w:t>
      </w:r>
    </w:p>
    <w:p w14:paraId="794E4356" w14:textId="77777777" w:rsidR="002112A0" w:rsidRDefault="00FE328A" w:rsidP="00FE328A">
      <w:pPr>
        <w:pStyle w:val="BUMainText"/>
        <w:ind w:firstLine="720"/>
      </w:pPr>
      <w:r>
        <w:t>Arguably, the most important contribution Cardozo made is the first microarray study on alleviation of GAML with T[425],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w:t>
      </w:r>
      <w:r w:rsidR="002112A0">
        <w:t xml:space="preserve"> </w:t>
      </w:r>
      <w:r>
        <w:t>of REDD1 to basal levels, suggesting that mTOR is also restored by Testo. Testo also reversed the surge of MuRF-1, proteasome subunit D8, cathepsin L, LC3,</w:t>
      </w:r>
      <w:r w:rsidR="002112A0">
        <w:t xml:space="preserve"> </w:t>
      </w:r>
      <w:r>
        <w:t>M-type calpain, C/EBP β and δ, and metallothionein 1, exhibiting a wide-spectrum anti-atrophic action.</w:t>
      </w:r>
    </w:p>
    <w:p w14:paraId="67B82671" w14:textId="77777777" w:rsidR="002112A0" w:rsidRDefault="00FE328A" w:rsidP="00FE328A">
      <w:pPr>
        <w:pStyle w:val="BUMainText"/>
        <w:ind w:firstLine="720"/>
      </w:pPr>
      <w:r>
        <w:t>Among the novel putative mediators, the microarray study revealed that Testo reversed Dexa-induced changes in B-cell leukemia/lymphoma 3 (Bcl3), IκB, and CD36. The latter is a fatty acid translocase. Its changes suggest that GAML and its reversal have opposite effects on muscle’s ability to use lipids as fuel[610].</w:t>
      </w:r>
    </w:p>
    <w:p w14:paraId="50B0D9CF" w14:textId="77777777" w:rsidR="002112A0" w:rsidRDefault="00FE328A" w:rsidP="00FE328A">
      <w:pPr>
        <w:pStyle w:val="BUMainText"/>
        <w:ind w:firstLine="720"/>
      </w:pPr>
      <w:r>
        <w:t>Testo reversed the upregulation of the stress sensor Gadd45, isoform β. Recently, it has been shown that Gadd45β is an autophagy blocker[611]. This suggests that in 7-day treated muscle autophagy could be downregulated, and goes against many other molecular markers that indicate the opposite.</w:t>
      </w:r>
    </w:p>
    <w:p w14:paraId="5C9DA100" w14:textId="77777777" w:rsidR="002112A0" w:rsidRDefault="00FE328A" w:rsidP="00FE328A">
      <w:pPr>
        <w:pStyle w:val="BUMainText"/>
        <w:ind w:firstLine="720"/>
      </w:pPr>
      <w:r>
        <w:t>In conclusion, the mechanisms by which Testo prevents GAML appear manifold. Many of the putative myoprotective actions of Testo are only suggested by Cardozo’s microarray, but have never been confirmed in quantitative assays and require further studies to clarify overall mechanism.</w:t>
      </w:r>
    </w:p>
    <w:p w14:paraId="58F924CE" w14:textId="77777777" w:rsidR="002112A0" w:rsidRDefault="002112A0" w:rsidP="002112A0">
      <w:pPr>
        <w:pStyle w:val="BUMainText"/>
        <w:ind w:firstLine="720"/>
        <w:sectPr w:rsidR="002112A0" w:rsidSect="00194CC5">
          <w:headerReference w:type="default" r:id="rId16"/>
          <w:footerReference w:type="default" r:id="rId17"/>
          <w:headerReference w:type="first" r:id="rId18"/>
          <w:footerReference w:type="first" r:id="rId19"/>
          <w:pgSz w:w="12240" w:h="15840"/>
          <w:pgMar w:top="2160" w:right="1440" w:bottom="1440" w:left="2160" w:header="1440" w:footer="1080" w:gutter="0"/>
          <w:cols w:space="720"/>
          <w:docGrid w:linePitch="360"/>
        </w:sectPr>
      </w:pPr>
    </w:p>
    <w:p w14:paraId="6E6D02C8" w14:textId="77777777" w:rsidR="002112A0" w:rsidRDefault="00FE328A" w:rsidP="002112A0">
      <w:pPr>
        <w:pStyle w:val="Heading1"/>
      </w:pPr>
      <w:bookmarkStart w:id="36" w:name="_Toc422957918"/>
      <w:r>
        <w:t>HYPOTHESES</w:t>
      </w:r>
      <w:bookmarkEnd w:id="36"/>
    </w:p>
    <w:p w14:paraId="16FE9D94" w14:textId="77777777" w:rsidR="002112A0" w:rsidRDefault="00FE328A" w:rsidP="00FE328A">
      <w:pPr>
        <w:pStyle w:val="BUMainText"/>
        <w:ind w:firstLine="720"/>
      </w:pPr>
      <w:r>
        <w:t>The example of Gadd45, at the end of the previous section, illustrates the issues GAML research is confronted with. On one hand, we have macroscopic certainties, such the loss of muscle mass following GC therapy. On the other, we have invariable molecular correlates of Dexa treatment, such as augmented proteolysis, increased Foxo transcriptional activity, reduced insulin sensitivity at 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 GAML is even more incomplete.</w:t>
      </w:r>
    </w:p>
    <w:p w14:paraId="686CBE85" w14:textId="77777777" w:rsidR="002112A0" w:rsidRDefault="00FE328A" w:rsidP="00FE328A">
      <w:pPr>
        <w:pStyle w:val="BUMainText"/>
        <w:ind w:firstLine="720"/>
      </w:pPr>
      <w:r>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w:t>
      </w:r>
      <w:r w:rsidR="002112A0">
        <w:t xml:space="preserve"> </w:t>
      </w:r>
      <w:r>
        <w:t>focus will switch to understanding of the molecular mechanisms underlying them. Based on the published evidence available at the initiation of this project, I set forth the following hypotheses:</w:t>
      </w:r>
    </w:p>
    <w:p w14:paraId="26AE5162" w14:textId="77777777" w:rsidR="002112A0" w:rsidRDefault="00FE328A" w:rsidP="00FE328A">
      <w:pPr>
        <w:pStyle w:val="BUMainText"/>
        <w:ind w:firstLine="720"/>
      </w:pPr>
      <w:r>
        <w:t>1. Testosterone alleviates dexamethasone-induced muscle atrophy in mice.</w:t>
      </w:r>
      <w:r>
        <w:ta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707876BD" w14:textId="77777777" w:rsidR="002112A0" w:rsidRDefault="00FE328A" w:rsidP="00FE328A">
      <w:pPr>
        <w:pStyle w:val="BUMainText"/>
        <w:ind w:firstLine="720"/>
      </w:pPr>
      <w:r>
        <w:t>2. Testosterone’s myoprotective action in the context of dexamethasone is based on inhibiting dexam</w:t>
      </w:r>
      <w:r w:rsidR="002112A0">
        <w:t xml:space="preserve">ethasone’s proteolytic effects. </w:t>
      </w:r>
      <w:r>
        <w:t>Studies of 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 ubiquitin system, there was a good probability that specific reversal of GAML by Testo will include proteasome’s repression.</w:t>
      </w:r>
    </w:p>
    <w:p w14:paraId="4618E9E3" w14:textId="77777777" w:rsidR="002112A0" w:rsidRDefault="00FE328A" w:rsidP="00FE328A">
      <w:pPr>
        <w:pStyle w:val="BUMainText"/>
        <w:ind w:firstLine="720"/>
      </w:pPr>
      <w:r>
        <w:t>3. Testosterone’s myoprotective action in glucocorticoid-induced loss of muscle mass is facilitated by the activation of IGF-I / Akt / mTOR axis.</w:t>
      </w:r>
      <w:r>
        <w:tab/>
        <w:t>The few studies on GAML reversal by AAS revealed that Testo action alters mTOR and Akt signaling. Based on the microarray studies that 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189DE30D" w14:textId="77777777" w:rsidR="00194CC5" w:rsidRDefault="00194CC5" w:rsidP="00194CC5">
      <w:pPr>
        <w:pStyle w:val="BUMainText"/>
        <w:ind w:firstLine="720"/>
        <w:sectPr w:rsidR="00194CC5" w:rsidSect="00194CC5">
          <w:headerReference w:type="default" r:id="rId20"/>
          <w:footerReference w:type="default" r:id="rId21"/>
          <w:headerReference w:type="first" r:id="rId22"/>
          <w:footerReference w:type="first" r:id="rId23"/>
          <w:pgSz w:w="12240" w:h="15840"/>
          <w:pgMar w:top="2160" w:right="1440" w:bottom="1440" w:left="2160" w:header="1440" w:footer="1080" w:gutter="0"/>
          <w:cols w:space="720"/>
          <w:docGrid w:linePitch="360"/>
        </w:sectPr>
      </w:pPr>
    </w:p>
    <w:p w14:paraId="659317E6" w14:textId="77777777" w:rsidR="002112A0" w:rsidRDefault="00FE328A" w:rsidP="002112A0">
      <w:pPr>
        <w:pStyle w:val="Heading1"/>
      </w:pPr>
      <w:bookmarkStart w:id="37" w:name="_Toc422957919"/>
      <w:r>
        <w:t>METHODS</w:t>
      </w:r>
      <w:bookmarkEnd w:id="37"/>
    </w:p>
    <w:p w14:paraId="0DBA7B02" w14:textId="77777777" w:rsidR="002112A0" w:rsidRPr="002112A0" w:rsidRDefault="00FE328A" w:rsidP="002112A0">
      <w:pPr>
        <w:pStyle w:val="Heading2"/>
        <w:rPr>
          <w:sz w:val="24"/>
          <w:szCs w:val="24"/>
        </w:rPr>
      </w:pPr>
      <w:bookmarkStart w:id="38" w:name="_Toc422957920"/>
      <w:r w:rsidRPr="002112A0">
        <w:rPr>
          <w:sz w:val="24"/>
          <w:szCs w:val="24"/>
        </w:rPr>
        <w:t>Ethical considerations</w:t>
      </w:r>
      <w:bookmarkEnd w:id="38"/>
    </w:p>
    <w:p w14:paraId="01B5FA61" w14:textId="77777777" w:rsidR="002112A0" w:rsidRDefault="00FE328A" w:rsidP="00FE328A">
      <w:pPr>
        <w:pStyle w:val="BUMainText"/>
        <w:ind w:firstLine="720"/>
      </w:pPr>
      <w:r>
        <w:t>All animal procedures have been described in protocols drafted by the author, and submitted with Dr. Carlo Serra as principal investigator to the Institutional Animal Care and Use Committee at the Boston University School of Medicine and Harvard Medical Area Standing Committee on Animals. Experiments were performed solely after approval was obtained.</w:t>
      </w:r>
    </w:p>
    <w:p w14:paraId="1269587D" w14:textId="77777777" w:rsidR="002112A0" w:rsidRPr="002112A0" w:rsidRDefault="00FE328A" w:rsidP="002112A0">
      <w:pPr>
        <w:pStyle w:val="Heading2"/>
        <w:rPr>
          <w:sz w:val="24"/>
          <w:szCs w:val="24"/>
        </w:rPr>
      </w:pPr>
      <w:bookmarkStart w:id="39" w:name="_Toc422957921"/>
      <w:r w:rsidRPr="002112A0">
        <w:rPr>
          <w:sz w:val="24"/>
          <w:szCs w:val="24"/>
        </w:rPr>
        <w:t>Animal studies</w:t>
      </w:r>
      <w:bookmarkEnd w:id="39"/>
    </w:p>
    <w:p w14:paraId="3B561317" w14:textId="77777777" w:rsidR="009B3E7A" w:rsidRDefault="00FE328A" w:rsidP="00FE328A">
      <w:pPr>
        <w:pStyle w:val="BUMainText"/>
        <w:ind w:firstLine="720"/>
      </w:pPr>
      <w:r>
        <w:t>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◦C, with 12 h light / 12 h dark cycles. Mice were offered water and chow (Purina, Richmond, Indiana) ad libitum.</w:t>
      </w:r>
    </w:p>
    <w:p w14:paraId="3DE9996C" w14:textId="77777777" w:rsidR="009B3E7A" w:rsidRDefault="00FE328A" w:rsidP="00FE328A">
      <w:pPr>
        <w:pStyle w:val="BUMainText"/>
        <w:ind w:firstLine="720"/>
      </w:pPr>
      <w:r>
        <w:t>Experiments involved steroid administration for 1, 3, or 7 days. Every morning, between 9 and 11 AM, mice were weighted, then injected subcutaneously with 200 µL corn-oil based solution, including 14 µL ethanol, which delivered either (A) 0.7 mg Testo propionate (T), or (B) 0.25 mg Dexa (D), or (C) both T and Dexa in the above doses (DT), or (D) neither drug. This latter group will be designated Vehicle (V). Testo propionate and Dexa were from Sigma-Aldrich (St. Louis, Missouri). Research-grade corn oil was purchased from MP Biomedicals (Solon, Ohio). Unless specified, chemical reagents used in this work were from Fisher (Pittsburgh, Pennsylvania), including pharmaceutical-grade ethanol used here.</w:t>
      </w:r>
    </w:p>
    <w:p w14:paraId="65B77C31" w14:textId="77777777" w:rsidR="009B3E7A" w:rsidRDefault="00FE328A" w:rsidP="00FE328A">
      <w:pPr>
        <w:pStyle w:val="BUMainText"/>
        <w:ind w:firstLine="720"/>
      </w:pPr>
      <w:r>
        <w:t>Before the first injection and 24 h after the last injection, mice lean and fat body mass was measured by nuclear magnetic resonance (NMR), using an Echo-MRI whole body composition analyzer (Echo Medical Systems, Houston,</w:t>
      </w:r>
      <w:r w:rsidR="009B3E7A">
        <w:t xml:space="preserve"> </w:t>
      </w:r>
      <w:r>
        <w:t>Texas). In this procedure, mice were restrained inside a transparent methacrylate tube for 90 s, without sedation or anesthesia.</w:t>
      </w:r>
    </w:p>
    <w:p w14:paraId="5B3B37B0" w14:textId="77777777" w:rsidR="009B3E7A" w:rsidRDefault="00FE328A" w:rsidP="00FE328A">
      <w:pPr>
        <w:pStyle w:val="BUMainText"/>
        <w:ind w:firstLine="720"/>
      </w:pPr>
      <w:r>
        <w:t>Mice were euthanized humanely by Euthasol® (pentobarbital sodium and phenytoin sodium solution; 200 mg/kg pentobarbital; Diamond Animal Health, Des Moines, Iowa) intraperitoneal, followed by quick cervical dislocation. Blood was collected immediately after death through thoracotomy and cardiac puncture, incubated 15 min at room temperature, centrifuged 15 min, at 10,000 g, 4 ◦C. Levator ani, gastrocnemius, tibialis anterior, quadriceps, and triceps brachii muscles were collected, weighted in wet state, flash-frozen by submersion in</w:t>
      </w:r>
      <w:r w:rsidR="009B3E7A">
        <w:t xml:space="preserve"> </w:t>
      </w:r>
      <w:r>
        <w:t>liquid nitrogen, and stored at −80 ◦C.</w:t>
      </w:r>
    </w:p>
    <w:p w14:paraId="4DA1B43C" w14:textId="77777777" w:rsidR="009B3E7A" w:rsidRDefault="00FE328A" w:rsidP="00FE328A">
      <w:pPr>
        <w:pStyle w:val="BUMainText"/>
        <w:ind w:firstLine="720"/>
      </w:pPr>
      <w:r>
        <w:t>Muscles were crushed under liquid nitrogen, using a mortar and pestle</w:t>
      </w:r>
      <w:r w:rsidR="009B3E7A">
        <w:t xml:space="preserve"> </w:t>
      </w:r>
      <w:r>
        <w:t xml:space="preserve">pre-chilled in liquid nitrogen, and muscle powder was stored at −80 ◦C. Small quantities of muscle powder (25 </w:t>
      </w:r>
      <w:r>
        <w:rPr>
          <w:rFonts w:ascii="Cambria" w:hAnsi="Cambria" w:cs="Cambria"/>
        </w:rPr>
        <w:t>µ</w:t>
      </w:r>
      <w:r>
        <w:t xml:space="preserve">g to 30 </w:t>
      </w:r>
      <w:r>
        <w:rPr>
          <w:rFonts w:ascii="Cambria" w:hAnsi="Cambria" w:cs="Cambria"/>
        </w:rPr>
        <w:t>µ</w:t>
      </w:r>
      <w:r>
        <w:t>g) were lyzed for enzymatic activity assays, immunoblot, or quantitative real-time polymerase chain reaction</w:t>
      </w:r>
      <w:r w:rsidR="009B3E7A">
        <w:t xml:space="preserve"> </w:t>
      </w:r>
      <w:r>
        <w:t>(qRT-PCR), as described in dedicated sections.</w:t>
      </w:r>
    </w:p>
    <w:p w14:paraId="3BD8A50A" w14:textId="77777777" w:rsidR="009B3E7A" w:rsidRPr="00831C31" w:rsidRDefault="00FE328A" w:rsidP="00831C31">
      <w:pPr>
        <w:pStyle w:val="Heading2"/>
        <w:rPr>
          <w:sz w:val="24"/>
          <w:szCs w:val="24"/>
        </w:rPr>
      </w:pPr>
      <w:bookmarkStart w:id="40" w:name="_Toc422957922"/>
      <w:r w:rsidRPr="00831C31">
        <w:rPr>
          <w:sz w:val="24"/>
          <w:szCs w:val="24"/>
        </w:rPr>
        <w:t>Enzymatic assays</w:t>
      </w:r>
      <w:bookmarkEnd w:id="40"/>
    </w:p>
    <w:p w14:paraId="52FC1612" w14:textId="77777777" w:rsidR="009B3E7A" w:rsidRDefault="00FE328A" w:rsidP="00FE328A">
      <w:pPr>
        <w:pStyle w:val="BUMainText"/>
        <w:ind w:firstLine="720"/>
      </w:pPr>
      <w:r>
        <w:t>Chymotrypsin-like proteasome enzymatic activity was measured using the</w:t>
      </w:r>
      <w:r w:rsidR="009B3E7A">
        <w:t xml:space="preserve"> </w:t>
      </w:r>
      <w:r>
        <w:t>20S Proteasome Activity Assay kit (Chemicon International, Temecula, California). For each animal and muscle, 25 mg powdered muscle was extracted with 8 mL/g tissue of lysis buffer containing 150 mM sodium chloride, 50 mM</w:t>
      </w:r>
      <w:r w:rsidR="009B3E7A">
        <w:t xml:space="preserve"> </w:t>
      </w:r>
      <w:r>
        <w:t>4-(2-hydroxyethyl)-1-piperazineethanesulfonate HEPES (pH 7.4), 5 mM sodium ethylenediaminetetraacetate (EDTA), and 10 ‰ Triton X-100, by nutation at 4 ◦C</w:t>
      </w:r>
      <w:r w:rsidR="009B3E7A">
        <w:t xml:space="preserve"> </w:t>
      </w:r>
      <w:r>
        <w:t xml:space="preserve">for 30 min, with vortexing every 10 min. The extract was clarified by centrifugation at 10,000 g, 10 min, 4 ◦C. The clarified extract was collected and stored at </w:t>
      </w:r>
      <w:r>
        <w:rPr>
          <w:rFonts w:ascii="Cambria" w:hAnsi="Cambria" w:cs="Cambria"/>
        </w:rPr>
        <w:t>−</w:t>
      </w:r>
      <w:r>
        <w:t>20 ◦C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w:t>
      </w:r>
      <w:r w:rsidR="009B3E7A">
        <w:t xml:space="preserve"> </w:t>
      </w:r>
      <w:r>
        <w:t>96-well plate wells, with 10 µL proprietary assay buffer and 10 µL fluorogenic proteasome substrate, Succynyl-Leu-Leu-Val-Tyr-7-amino-4-methylcoumarin,</w:t>
      </w:r>
      <w:r w:rsidR="009B3E7A">
        <w:t xml:space="preserve"> </w:t>
      </w:r>
      <w:r>
        <w:t>500 µM stock. This was done in duplicates for each sample, and for a negative control (“background”), containing lysis buffer instead of muscle extract. The plate was sealed and incubated at 37 ◦C for 30 min. Next, fluorescence was</w:t>
      </w:r>
      <w:r w:rsidR="009B3E7A">
        <w:t xml:space="preserve"> </w:t>
      </w:r>
      <w:r>
        <w:t>measured with a Saphire multi-well plate reader (Tecan, Männedorf, Switzerland)</w:t>
      </w:r>
      <w:r w:rsidR="009B3E7A">
        <w:t xml:space="preserve"> </w:t>
      </w:r>
      <w:r>
        <w:t>with excitation at 380 nm and emission at 460 nm. Background fluorescence, including substrate, was subtracted from sample measurements. Preliminary</w:t>
      </w:r>
      <w:r w:rsidR="009B3E7A">
        <w:t xml:space="preserve"> </w:t>
      </w:r>
      <w:r>
        <w:t>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2B5A617F" w14:textId="77777777" w:rsidR="009B3E7A" w:rsidRDefault="00FE328A" w:rsidP="00FE328A">
      <w:pPr>
        <w:pStyle w:val="BUMainText"/>
        <w:ind w:firstLine="720"/>
      </w:pPr>
      <w:r>
        <w:t>Lysosome enzymatic activity was measured in a similar protocol, using Cathepsin L Activity Fluorometric Assay kit (Abcam plc, Cambridge, England). For each animal and muscle, 25 mg powdered muscle was extracted with 8 mL/g tissue of proprietary lysis buffer, clarified, stored, and assayed for total protein, in</w:t>
      </w:r>
      <w:r w:rsidR="009B3E7A">
        <w:t xml:space="preserve"> </w:t>
      </w:r>
      <w:r>
        <w:t>the same manner as for the proteasome activity assay. Extracts were diluted to the lowest total protein concentration, using the same lysis buffer that was used to extract them. Per kit manufacturer instructions, 48 µL clarified extract</w:t>
      </w:r>
      <w:r w:rsidR="009B3E7A">
        <w:t xml:space="preserve"> </w:t>
      </w:r>
      <w:r>
        <w:t>(depending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◦C for 30 min. Fluorescence was measured with excitation at 400 nm and emission at</w:t>
      </w:r>
      <w:r w:rsidR="009B3E7A">
        <w:t xml:space="preserve"> </w:t>
      </w:r>
      <w:r>
        <w:t>505 nm. Background fluorescence, including substrate, was subtracted from sample measurements.</w:t>
      </w:r>
    </w:p>
    <w:p w14:paraId="193832C3" w14:textId="77777777" w:rsidR="009B3E7A" w:rsidRDefault="00FE328A" w:rsidP="00FE328A">
      <w:pPr>
        <w:pStyle w:val="BUMainText"/>
        <w:ind w:firstLine="720"/>
      </w:pPr>
      <w:r>
        <w:t>Calpain enzymatic activity was measured in a similar protocol, using Cathepsin L Activity Fluorometric Assay kit (Promega, Madison, Wisconsin). For each animal and muscle, 25 mg powdered muscle was extracted with 8 mL/g tissue of lysis buffer containing 150 mM sodium chloride, 10 mM HEPES pH 7.4,</w:t>
      </w:r>
      <w:r w:rsidR="009B3E7A">
        <w:t xml:space="preserve"> </w:t>
      </w:r>
      <w:r>
        <w:t>10 mM dithiothreitol (DTT), 1 mM EDTA, and 10 ‰ Triton X-100, as described for proteasome activity assay. Extracts were clarified, and stored, as described for the proteasome activity assay. Total protein was measured by Bradford assay. Briefly, 1 µL sample was mixed with 300 µL Coomassie Plus (Life Technologies, Carlsbad, California) in duplicate wells of a 96-well plate, incubated 10 min at room temperature, and measured spectrophotometrically for absorption at</w:t>
      </w:r>
      <w:r w:rsidR="009B3E7A">
        <w:t xml:space="preserve"> </w:t>
      </w:r>
      <w:r>
        <w:t>595 nm. Extracts were diluted to the lowest total protein concentration, using the same lysis buffer that was used to extract them. Per kit manufacturer instructions,</w:t>
      </w:r>
      <w:r w:rsidR="009B3E7A">
        <w:t xml:space="preserve"> </w:t>
      </w:r>
      <w:r>
        <w:t>50 µL clarified extract (depending on muscle, 100 µg to 300 µg total protein) were mixed, in 96-well plate wells, with 50 µL proprietary assay buffer, containing lyophilized luciferase, ATP, 80 µM pro-luminescent calpain substrate,</w:t>
      </w:r>
      <w:r w:rsidR="009B3E7A">
        <w:t xml:space="preserve"> </w:t>
      </w:r>
      <w:r>
        <w:t>Suc-Leu-Leu-Val-Tyr-aminoluciferase, and 8 µM calcium chloride. This was done in duplicates for each sample, and for a negative control (“background”), containing lysis buffer instead of muscle extract. After 10 min of incubation at</w:t>
      </w:r>
      <w:r w:rsidR="009B3E7A">
        <w:t xml:space="preserve"> </w:t>
      </w:r>
      <w:r>
        <w:t>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37555EA4" w14:textId="77777777" w:rsidR="009B3E7A" w:rsidRPr="00831C31" w:rsidRDefault="00FE328A" w:rsidP="00831C31">
      <w:pPr>
        <w:pStyle w:val="Heading2"/>
        <w:rPr>
          <w:sz w:val="24"/>
          <w:szCs w:val="24"/>
        </w:rPr>
      </w:pPr>
      <w:bookmarkStart w:id="41" w:name="_Toc422957923"/>
      <w:r w:rsidRPr="00831C31">
        <w:rPr>
          <w:sz w:val="24"/>
          <w:szCs w:val="24"/>
        </w:rPr>
        <w:t>Immunoblot</w:t>
      </w:r>
      <w:bookmarkEnd w:id="41"/>
    </w:p>
    <w:p w14:paraId="3D0F749B" w14:textId="77777777" w:rsidR="00831C31" w:rsidRDefault="00FE328A" w:rsidP="00FE328A">
      <w:pPr>
        <w:pStyle w:val="BUMainText"/>
        <w:ind w:firstLine="720"/>
      </w:pPr>
      <w:r>
        <w:t>For each animal and muscle, 25 mg powdered muscle was extracted with</w:t>
      </w:r>
      <w:r w:rsidR="009B3E7A">
        <w:t xml:space="preserve"> </w:t>
      </w:r>
      <w:r>
        <w:t>4 mL/g tissue of radioimmunoprecipitation assay (RIPA) buffer, containing</w:t>
      </w:r>
      <w:r w:rsidR="009B3E7A">
        <w:t xml:space="preserve"> </w:t>
      </w:r>
      <w:r>
        <w:t>150 mM sodium chloride, 20 mM Tris pH 7.5, 100 ‰ v/v glycerol, 10 ‰ v/v</w:t>
      </w:r>
      <w:r w:rsidR="009B3E7A">
        <w:t xml:space="preserve"> </w:t>
      </w:r>
      <w:r>
        <w:t xml:space="preserve">NP-40, 10 g/L sodium deoxycholate, 1 g/L sodium dodecyl sulfate (SDS), 1 mM EDTA, 1 mM sodium ethyleneglycol tetraacetate, 10 mg/L leupeptin, 10 mg/L pepstatin, 10 mg/L aprotinin, 1 mM phenylmethanesulfonylfluoride, 1 mM sodium orthovanadate, 5 mM sodium fluoride. The mixture was nutated at 4 ◦C for 30 min, with vortexing every 10 min. The suspensions were clarified by centrifugation at 12,000g, 15 min, at 4 ◦C. The supernatant was collected, aliquoted, and stored for months at </w:t>
      </w:r>
      <w:r>
        <w:rPr>
          <w:rFonts w:ascii="Cambria" w:hAnsi="Cambria" w:cs="Cambria"/>
        </w:rPr>
        <w:t>−</w:t>
      </w:r>
      <w:r>
        <w:t>80 ◦C.</w:t>
      </w:r>
    </w:p>
    <w:p w14:paraId="04352BF0" w14:textId="77777777" w:rsidR="00831C31" w:rsidRDefault="00FE328A" w:rsidP="00FE328A">
      <w:pPr>
        <w:pStyle w:val="BUMainText"/>
        <w:ind w:firstLine="720"/>
      </w:pPr>
      <w:r>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0.5 g/L to 10 g/L bovine serum albumin (BSA) prepared with the same lysis buffer as the unknowns. The plate was incubated 30 min at 37 ◦C. Light absorbance was measured with a Saphire</w:t>
      </w:r>
      <w:r w:rsidR="00831C31">
        <w:t xml:space="preserve"> </w:t>
      </w:r>
      <w:r>
        <w:t>multi-well plate reader (Tecan, Männedorf, Switzerland) with absorption at</w:t>
      </w:r>
      <w:r w:rsidR="00831C31">
        <w:t xml:space="preserve"> </w:t>
      </w:r>
      <w:r>
        <w:t>562 nm. The standard curve was fitted to a quadratic equation. Typically, extracts were diluted to the lowest total protein concentration, using the same lysis buffer that was used to extract them.</w:t>
      </w:r>
    </w:p>
    <w:p w14:paraId="1D0FBF1F" w14:textId="77777777" w:rsidR="00831C31" w:rsidRDefault="00FE328A" w:rsidP="00FE328A">
      <w:pPr>
        <w:pStyle w:val="BUMainText"/>
        <w:ind w:firstLine="720"/>
      </w:pPr>
      <w:r>
        <w:t>The lysates were resolved by polyacrylamide gel electrophoresis (PAGE). The gels were cast in the morning of the electrophoresis. The stacking section was a</w:t>
      </w:r>
      <w:r w:rsidR="00831C31">
        <w:t xml:space="preserve"> </w:t>
      </w:r>
      <w:r>
        <w:t>5 g/dL acrylamide gel, with 125 mM Tris pH 6.8. The separating section has a</w:t>
      </w:r>
      <w:r w:rsidR="00831C31">
        <w:t xml:space="preserve"> </w:t>
      </w:r>
      <w:r>
        <w:t>variable concentration of acrylamide (12 g/dL for low molecular weight unknowns, 8 g/dL for others), and 400 mM Tris pH 8.8. Both sections included</w:t>
      </w:r>
      <w:r w:rsidR="00831C31">
        <w:t xml:space="preserve"> </w:t>
      </w:r>
      <w:r>
        <w:t>1 g/L SDS, and polymerized by the addition of 1 g/L ammonium persulfate and</w:t>
      </w:r>
      <w:r w:rsidR="00831C31">
        <w:t xml:space="preserve"> </w:t>
      </w:r>
      <w:r>
        <w:t>0.4 ‰ v/v tetramethylethylenediamine. In order to settle and migrate, lysates were mixed 1:1 with PAGE sample buffer, which contained 30 mM Tris pH 6.8,</w:t>
      </w:r>
      <w:r w:rsidR="00831C31">
        <w:t xml:space="preserve"> </w:t>
      </w:r>
      <w:r>
        <w:t>10 g/L SDS, 100 ‰ v/v glycerol, 50 mg/L bromophenol blue, and 350 mM DTT.</w:t>
      </w:r>
      <w:r w:rsidR="00831C31">
        <w:t xml:space="preserve"> </w:t>
      </w:r>
      <w:r>
        <w:t>The mixture of sample and sample buffer was incubated for 5 min at 95 ◦C, then loaded on the gel, with equal volumes and masses of total protein in each well. Electrophoresis was performed in a Miniprotean Tetra cell (Bio-rad, Hercules, California), at constant 80 V, using an electrode buffer with 14.4 g/L glycine, 3 g/L Tris base, 10 g/L SDS.</w:t>
      </w:r>
    </w:p>
    <w:p w14:paraId="70450811" w14:textId="77777777" w:rsidR="00831C31" w:rsidRDefault="00FE328A" w:rsidP="00FE328A">
      <w:pPr>
        <w:pStyle w:val="BUMainText"/>
        <w:ind w:firstLine="720"/>
      </w:pPr>
      <w:r>
        <w:t xml:space="preserve">From the gel, resolved proteins were transferred to nitrocellulose membranes using a Bio-rad Mini-trans blot cassette, at 8 V/cm constant overnight at 4 ◦C. The Towbin transfer buffer had 200 </w:t>
      </w:r>
      <w:r>
        <w:rPr>
          <w:rFonts w:ascii="Cambria" w:hAnsi="Cambria" w:cs="Cambria"/>
        </w:rPr>
        <w:t>‰</w:t>
      </w:r>
      <w:r>
        <w:t xml:space="preserve"> v/v methanol, 25 mM Tris pH 8.3, 192 mM glycine.</w:t>
      </w:r>
    </w:p>
    <w:p w14:paraId="5F642FCC" w14:textId="77777777" w:rsidR="00831C31" w:rsidRDefault="00FE328A" w:rsidP="00FE328A">
      <w:pPr>
        <w:pStyle w:val="BUMainText"/>
        <w:ind w:firstLine="720"/>
      </w:pPr>
      <w:r>
        <w:t>Quality of transfer was assessed by temporary Ponceau staining (20 g/L Ponceau S in 300 g/L trichloroacetic acid and 300 g/L sulfosalicylic acid). At this time, using indications from the molecular weight standards, the membrane was sectioned, thus allowing probing with multiple antibodies.</w:t>
      </w:r>
    </w:p>
    <w:p w14:paraId="6DB6799D" w14:textId="77777777" w:rsidR="00831C31" w:rsidRDefault="00FE328A" w:rsidP="00FE328A">
      <w:pPr>
        <w:pStyle w:val="BUMainText"/>
        <w:ind w:firstLine="720"/>
      </w:pPr>
      <w:r>
        <w:t>Ponceau was removed by washing twice, with shaking 5 min at room</w:t>
      </w:r>
      <w:r w:rsidR="00831C31">
        <w:t xml:space="preserve"> </w:t>
      </w:r>
      <w:r>
        <w:t>temperature, in TBST (130 mM sodium chloride, 20 mM Tris pH 7.5, 1 ‰ v/v Tween-20). The membranes were blocked by shaking for one hour in blocking solution (TBST with 5 g/dL fat-free instant milk) at room temperature. Next, membranes were probed by shaking overnight at 4 ◦C in TBST with 50 g/L BSA and primary antibodies of choice (listed later). Next day, the membranes were washed in TBST, twice briefly and three times with 5 min shaking at room temperature. The washed membranes were then probed by shaking at room temperature for an hour in a solution with TBST, 5 g/dL fat-free instant milk, and the secondary antibody of choice (listed later). The membranes were washed as before.</w:t>
      </w:r>
    </w:p>
    <w:p w14:paraId="52B231DC" w14:textId="77777777" w:rsidR="00831C31" w:rsidRDefault="00FE328A" w:rsidP="00FE328A">
      <w:pPr>
        <w:pStyle w:val="BUMainText"/>
        <w:ind w:firstLine="720"/>
      </w:pPr>
      <w:r>
        <w:t>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and then excess liquid was drained. The membrane was placed in the film cassette. In a dark room, under red light, a X-Omat photographic film (Kodak, Rochester, New York) was placed on the nitrocellulose membrane. Exposure was between 10 s and 5 min, depending on the strength of the signal. After developing the first image, longer or shorter exposures were used, as needed.</w:t>
      </w:r>
    </w:p>
    <w:p w14:paraId="1CE41012" w14:textId="192FA3B6" w:rsidR="00FE328A" w:rsidRDefault="00FE328A" w:rsidP="00FE328A">
      <w:pPr>
        <w:pStyle w:val="BUMainText"/>
        <w:ind w:firstLine="720"/>
      </w:pPr>
      <w:r>
        <w:t>Photographic films were digitized using a FluorChem-SP Imaging System (Alpha Innotech, San Leandro, California), using automatic exposure. Band densitometry was performed with the Image Studio Lite application (Li-Cor, Lincoln, Nebraska).</w:t>
      </w:r>
    </w:p>
    <w:p w14:paraId="0691EF49" w14:textId="77777777" w:rsidR="00831C31" w:rsidRDefault="00FE328A" w:rsidP="00FE328A">
      <w:pPr>
        <w:pStyle w:val="BUMainText"/>
        <w:ind w:firstLine="720"/>
      </w:pPr>
      <w:r>
        <w:t>At times, antibodies were stripped by incubation with shaking for 45 min at</w:t>
      </w:r>
      <w:r w:rsidR="00831C31">
        <w:t xml:space="preserve"> </w:t>
      </w:r>
      <w:r>
        <w:t>50 ◦C in a tight container with pre-warmed stripping buffer (20 g/L SDS, 60 mM Tris pH 6.8, 100 mM beta-mercaptoethanol). Stripped membranes were rinse</w:t>
      </w:r>
      <w:r w:rsidR="00831C31">
        <w:t xml:space="preserve"> </w:t>
      </w:r>
      <w:r>
        <w:t>with water, washed with TBST, re-blocked, and re-probed.</w:t>
      </w:r>
    </w:p>
    <w:p w14:paraId="42AF1053" w14:textId="77777777" w:rsidR="00831C31" w:rsidRDefault="00FE328A" w:rsidP="00FE328A">
      <w:pPr>
        <w:pStyle w:val="BUMainText"/>
        <w:ind w:firstLine="720"/>
      </w:pPr>
      <w:r>
        <w:t>Primary antibodies used were: anti-myosin heavy chain (in-house, from MF20 hybridoma cells), anti-GAPDH (Pierce), anti-calpain 1 (Abcam), anti-eIF3f (Rockland), anti-LC3, anti-phospho-eIF2, anti-4EBP, anti-phospho-4EBP,</w:t>
      </w:r>
      <w:r w:rsidR="00831C31">
        <w:t xml:space="preserve"> </w:t>
      </w:r>
      <w:r>
        <w:t>anti-ATF4, anti-cathepsin L, anti-calpastatin, anti-IGF-1R, anti-phospho-IGF1-R, anti-Akt, anti-phospho-Ser473 Akt (all from Cell Signaling Technologies).</w:t>
      </w:r>
      <w:r w:rsidR="00831C31">
        <w:t xml:space="preserve"> </w:t>
      </w:r>
      <w:r>
        <w:t>Anti-mouse and anti-rabbit secondary antibodies were from Cell Signaling</w:t>
      </w:r>
      <w:r w:rsidR="00831C31">
        <w:t xml:space="preserve"> </w:t>
      </w:r>
      <w:r>
        <w:t>Technologies.</w:t>
      </w:r>
    </w:p>
    <w:p w14:paraId="10243082" w14:textId="11A7A669" w:rsidR="00FE328A" w:rsidRPr="00831C31" w:rsidRDefault="00FE328A" w:rsidP="00831C31">
      <w:pPr>
        <w:pStyle w:val="Heading2"/>
        <w:rPr>
          <w:sz w:val="24"/>
          <w:szCs w:val="24"/>
        </w:rPr>
      </w:pPr>
      <w:bookmarkStart w:id="42" w:name="_Toc422957924"/>
      <w:r w:rsidRPr="00831C31">
        <w:rPr>
          <w:sz w:val="24"/>
          <w:szCs w:val="24"/>
        </w:rPr>
        <w:t>Quantitative real-time polymerase chain reaction</w:t>
      </w:r>
      <w:bookmarkEnd w:id="42"/>
    </w:p>
    <w:p w14:paraId="5B40F054" w14:textId="77777777" w:rsidR="00831C31" w:rsidRDefault="00FE328A" w:rsidP="00FE328A">
      <w:pPr>
        <w:pStyle w:val="BUMainText"/>
        <w:ind w:firstLine="720"/>
      </w:pPr>
      <w:r>
        <w:t>Total RNA was purified by a combination of phenol-chlorophorm fractionation and spin column chromatography. For each animal and muscle,</w:t>
      </w:r>
      <w:r w:rsidR="00831C31">
        <w:t xml:space="preserve"> </w:t>
      </w:r>
      <w:r>
        <w:t xml:space="preserve">25 mg powdered muscle was homogenized briefly in 1 mL Trizol (Life Technologies). The suspension was incubated 5 min at room temperature, then supplemented with 200 µL chloroform. The tube was shaken vigorously for 15 s, and then incubated 3 min at room temperature. Phase separation was induced by centrifugation, 15 min, 12,000 g, at 4 ◦C. The top, aqueous fraction (500 </w:t>
      </w:r>
      <w:r>
        <w:rPr>
          <w:rFonts w:ascii="Cambria" w:hAnsi="Cambria" w:cs="Cambria"/>
        </w:rPr>
        <w:t>µ</w:t>
      </w:r>
      <w:r>
        <w:t>L) was collected, and then passed through a gDNA exclusion column, by centrifugation for 30 s, 8,000 g. The recovered solution was supplemented 1:1 with 700 ‰ v/v ethanol, and then passed through an RNeasy column, by centrifugation, 10 s at</w:t>
      </w:r>
      <w:r w:rsidR="00831C31">
        <w:t xml:space="preserve"> </w:t>
      </w:r>
      <w:r>
        <w:t>8,000 g. The column was washed with 700 µL proprietary, guanidine and ethanol-containing, RW1buffer, and twice with 500 µL proprietary RPE buffer, each time by centrifugation, 15 s at 8,000 g. The column was dried by centrifugation 2 min at 8,000 g. RNA was eluted with 40 µL water, by centrifugation, 1 min at 8,000 g.</w:t>
      </w:r>
    </w:p>
    <w:p w14:paraId="3C975214" w14:textId="77777777" w:rsidR="00831C31" w:rsidRDefault="00FE328A" w:rsidP="00FE328A">
      <w:pPr>
        <w:pStyle w:val="BUMainText"/>
        <w:ind w:firstLine="720"/>
      </w:pPr>
      <w:r>
        <w:t>Total RNA concentration was measured with an ND-1000 spectrophotometer</w:t>
      </w:r>
      <w:r w:rsidR="00831C31">
        <w:t xml:space="preserve"> </w:t>
      </w:r>
      <w:r>
        <w:t>(Nanodrop, Wilmington, Delaware) at 260 nm, using its Windows proprietary application.</w:t>
      </w:r>
    </w:p>
    <w:p w14:paraId="75304D25" w14:textId="77777777" w:rsidR="00831C31" w:rsidRDefault="00FE328A" w:rsidP="00FE328A">
      <w:pPr>
        <w:pStyle w:val="BUMainText"/>
        <w:ind w:firstLine="720"/>
      </w:pPr>
      <w:r>
        <w:t>To obtain cDNA using AccuScript 1st Strand cDNA synthesis kit, 320 ng total RNA was combined with 300 ng random primers, 20 nmol of each triphosphate nucleotide, and the proprietary AccuScript RT Buffer 10×. After incubation for</w:t>
      </w:r>
      <w:r w:rsidR="00831C31">
        <w:t xml:space="preserve"> </w:t>
      </w:r>
      <w:r>
        <w:t>5 min at 65 ◦C, and cooling towards room temperature another 5 min, the RNA</w:t>
      </w:r>
      <w:r w:rsidR="00831C31">
        <w:t xml:space="preserve"> </w:t>
      </w:r>
      <w:r>
        <w:t>mix was supplemented with 2 nmol DTT, 20 units RNAse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◦C, then 60 min at 42 ◦C. Reverse transcription was terminated by incubating 15 min at 70 ◦C. The product was stored at 20 ◦C between measurements.</w:t>
      </w:r>
    </w:p>
    <w:p w14:paraId="1232A365" w14:textId="77777777" w:rsidR="00831C31" w:rsidRDefault="00FE328A" w:rsidP="00FE328A">
      <w:pPr>
        <w:pStyle w:val="BUMainText"/>
        <w:ind w:firstLine="720"/>
      </w:pPr>
      <w:r>
        <w:t>Specific cDNA amounts were measured with an 7500 Fast Real-Time PCR cycler (Applied Biosystems, Foster City, California), using 96-well plates. Each unknown was measured in duplicates. Each well contained 1 µL cDNA stock,</w:t>
      </w:r>
      <w:r w:rsidR="00831C31">
        <w:t xml:space="preserve"> </w:t>
      </w:r>
      <w:r>
        <w:t>10 pmol each sense and anti-sense primer (listed later), and proprietary</w:t>
      </w:r>
      <w:r w:rsidR="00831C31">
        <w:t xml:space="preserve"> </w:t>
      </w:r>
      <w:r>
        <w:t>SybrGreen 2X. The qRT-PCR cycler incubates samples 2 min at 50 ◦C, then 10 min at 95 ◦C. Then, 40 cycles were run, comprising 15 sat 95 ◦C, and 60 s at 60 ◦C, with measurements of DNA after each cycle. The amount of specific cDNA was estimated from the number of cycles (Ct; cycle threshold) required to reach a DNA concentration threshold, automatically chosen by the Applied Biosystems</w:t>
      </w:r>
      <w:r w:rsidR="00831C31">
        <w:t xml:space="preserve"> </w:t>
      </w:r>
      <w:r>
        <w:t>software at midway between the lag phase and the end plateau DNA concentrations. Moreover, the Applied Biosystems software may interpolate the number of cycles, thus providing, for each well, a non-integer number of cycles</w:t>
      </w:r>
      <w:r w:rsidR="00831C31">
        <w:t xml:space="preserve"> </w:t>
      </w:r>
      <w:r>
        <w:t>that will yield the threshold DNA concentration.</w:t>
      </w:r>
    </w:p>
    <w:p w14:paraId="2C4D9464" w14:textId="77777777" w:rsidR="00831C31" w:rsidRDefault="00FE328A" w:rsidP="00FE328A">
      <w:pPr>
        <w:pStyle w:val="BUMainText"/>
        <w:ind w:firstLine="720"/>
      </w:pPr>
      <w:r>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w:t>
      </w:r>
      <w:r w:rsidR="00831C31">
        <w:t xml:space="preserve"> </w:t>
      </w:r>
      <w:r>
        <w:t>re-based, by subtracting from each the average measurement in the V group. (This double-rebasing method is also referred to as the ’ΔΔCt’.)</w:t>
      </w:r>
    </w:p>
    <w:p w14:paraId="12A9BD01" w14:textId="77777777" w:rsidR="00831C31" w:rsidRDefault="00FE328A" w:rsidP="00FE328A">
      <w:pPr>
        <w:pStyle w:val="BUMainText"/>
        <w:ind w:firstLine="720"/>
      </w:pPr>
      <w:r>
        <w:t>Primers used are listed in table 2.</w:t>
      </w:r>
    </w:p>
    <w:tbl>
      <w:tblPr>
        <w:tblStyle w:val="TableGrid"/>
        <w:tblW w:w="0" w:type="auto"/>
        <w:tblInd w:w="108" w:type="dxa"/>
        <w:tblLook w:val="04A0" w:firstRow="1" w:lastRow="0" w:firstColumn="1" w:lastColumn="0" w:noHBand="0" w:noVBand="1"/>
        <w:tblCaption w:val="My First Table"/>
      </w:tblPr>
      <w:tblGrid>
        <w:gridCol w:w="3600"/>
        <w:gridCol w:w="5004"/>
      </w:tblGrid>
      <w:tr w:rsidR="00FC6EC3" w14:paraId="31A957A4" w14:textId="77777777" w:rsidTr="00FC6EC3">
        <w:trPr>
          <w:cantSplit/>
        </w:trPr>
        <w:tc>
          <w:tcPr>
            <w:tcW w:w="3600" w:type="dxa"/>
          </w:tcPr>
          <w:p w14:paraId="77BF01E1" w14:textId="0EF17A21" w:rsidR="00FC6EC3" w:rsidRDefault="00FC6EC3" w:rsidP="00195D40">
            <w:pPr>
              <w:pStyle w:val="BUMainText"/>
              <w:keepLines/>
            </w:pPr>
            <w:r>
              <w:t>Gene</w:t>
            </w:r>
          </w:p>
        </w:tc>
        <w:tc>
          <w:tcPr>
            <w:tcW w:w="5004" w:type="dxa"/>
          </w:tcPr>
          <w:p w14:paraId="75B81277" w14:textId="6997B9B7" w:rsidR="00FC6EC3" w:rsidRDefault="00FC6EC3" w:rsidP="00195D40">
            <w:pPr>
              <w:pStyle w:val="BUMainText"/>
              <w:keepLines/>
            </w:pPr>
            <w:r>
              <w:t>Primers</w:t>
            </w:r>
          </w:p>
        </w:tc>
      </w:tr>
      <w:tr w:rsidR="00FC6EC3" w14:paraId="3055B339" w14:textId="77777777" w:rsidTr="00FC6EC3">
        <w:trPr>
          <w:cantSplit/>
        </w:trPr>
        <w:tc>
          <w:tcPr>
            <w:tcW w:w="3600" w:type="dxa"/>
          </w:tcPr>
          <w:p w14:paraId="48940485" w14:textId="7954701A" w:rsidR="00FC6EC3" w:rsidRDefault="00FC6EC3" w:rsidP="00195D40">
            <w:pPr>
              <w:pStyle w:val="BUMainText"/>
              <w:keepLines/>
            </w:pPr>
            <w:r>
              <w:t>Trim63</w:t>
            </w:r>
          </w:p>
        </w:tc>
        <w:tc>
          <w:tcPr>
            <w:tcW w:w="5004" w:type="dxa"/>
          </w:tcPr>
          <w:p w14:paraId="27F491BD" w14:textId="77777777" w:rsidR="00FC6EC3" w:rsidRDefault="00FC6EC3" w:rsidP="00195D40">
            <w:pPr>
              <w:pStyle w:val="BUMainText"/>
              <w:keepLines/>
            </w:pPr>
            <w:r>
              <w:t>Forward: TCTCTCAGCTGGAGGACTCC</w:t>
            </w:r>
          </w:p>
          <w:p w14:paraId="14CDA593" w14:textId="6C87B768" w:rsidR="00FC6EC3" w:rsidRDefault="00FC6EC3" w:rsidP="00195D40">
            <w:pPr>
              <w:pStyle w:val="BUMainText"/>
              <w:keepLines/>
            </w:pPr>
            <w:r>
              <w:t>Reverse: CTGTACTGGAGGATCAGAGC</w:t>
            </w:r>
          </w:p>
        </w:tc>
      </w:tr>
      <w:tr w:rsidR="00FC6EC3" w14:paraId="2FCB12DE" w14:textId="77777777" w:rsidTr="00FC6EC3">
        <w:trPr>
          <w:cantSplit/>
        </w:trPr>
        <w:tc>
          <w:tcPr>
            <w:tcW w:w="3600" w:type="dxa"/>
          </w:tcPr>
          <w:p w14:paraId="62C95BBC" w14:textId="1CC99831" w:rsidR="00FC6EC3" w:rsidRDefault="00FC6EC3" w:rsidP="00195D40">
            <w:pPr>
              <w:pStyle w:val="BUMainText"/>
              <w:keepLines/>
            </w:pPr>
            <w:r>
              <w:t>Fbxo32</w:t>
            </w:r>
          </w:p>
        </w:tc>
        <w:tc>
          <w:tcPr>
            <w:tcW w:w="5004" w:type="dxa"/>
          </w:tcPr>
          <w:p w14:paraId="0BF57DA7" w14:textId="77777777" w:rsidR="00FC6EC3" w:rsidRDefault="00FC6EC3" w:rsidP="00195D40">
            <w:pPr>
              <w:pStyle w:val="BUMainText"/>
              <w:keepLines/>
            </w:pPr>
            <w:r>
              <w:t>Forward: GGGAAGCTTTCAACAGATTGG</w:t>
            </w:r>
          </w:p>
          <w:p w14:paraId="61D126D1" w14:textId="40283CF1" w:rsidR="00FC6EC3" w:rsidRDefault="00FC6EC3" w:rsidP="00195D40">
            <w:pPr>
              <w:pStyle w:val="BUMainText"/>
              <w:keepLines/>
            </w:pPr>
            <w:r>
              <w:t>Reverse: AATGTTCATGAAGTTCTTTTGGG</w:t>
            </w:r>
          </w:p>
        </w:tc>
      </w:tr>
      <w:tr w:rsidR="00FC6EC3" w14:paraId="35AE305B" w14:textId="77777777" w:rsidTr="00FC6EC3">
        <w:trPr>
          <w:cantSplit/>
        </w:trPr>
        <w:tc>
          <w:tcPr>
            <w:tcW w:w="3600" w:type="dxa"/>
          </w:tcPr>
          <w:p w14:paraId="1C9F9A8E" w14:textId="01C4A40B" w:rsidR="00FC6EC3" w:rsidRDefault="00FC6EC3" w:rsidP="00195D40">
            <w:pPr>
              <w:pStyle w:val="BUMainText"/>
              <w:keepLines/>
            </w:pPr>
            <w:r>
              <w:t>Igf1 (IGF-IEa)</w:t>
            </w:r>
          </w:p>
        </w:tc>
        <w:tc>
          <w:tcPr>
            <w:tcW w:w="5004" w:type="dxa"/>
          </w:tcPr>
          <w:p w14:paraId="1F0AE140" w14:textId="77777777" w:rsidR="00FC6EC3" w:rsidRDefault="00FC6EC3" w:rsidP="00195D40">
            <w:pPr>
              <w:pStyle w:val="BUMainText"/>
              <w:keepLines/>
            </w:pPr>
            <w:r>
              <w:t>Forward: GCTTGCTCACCTTTACCAGC</w:t>
            </w:r>
          </w:p>
          <w:p w14:paraId="31F8ED23" w14:textId="0272C50F" w:rsidR="00FC6EC3" w:rsidRDefault="00FC6EC3" w:rsidP="00195D40">
            <w:pPr>
              <w:pStyle w:val="BUMainText"/>
              <w:keepLines/>
            </w:pPr>
            <w:r>
              <w:t>Reverse:AAATGTACTTCCTTCTGGGTCT</w:t>
            </w:r>
          </w:p>
        </w:tc>
      </w:tr>
      <w:tr w:rsidR="00FC6EC3" w14:paraId="44902034" w14:textId="77777777" w:rsidTr="00FC6EC3">
        <w:trPr>
          <w:cantSplit/>
        </w:trPr>
        <w:tc>
          <w:tcPr>
            <w:tcW w:w="3600" w:type="dxa"/>
          </w:tcPr>
          <w:p w14:paraId="7681E853" w14:textId="597F2A42" w:rsidR="00FC6EC3" w:rsidRDefault="00FC6EC3" w:rsidP="00195D40">
            <w:pPr>
              <w:pStyle w:val="BUMainText"/>
              <w:keepLines/>
            </w:pPr>
            <w:r>
              <w:t>Foxo1</w:t>
            </w:r>
          </w:p>
        </w:tc>
        <w:tc>
          <w:tcPr>
            <w:tcW w:w="5004" w:type="dxa"/>
          </w:tcPr>
          <w:p w14:paraId="412BAA0D" w14:textId="77777777" w:rsidR="00FC6EC3" w:rsidRDefault="00FC6EC3" w:rsidP="00195D40">
            <w:pPr>
              <w:pStyle w:val="BUMainText"/>
              <w:keepLines/>
            </w:pPr>
            <w:r>
              <w:t>Forward: CACCCTGTCGCAGATCTAG</w:t>
            </w:r>
          </w:p>
          <w:p w14:paraId="70BAAD1D" w14:textId="4327942E" w:rsidR="00FC6EC3" w:rsidRDefault="00FC6EC3" w:rsidP="00195D40">
            <w:pPr>
              <w:pStyle w:val="BUMainText"/>
              <w:keepLines/>
            </w:pPr>
            <w:r>
              <w:t>Reverse: CGAATAAACTTGCTGTGAAGG</w:t>
            </w:r>
          </w:p>
        </w:tc>
      </w:tr>
      <w:tr w:rsidR="00FC6EC3" w14:paraId="1925F6BD" w14:textId="77777777" w:rsidTr="00FC6EC3">
        <w:trPr>
          <w:cantSplit/>
        </w:trPr>
        <w:tc>
          <w:tcPr>
            <w:tcW w:w="3600" w:type="dxa"/>
          </w:tcPr>
          <w:p w14:paraId="68304FAB" w14:textId="71CC4235" w:rsidR="00FC6EC3" w:rsidRDefault="00FC6EC3" w:rsidP="00195D40">
            <w:pPr>
              <w:pStyle w:val="BUMainText"/>
              <w:keepLines/>
            </w:pPr>
            <w:r>
              <w:t>Foxo3a</w:t>
            </w:r>
          </w:p>
        </w:tc>
        <w:tc>
          <w:tcPr>
            <w:tcW w:w="5004" w:type="dxa"/>
          </w:tcPr>
          <w:p w14:paraId="3924363F" w14:textId="77777777" w:rsidR="00FC6EC3" w:rsidRDefault="00FC6EC3" w:rsidP="00195D40">
            <w:pPr>
              <w:pStyle w:val="BUMainText"/>
              <w:keepLines/>
            </w:pPr>
            <w:r>
              <w:t>Forward: GACAAACGGCTCACTTTGCC</w:t>
            </w:r>
          </w:p>
          <w:p w14:paraId="206D38BA" w14:textId="2627E69F" w:rsidR="00FC6EC3" w:rsidRDefault="00FC6EC3" w:rsidP="00195D40">
            <w:pPr>
              <w:pStyle w:val="BUMainText"/>
              <w:keepLines/>
            </w:pPr>
            <w:r>
              <w:t>Reverse: GACAGGTTGTTGTGCCGGATGG</w:t>
            </w:r>
          </w:p>
        </w:tc>
      </w:tr>
      <w:tr w:rsidR="00FC6EC3" w14:paraId="4F4887E3" w14:textId="77777777" w:rsidTr="00FC6EC3">
        <w:trPr>
          <w:cantSplit/>
        </w:trPr>
        <w:tc>
          <w:tcPr>
            <w:tcW w:w="3600" w:type="dxa"/>
          </w:tcPr>
          <w:p w14:paraId="41BE3BC3" w14:textId="22D87530" w:rsidR="00FC6EC3" w:rsidRDefault="00FC6EC3" w:rsidP="00195D40">
            <w:pPr>
              <w:pStyle w:val="BUMainText"/>
              <w:keepLines/>
            </w:pPr>
            <w:r>
              <w:t>Foxo4</w:t>
            </w:r>
          </w:p>
        </w:tc>
        <w:tc>
          <w:tcPr>
            <w:tcW w:w="5004" w:type="dxa"/>
          </w:tcPr>
          <w:p w14:paraId="29042BB9" w14:textId="77777777" w:rsidR="00FC6EC3" w:rsidRDefault="00FC6EC3" w:rsidP="00195D40">
            <w:pPr>
              <w:pStyle w:val="BUMainText"/>
              <w:keepLines/>
            </w:pPr>
            <w:r>
              <w:t>Forward: GCCCTACTTTCAAGGACAAGG</w:t>
            </w:r>
          </w:p>
          <w:p w14:paraId="3A0790BD" w14:textId="492D5ECA" w:rsidR="00FC6EC3" w:rsidRDefault="00FC6EC3" w:rsidP="00195D40">
            <w:pPr>
              <w:pStyle w:val="BUMainText"/>
              <w:keepLines/>
            </w:pPr>
            <w:r>
              <w:t>Reverse: CATCCACCAGAGCTCTTC</w:t>
            </w:r>
          </w:p>
        </w:tc>
      </w:tr>
      <w:tr w:rsidR="00FC6EC3" w14:paraId="1A9CF149" w14:textId="77777777" w:rsidTr="00FC6EC3">
        <w:trPr>
          <w:cantSplit/>
        </w:trPr>
        <w:tc>
          <w:tcPr>
            <w:tcW w:w="3600" w:type="dxa"/>
          </w:tcPr>
          <w:p w14:paraId="16AB48EC" w14:textId="3A7F87DF" w:rsidR="00FC6EC3" w:rsidRDefault="00FC6EC3" w:rsidP="00195D40">
            <w:pPr>
              <w:pStyle w:val="BUMainText"/>
              <w:keepLines/>
            </w:pPr>
            <w:r>
              <w:t>Ddit4</w:t>
            </w:r>
          </w:p>
        </w:tc>
        <w:tc>
          <w:tcPr>
            <w:tcW w:w="5004" w:type="dxa"/>
          </w:tcPr>
          <w:p w14:paraId="11948269" w14:textId="77777777" w:rsidR="00FC6EC3" w:rsidRDefault="00FC6EC3" w:rsidP="00195D40">
            <w:pPr>
              <w:pStyle w:val="BUMainText"/>
              <w:keepLines/>
            </w:pPr>
            <w:r>
              <w:t>Forward: CTGCGAGTCCCCTGGACAGC</w:t>
            </w:r>
          </w:p>
          <w:p w14:paraId="44195349" w14:textId="35A05857" w:rsidR="00FC6EC3" w:rsidRDefault="00FC6EC3" w:rsidP="00195D40">
            <w:pPr>
              <w:pStyle w:val="BUMainText"/>
              <w:keepLines/>
            </w:pPr>
            <w:r>
              <w:t>Reverse: CACTGAGCAGCTCAAAGTCG</w:t>
            </w:r>
          </w:p>
        </w:tc>
      </w:tr>
      <w:tr w:rsidR="00FC6EC3" w14:paraId="6208B445" w14:textId="77777777" w:rsidTr="00FC6EC3">
        <w:trPr>
          <w:cantSplit/>
        </w:trPr>
        <w:tc>
          <w:tcPr>
            <w:tcW w:w="3600" w:type="dxa"/>
          </w:tcPr>
          <w:p w14:paraId="33558232" w14:textId="5AC6BCD6" w:rsidR="00FC6EC3" w:rsidRDefault="00FC6EC3" w:rsidP="00195D40">
            <w:pPr>
              <w:pStyle w:val="BUMainText"/>
              <w:keepLines/>
            </w:pPr>
            <w:r>
              <w:t>Igf1r</w:t>
            </w:r>
          </w:p>
        </w:tc>
        <w:tc>
          <w:tcPr>
            <w:tcW w:w="5004" w:type="dxa"/>
          </w:tcPr>
          <w:p w14:paraId="24C35AFC" w14:textId="77777777" w:rsidR="00FC6EC3" w:rsidRDefault="00FC6EC3" w:rsidP="00195D40">
            <w:pPr>
              <w:pStyle w:val="BUMainText"/>
              <w:keepLines/>
            </w:pPr>
            <w:r>
              <w:t>Forward: GGGCTGACTGGTGGATGC</w:t>
            </w:r>
          </w:p>
          <w:p w14:paraId="7270876F" w14:textId="46181A99" w:rsidR="00FC6EC3" w:rsidRDefault="00FC6EC3" w:rsidP="00195D40">
            <w:pPr>
              <w:pStyle w:val="BUMainText"/>
              <w:keepLines/>
            </w:pPr>
            <w:r>
              <w:t>Reverse: CGCTGGGCACGGATAGAGC</w:t>
            </w:r>
          </w:p>
        </w:tc>
      </w:tr>
      <w:tr w:rsidR="00FC6EC3" w14:paraId="359C944E" w14:textId="77777777" w:rsidTr="00FC6EC3">
        <w:trPr>
          <w:cantSplit/>
        </w:trPr>
        <w:tc>
          <w:tcPr>
            <w:tcW w:w="3600" w:type="dxa"/>
          </w:tcPr>
          <w:p w14:paraId="7949B360" w14:textId="5C29AB2A" w:rsidR="00FC6EC3" w:rsidRDefault="00FC6EC3" w:rsidP="00195D40">
            <w:pPr>
              <w:pStyle w:val="BUMainText"/>
              <w:keepLines/>
            </w:pPr>
            <w:r>
              <w:t>Becn1</w:t>
            </w:r>
          </w:p>
        </w:tc>
        <w:tc>
          <w:tcPr>
            <w:tcW w:w="5004" w:type="dxa"/>
          </w:tcPr>
          <w:p w14:paraId="62CD4139" w14:textId="77777777" w:rsidR="00FC6EC3" w:rsidRDefault="00FC6EC3" w:rsidP="00195D40">
            <w:pPr>
              <w:pStyle w:val="BUMainText"/>
              <w:keepLines/>
            </w:pPr>
            <w:r>
              <w:t>Forward: CCACAGCCCAGGCGAAACC</w:t>
            </w:r>
          </w:p>
          <w:p w14:paraId="1B736955" w14:textId="3C17902F" w:rsidR="00FC6EC3" w:rsidRDefault="00FC6EC3" w:rsidP="00195D40">
            <w:pPr>
              <w:pStyle w:val="BUMainText"/>
              <w:keepLines/>
            </w:pPr>
            <w:r>
              <w:t>Reverse: GATGAATCTTCGAGAGACACC</w:t>
            </w:r>
          </w:p>
        </w:tc>
      </w:tr>
      <w:tr w:rsidR="00FC6EC3" w14:paraId="16EE8FB7" w14:textId="77777777" w:rsidTr="00FC6EC3">
        <w:trPr>
          <w:cantSplit/>
        </w:trPr>
        <w:tc>
          <w:tcPr>
            <w:tcW w:w="3600" w:type="dxa"/>
          </w:tcPr>
          <w:p w14:paraId="21329E40" w14:textId="31C72565" w:rsidR="00FC6EC3" w:rsidRDefault="00FC6EC3" w:rsidP="00195D40">
            <w:pPr>
              <w:pStyle w:val="BUMainText"/>
              <w:keepLines/>
            </w:pPr>
            <w:r>
              <w:t>Map1lc3b</w:t>
            </w:r>
          </w:p>
        </w:tc>
        <w:tc>
          <w:tcPr>
            <w:tcW w:w="5004" w:type="dxa"/>
          </w:tcPr>
          <w:p w14:paraId="7F71CFE2" w14:textId="77777777" w:rsidR="00FC6EC3" w:rsidRDefault="00FC6EC3" w:rsidP="00195D40">
            <w:pPr>
              <w:pStyle w:val="BUMainText"/>
              <w:keepLines/>
            </w:pPr>
            <w:r>
              <w:t>Forward: GGAAGATGTCCGGCTATCC</w:t>
            </w:r>
          </w:p>
          <w:p w14:paraId="2DEDCD6D" w14:textId="4C40FD26" w:rsidR="00FC6EC3" w:rsidRDefault="00FC6EC3" w:rsidP="00195D40">
            <w:pPr>
              <w:pStyle w:val="BUMainText"/>
              <w:keepLines/>
            </w:pPr>
            <w:r>
              <w:t>Reverse: CTCATGTTCACGTGGTCAGG</w:t>
            </w:r>
          </w:p>
        </w:tc>
      </w:tr>
      <w:tr w:rsidR="00FC6EC3" w14:paraId="744DE590" w14:textId="77777777" w:rsidTr="00FC6EC3">
        <w:trPr>
          <w:cantSplit/>
        </w:trPr>
        <w:tc>
          <w:tcPr>
            <w:tcW w:w="3600" w:type="dxa"/>
          </w:tcPr>
          <w:p w14:paraId="105EA2E1" w14:textId="507D2C36" w:rsidR="00FC6EC3" w:rsidRDefault="00FC6EC3" w:rsidP="00195D40">
            <w:pPr>
              <w:pStyle w:val="BUMainText"/>
              <w:keepLines/>
            </w:pPr>
            <w:r>
              <w:t>Ctsl</w:t>
            </w:r>
          </w:p>
        </w:tc>
        <w:tc>
          <w:tcPr>
            <w:tcW w:w="5004" w:type="dxa"/>
          </w:tcPr>
          <w:p w14:paraId="45B46D64" w14:textId="77777777" w:rsidR="00FC6EC3" w:rsidRDefault="00FC6EC3" w:rsidP="00195D40">
            <w:pPr>
              <w:pStyle w:val="BUMainText"/>
              <w:keepLines/>
            </w:pPr>
            <w:r>
              <w:t>Forward: AACCGCTGATGCTTAAGATCC</w:t>
            </w:r>
          </w:p>
          <w:p w14:paraId="199B425F" w14:textId="35D5632E" w:rsidR="00FC6EC3" w:rsidRDefault="00FC6EC3" w:rsidP="00195D40">
            <w:pPr>
              <w:pStyle w:val="BUMainText"/>
              <w:keepLines/>
            </w:pPr>
            <w:r>
              <w:t>Reverse: CACTCAGTGAGATCAGTTTGC</w:t>
            </w:r>
          </w:p>
        </w:tc>
      </w:tr>
      <w:tr w:rsidR="00FC6EC3" w14:paraId="4A4AAEFE" w14:textId="77777777" w:rsidTr="00FC6EC3">
        <w:trPr>
          <w:cantSplit/>
        </w:trPr>
        <w:tc>
          <w:tcPr>
            <w:tcW w:w="3600" w:type="dxa"/>
          </w:tcPr>
          <w:p w14:paraId="6F73D985" w14:textId="5A657371" w:rsidR="00FC6EC3" w:rsidRDefault="00FC6EC3" w:rsidP="00195D40">
            <w:pPr>
              <w:pStyle w:val="BUMainText"/>
              <w:keepLines/>
            </w:pPr>
            <w:r>
              <w:t>Klf15</w:t>
            </w:r>
          </w:p>
        </w:tc>
        <w:tc>
          <w:tcPr>
            <w:tcW w:w="5004" w:type="dxa"/>
          </w:tcPr>
          <w:p w14:paraId="20CDF90F" w14:textId="77777777" w:rsidR="00FC6EC3" w:rsidRDefault="00FC6EC3" w:rsidP="00195D40">
            <w:pPr>
              <w:pStyle w:val="BUMainText"/>
              <w:keepLines/>
            </w:pPr>
            <w:r>
              <w:t>Forward: ACAGGCGAGAAGCCCTTGC</w:t>
            </w:r>
          </w:p>
          <w:p w14:paraId="4A6CC83D" w14:textId="18D886E0" w:rsidR="00FC6EC3" w:rsidRDefault="00FC6EC3" w:rsidP="00195D40">
            <w:pPr>
              <w:pStyle w:val="BUMainText"/>
              <w:keepLines/>
            </w:pPr>
            <w:r>
              <w:t>Reverse: CTCGCACACGGGACACTGG</w:t>
            </w:r>
          </w:p>
        </w:tc>
      </w:tr>
      <w:tr w:rsidR="00FC6EC3" w14:paraId="3A4EFFDA" w14:textId="77777777" w:rsidTr="00FC6EC3">
        <w:trPr>
          <w:cantSplit/>
        </w:trPr>
        <w:tc>
          <w:tcPr>
            <w:tcW w:w="3600" w:type="dxa"/>
          </w:tcPr>
          <w:p w14:paraId="791811EE" w14:textId="08A8270B" w:rsidR="00FC6EC3" w:rsidRDefault="00FC6EC3" w:rsidP="00195D40">
            <w:pPr>
              <w:pStyle w:val="BUMainText"/>
              <w:keepLines/>
            </w:pPr>
            <w:r>
              <w:t>Gapdh</w:t>
            </w:r>
          </w:p>
        </w:tc>
        <w:tc>
          <w:tcPr>
            <w:tcW w:w="5004" w:type="dxa"/>
          </w:tcPr>
          <w:p w14:paraId="7812F701" w14:textId="77777777" w:rsidR="00FC6EC3" w:rsidRDefault="00FC6EC3" w:rsidP="00195D40">
            <w:pPr>
              <w:pStyle w:val="BUMainText"/>
              <w:keepLines/>
            </w:pPr>
            <w:r>
              <w:t>Forward: GCTCACTGGCATGGCCTTCCG</w:t>
            </w:r>
          </w:p>
          <w:p w14:paraId="2B74C8FB" w14:textId="0A9ACBB1" w:rsidR="00FC6EC3" w:rsidRDefault="00FC6EC3" w:rsidP="00195D40">
            <w:pPr>
              <w:pStyle w:val="BUMainText"/>
              <w:keepLines/>
            </w:pPr>
            <w:r>
              <w:t>Reverse: GTAGGCCATGAGGTCCACA</w:t>
            </w:r>
          </w:p>
        </w:tc>
      </w:tr>
    </w:tbl>
    <w:p w14:paraId="607768DB" w14:textId="234891D6" w:rsidR="00FC6EC3" w:rsidRPr="000A05E4" w:rsidRDefault="00FC6EC3" w:rsidP="00FC6EC3">
      <w:pPr>
        <w:pStyle w:val="BUTableCaption"/>
        <w:rPr>
          <w:sz w:val="20"/>
          <w:szCs w:val="20"/>
        </w:rPr>
      </w:pPr>
      <w:bookmarkStart w:id="43" w:name="_Toc422958751"/>
      <w:r w:rsidRPr="000A05E4">
        <w:rPr>
          <w:sz w:val="20"/>
          <w:szCs w:val="20"/>
        </w:rPr>
        <w:t xml:space="preserve">Table </w:t>
      </w:r>
      <w:r w:rsidRPr="000A05E4">
        <w:rPr>
          <w:sz w:val="20"/>
          <w:szCs w:val="20"/>
        </w:rPr>
        <w:fldChar w:fldCharType="begin"/>
      </w:r>
      <w:r w:rsidRPr="000A05E4">
        <w:rPr>
          <w:sz w:val="20"/>
          <w:szCs w:val="20"/>
        </w:rPr>
        <w:instrText xml:space="preserve"> SEQ Table \* ARABIC </w:instrText>
      </w:r>
      <w:r w:rsidRPr="000A05E4">
        <w:rPr>
          <w:sz w:val="20"/>
          <w:szCs w:val="20"/>
        </w:rPr>
        <w:fldChar w:fldCharType="separate"/>
      </w:r>
      <w:r w:rsidRPr="000A05E4">
        <w:rPr>
          <w:noProof/>
          <w:sz w:val="20"/>
          <w:szCs w:val="20"/>
        </w:rPr>
        <w:t>1</w:t>
      </w:r>
      <w:r w:rsidRPr="000A05E4">
        <w:rPr>
          <w:noProof/>
          <w:sz w:val="20"/>
          <w:szCs w:val="20"/>
        </w:rPr>
        <w:fldChar w:fldCharType="end"/>
      </w:r>
      <w:r w:rsidRPr="000A05E4">
        <w:rPr>
          <w:sz w:val="20"/>
          <w:szCs w:val="20"/>
        </w:rPr>
        <w:t>.</w:t>
      </w:r>
      <w:r>
        <w:rPr>
          <w:sz w:val="20"/>
          <w:szCs w:val="20"/>
        </w:rPr>
        <w:t xml:space="preserve"> </w:t>
      </w:r>
      <w:r w:rsidRPr="00FC6EC3">
        <w:rPr>
          <w:sz w:val="20"/>
          <w:szCs w:val="20"/>
        </w:rPr>
        <w:t>List of RT-PCR primers</w:t>
      </w:r>
      <w:r>
        <w:rPr>
          <w:sz w:val="20"/>
          <w:szCs w:val="20"/>
        </w:rPr>
        <w:t>.</w:t>
      </w:r>
      <w:bookmarkEnd w:id="43"/>
    </w:p>
    <w:p w14:paraId="2A4EEBBF" w14:textId="77777777" w:rsidR="00831C31" w:rsidRPr="00831C31" w:rsidRDefault="00FE328A" w:rsidP="00831C31">
      <w:pPr>
        <w:pStyle w:val="Heading2"/>
        <w:rPr>
          <w:sz w:val="24"/>
          <w:szCs w:val="24"/>
        </w:rPr>
      </w:pPr>
      <w:bookmarkStart w:id="44" w:name="_Toc422957925"/>
      <w:r w:rsidRPr="00831C31">
        <w:rPr>
          <w:sz w:val="24"/>
          <w:szCs w:val="24"/>
        </w:rPr>
        <w:t>Cell culture studies</w:t>
      </w:r>
      <w:bookmarkEnd w:id="44"/>
    </w:p>
    <w:p w14:paraId="666C5DA6" w14:textId="77777777" w:rsidR="00195D40" w:rsidRDefault="00FE328A" w:rsidP="00195D40">
      <w:pPr>
        <w:pStyle w:val="BUMainText"/>
        <w:ind w:firstLine="720"/>
      </w:pPr>
      <w:r>
        <w:t>C2C12 cells were obtained from ATCC (Manassas, Virginia). They were grown on solid substrate, on cell culture coated plates, in atmospheric air, supplemented to 5% CO2, at 37 ◦C. During proliferation, cells were maintained under</w:t>
      </w:r>
      <w:r w:rsidR="00831C31">
        <w:t xml:space="preserve"> </w:t>
      </w:r>
      <w:r>
        <w:t>500 µL/cm2  growth medium, that is, Dulbecco’s Modified Eagle Medium (DMEM;</w:t>
      </w:r>
      <w:r w:rsidR="00831C31">
        <w:t xml:space="preserve"> </w:t>
      </w:r>
      <w:r>
        <w:t>VWR International, Radnor, Pennsylvania), supplemented with 100 ‰ fetal bovine serum (FBS), 100 units/mL penicillin, and 100 mg/L streptomycin, changed every other day. DMEM contained 400 µM phenylalanine, 4.5 g/L glucose, 4 mM glutamine, and lacked pyruvate.</w:t>
      </w:r>
    </w:p>
    <w:p w14:paraId="78EF69B0" w14:textId="77777777" w:rsidR="00195D40" w:rsidRDefault="00195D40" w:rsidP="00195D40">
      <w:pPr>
        <w:pStyle w:val="BUMainText"/>
        <w:ind w:firstLine="720"/>
      </w:pPr>
      <w:r>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µL/cm2  phosphate buffered saline (PBS),</w:t>
      </w:r>
      <w:r w:rsidRPr="00195D40">
        <w:t xml:space="preserve"> </w:t>
      </w:r>
      <w:r>
        <w:t xml:space="preserve">then incubated at 37 ◦C for about 5 minutes with 50 </w:t>
      </w:r>
      <w:r>
        <w:rPr>
          <w:rFonts w:ascii="Cambria" w:hAnsi="Cambria" w:cs="Cambria"/>
        </w:rPr>
        <w:t>µ</w:t>
      </w:r>
      <w:r>
        <w:t>L/cm2  pre-warmed 0.05% trypsin / EDTA (Life Technologies). After detachment, cells were tested for viability with trypan blue, counted on a hemocytometer, and re-seeded at about 5,000 cells/cm2.</w:t>
      </w:r>
    </w:p>
    <w:p w14:paraId="1A0F4FCD" w14:textId="77777777" w:rsidR="00195D40" w:rsidRDefault="00195D40" w:rsidP="00195D40">
      <w:pPr>
        <w:pStyle w:val="BUMainText"/>
        <w:ind w:firstLine="720"/>
      </w:pPr>
      <w:r>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1422788B" w14:textId="77777777" w:rsidR="00195D40" w:rsidRDefault="00195D40" w:rsidP="00195D40">
      <w:pPr>
        <w:pStyle w:val="BUMainText"/>
        <w:ind w:firstLine="720"/>
      </w:pPr>
      <w:r>
        <w:t>Dexa and Testo were delivered from 400X stocks in ethanol, at various concentrations, as indicated at each experiment in the results section.</w:t>
      </w:r>
    </w:p>
    <w:p w14:paraId="01FC1C1C" w14:textId="77777777" w:rsidR="00195D40" w:rsidRDefault="00195D40" w:rsidP="00195D40">
      <w:pPr>
        <w:pStyle w:val="BUMainText"/>
        <w:ind w:firstLine="720"/>
      </w:pPr>
      <w:r>
        <w:t>Protein synthesis was inhibited with 100 µM cycloheximide from 360X water-based stock, or 5 µM puromycin dihydrochloride from 500X water-based stock. proteasome activity was inhibited in cell culture with 5 µM MG132 from an 80X working stock in differentiation medium, which in turn was derived from an 8,000X DMSO-based stock. lysosome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16F1A9C9" w14:textId="77777777" w:rsidR="00195D40" w:rsidRPr="00195D40" w:rsidRDefault="00195D40" w:rsidP="00195D40">
      <w:pPr>
        <w:pStyle w:val="Heading2"/>
        <w:rPr>
          <w:sz w:val="24"/>
          <w:szCs w:val="24"/>
        </w:rPr>
      </w:pPr>
      <w:bookmarkStart w:id="45" w:name="_Toc422957926"/>
      <w:r w:rsidRPr="00195D40">
        <w:rPr>
          <w:sz w:val="24"/>
          <w:szCs w:val="24"/>
        </w:rPr>
        <w:t>Immunofluorescence microscopy</w:t>
      </w:r>
      <w:bookmarkEnd w:id="45"/>
    </w:p>
    <w:p w14:paraId="4DC844B6" w14:textId="77777777" w:rsidR="00195D40" w:rsidRDefault="00195D40" w:rsidP="00195D40">
      <w:pPr>
        <w:pStyle w:val="BUMainText"/>
        <w:ind w:firstLine="720"/>
      </w:pPr>
      <w:r>
        <w:t>After the experimental treatments, the adherent cells were washed twice, on ice, with ice-cold PBS. The cells were covered with cold 1:1 v/v ethanol:acetone, and incubated at 20 ◦C for 20 minutes. This process both fixated and permeabilized the cells. The liquid was removed, and the cells were rinsed with PBS.</w:t>
      </w:r>
    </w:p>
    <w:p w14:paraId="214B3300" w14:textId="77777777" w:rsidR="00195D40" w:rsidRDefault="00195D40" w:rsidP="00195D40">
      <w:pPr>
        <w:pStyle w:val="BUMainText"/>
        <w:ind w:firstLine="720"/>
      </w:pPr>
      <w:r>
        <w:t>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◦C.</w:t>
      </w:r>
    </w:p>
    <w:p w14:paraId="083C8142" w14:textId="77777777" w:rsidR="00195D40" w:rsidRDefault="00195D40" w:rsidP="00195D40">
      <w:pPr>
        <w:pStyle w:val="BUMainText"/>
        <w:ind w:firstLine="720"/>
      </w:pPr>
      <w:r>
        <w:t>Next day, the cells were incubated twice 5 min each with the blocking solution, to wash unbound primary antibody. Cells were then probed with the secondary antibody, that is, blocking solution supplemented with 1:500 anti-mouse antibody conjugated with rhodamine, and with 1 mg/L DAPI. The cells were incubated 60 min at room temperature in the dark, and then briefly washed 4 times with PBS. Cells covered in PBS were store at 4 ◦C or observed with an Eclipse TE2000-E fluorescence microscope (Nikon Instruments, Melville, New York).</w:t>
      </w:r>
    </w:p>
    <w:p w14:paraId="6FBBE538" w14:textId="77777777" w:rsidR="00195D40" w:rsidRDefault="00195D40" w:rsidP="00195D40">
      <w:pPr>
        <w:pStyle w:val="BUMainText"/>
        <w:ind w:firstLine="720"/>
      </w:pPr>
      <w:r>
        <w:t>Cell contours were obtained using Magnetic Lasso in Adobe Photoshop CS4. All the cell outlines that could be recognized by Photoshop from two randomly chosen fields were pasted in another file, which was read in Matlab 8. An automated script determined multiple estimates of the diameter, and calculated an average diameter for each fiber.</w:t>
      </w:r>
    </w:p>
    <w:p w14:paraId="28E02D69" w14:textId="05875F35" w:rsidR="00195D40" w:rsidRPr="00195D40" w:rsidRDefault="00195D40" w:rsidP="00195D40">
      <w:pPr>
        <w:pStyle w:val="Heading2"/>
        <w:rPr>
          <w:sz w:val="24"/>
          <w:szCs w:val="24"/>
        </w:rPr>
      </w:pPr>
      <w:bookmarkStart w:id="46" w:name="_Toc422957927"/>
      <w:r w:rsidRPr="00195D40">
        <w:rPr>
          <w:sz w:val="24"/>
          <w:szCs w:val="24"/>
        </w:rPr>
        <w:t>Measurement of muscle protein synthesis and degradation</w:t>
      </w:r>
      <w:bookmarkEnd w:id="46"/>
    </w:p>
    <w:p w14:paraId="26DF658D" w14:textId="77777777" w:rsidR="00195D40" w:rsidRDefault="00195D40" w:rsidP="00195D40">
      <w:pPr>
        <w:pStyle w:val="BUMainText"/>
        <w:ind w:firstLine="720"/>
      </w:pPr>
      <w:r>
        <w:t>Cells were labeled by incubation in differentiation medium supplemented with 0.2 mCi/L radioactive (³H-[ring]) phenylalanine (126 Ci/mmol; PerkinElmer, Shelton, Connecticut), starting at the times and for the durations specified at each experiment in the results section. For removal of non-specific tracer at the end of labeling stage, cells were rinsed with PBS twice, and then incubated with 2 mm PBS for 15 min at 37 ◦C, 5% CO2.</w:t>
      </w:r>
    </w:p>
    <w:p w14:paraId="24C263A4" w14:textId="77777777" w:rsidR="00195D40" w:rsidRDefault="00195D40" w:rsidP="00195D40">
      <w:pPr>
        <w:pStyle w:val="BUMainText"/>
        <w:ind w:firstLine="720"/>
      </w:pPr>
      <w:r>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0.4 mM phenylalanine, and suggested that additional osmotic stress could be avoided at no cost to sensitivity of the method.</w:t>
      </w:r>
    </w:p>
    <w:p w14:paraId="39023D28" w14:textId="77777777" w:rsidR="00195D40" w:rsidRDefault="00195D40" w:rsidP="00195D40">
      <w:pPr>
        <w:pStyle w:val="BUMainText"/>
        <w:ind w:firstLine="720"/>
      </w:pPr>
      <w:r>
        <w:t>In all cases, cells and media were collected separately, and each was fractionated with trichloroacetic acid (TCA). Medium was removed from the plate, and then supplemented with 6 M TCA, to a final 0.6 M TCA. Cells were covered with 0.6 M TCA. Both media and cells were then incubated overnight at −20 ◦C. Next day, cells and media were thawed at 4 ◦C over two hours. Cells were scraped. The cell culture wells were further scraped and rinsed with 0.6 M TCA. Protein suspensions were centrifuged at 15,000 g, for 15 min, at 4 ◦C. Pellets were washed with 0.6 M TCA, by resuspension, incubation at 4 ◦C for 15 min, and centrifugation as above. Next, pellets were washed once more with acetone, by the same procedure. All two TCA-based supernatants and the acetone supernatant were pooled. Pellets were dissolved in 1 M NaOH / 1 ‰ Triton, with sonication 15 min at 50 ◦C, followed by incubation 15 min at 50 ◦C.</w:t>
      </w:r>
    </w:p>
    <w:p w14:paraId="6D2B4458" w14:textId="5C0D9C68" w:rsidR="00195D40" w:rsidRDefault="00195D40" w:rsidP="00195D40">
      <w:pPr>
        <w:pStyle w:val="BUMainText"/>
        <w:ind w:firstLine="720"/>
      </w:pPr>
      <w:r>
        <w:t>From the supernatant or from the resuspended pellet, 100 µL was mixed with 5 mL Econo-lite scintillation fluid, and then counted in a TriCarb 3100TR liquid scintillation counter (PerkinElmer) for 3 min per sample. Counts per minute were converted to disintegrations per minute using a standard curve generated using 1 µCi/L to 80 µCi/L labeled phenylalanine dissolved in the same solvents as the samples (2:1 TCA:acetone, or 1 M NaOH / 1 ‰ v/v Triton).</w:t>
      </w:r>
    </w:p>
    <w:p w14:paraId="3B020160" w14:textId="77777777" w:rsidR="00195D40" w:rsidRDefault="00195D40" w:rsidP="00195D40">
      <w:pPr>
        <w:pStyle w:val="BUMainText"/>
        <w:ind w:firstLine="720"/>
      </w:pPr>
      <w:r>
        <w:t>From the same protein pellet suspension, aliquots were used to measure total protein concentration by BCA method, as described in the immunoblot section, but with standards prepared in the same solvent as the unknowns.</w:t>
      </w:r>
    </w:p>
    <w:p w14:paraId="09F091C2" w14:textId="77777777" w:rsidR="00195D40" w:rsidRPr="00195D40" w:rsidRDefault="00195D40" w:rsidP="00195D40">
      <w:pPr>
        <w:pStyle w:val="Heading2"/>
        <w:rPr>
          <w:sz w:val="24"/>
          <w:szCs w:val="24"/>
        </w:rPr>
      </w:pPr>
      <w:bookmarkStart w:id="47" w:name="_Toc422957928"/>
      <w:r w:rsidRPr="00195D40">
        <w:rPr>
          <w:sz w:val="24"/>
          <w:szCs w:val="24"/>
        </w:rPr>
        <w:t>Statistics</w:t>
      </w:r>
      <w:bookmarkEnd w:id="47"/>
    </w:p>
    <w:p w14:paraId="2F2F327D" w14:textId="77777777" w:rsidR="00195D40" w:rsidRDefault="00195D40" w:rsidP="00195D40">
      <w:pPr>
        <w:pStyle w:val="BUMainText"/>
        <w:ind w:firstLine="720"/>
      </w:pPr>
      <w:r>
        <w:t>Statistics and plots were generated in R 3.2 with ggplot2, knitr, and Lyx[612]. 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7AADCCD2" w14:textId="77777777" w:rsidR="00195D40" w:rsidRDefault="00195D40" w:rsidP="00195D40">
      <w:pPr>
        <w:pStyle w:val="BUMainText"/>
        <w:ind w:firstLine="720"/>
      </w:pPr>
      <w:r>
        <w:t>In a plot, means with the same letter are not significantly different from each other. Tests were considered statistically significant when the null hypothesis could not be rejected at any level of significance greater than or equal to 0.05.</w:t>
      </w:r>
    </w:p>
    <w:p w14:paraId="06FD4D99" w14:textId="77777777" w:rsidR="00195D40" w:rsidRPr="00195D40" w:rsidRDefault="00195D40" w:rsidP="00195D40">
      <w:pPr>
        <w:pStyle w:val="Heading2"/>
        <w:rPr>
          <w:sz w:val="24"/>
          <w:szCs w:val="24"/>
        </w:rPr>
      </w:pPr>
      <w:bookmarkStart w:id="48" w:name="_Toc422957929"/>
      <w:r w:rsidRPr="00195D40">
        <w:rPr>
          <w:sz w:val="24"/>
          <w:szCs w:val="24"/>
        </w:rPr>
        <w:t>Literature review</w:t>
      </w:r>
      <w:bookmarkEnd w:id="48"/>
    </w:p>
    <w:p w14:paraId="42DAA233" w14:textId="77777777" w:rsidR="00195D40" w:rsidRDefault="00195D40" w:rsidP="00195D40">
      <w:pPr>
        <w:pStyle w:val="BUMainText"/>
        <w:ind w:firstLine="720"/>
      </w:pPr>
      <w:r>
        <w:t>The introduction section was based on review of all literature indexed by 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 and combinations thereof. Relevant primary data were summarized.</w:t>
      </w:r>
    </w:p>
    <w:p w14:paraId="644807E4" w14:textId="77777777" w:rsidR="00195D40" w:rsidRDefault="00195D40" w:rsidP="00195D40">
      <w:pPr>
        <w:pStyle w:val="BUMainText"/>
        <w:ind w:firstLine="720"/>
        <w:sectPr w:rsidR="00195D40" w:rsidSect="00194CC5">
          <w:headerReference w:type="default" r:id="rId24"/>
          <w:footerReference w:type="default" r:id="rId25"/>
          <w:headerReference w:type="first" r:id="rId26"/>
          <w:footerReference w:type="first" r:id="rId27"/>
          <w:pgSz w:w="12240" w:h="15840"/>
          <w:pgMar w:top="2160" w:right="1440" w:bottom="1440" w:left="2160" w:header="1440" w:footer="1080" w:gutter="0"/>
          <w:cols w:space="720"/>
          <w:docGrid w:linePitch="360"/>
        </w:sectPr>
      </w:pPr>
    </w:p>
    <w:p w14:paraId="62B27DF6" w14:textId="77777777" w:rsidR="00195D40" w:rsidRDefault="00195D40" w:rsidP="00195D40">
      <w:pPr>
        <w:pStyle w:val="Heading1"/>
      </w:pPr>
      <w:bookmarkStart w:id="49" w:name="_Toc422957930"/>
      <w:r>
        <w:t>IN VIVO EXPERIMENTS</w:t>
      </w:r>
      <w:bookmarkEnd w:id="49"/>
    </w:p>
    <w:p w14:paraId="3A463F2C" w14:textId="77777777" w:rsidR="00195D40" w:rsidRPr="00195D40" w:rsidRDefault="00195D40" w:rsidP="00195D40">
      <w:pPr>
        <w:pStyle w:val="Heading2"/>
        <w:rPr>
          <w:sz w:val="24"/>
          <w:szCs w:val="24"/>
        </w:rPr>
      </w:pPr>
      <w:bookmarkStart w:id="50" w:name="_Toc422957931"/>
      <w:r w:rsidRPr="00195D40">
        <w:rPr>
          <w:sz w:val="24"/>
          <w:szCs w:val="24"/>
        </w:rPr>
        <w:t>Testosterone reverses dexamethasone-induced muscle atrophy</w:t>
      </w:r>
      <w:bookmarkEnd w:id="50"/>
    </w:p>
    <w:p w14:paraId="25D4D18E" w14:textId="152C4165" w:rsidR="001A02FD" w:rsidRDefault="00195D40" w:rsidP="002C7841">
      <w:pPr>
        <w:pStyle w:val="BUMainText"/>
        <w:ind w:firstLine="720"/>
      </w:pPr>
      <w:r>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rats[507] (Fig.1 ).</w:t>
      </w:r>
    </w:p>
    <w:p w14:paraId="4305D70D" w14:textId="77777777" w:rsidR="002C7841" w:rsidRDefault="002C7841" w:rsidP="002C7841">
      <w:pPr>
        <w:pStyle w:val="BUMainText"/>
        <w:keepNext/>
      </w:pPr>
      <w:bookmarkStart w:id="51" w:name="_Toc238880464"/>
      <w:r>
        <w:rPr>
          <w:noProof/>
          <w:sz w:val="20"/>
          <w:szCs w:val="20"/>
        </w:rPr>
        <w:drawing>
          <wp:inline distT="0" distB="0" distL="0" distR="0" wp14:anchorId="08A39179" wp14:editId="230D2914">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l-experiment-timecourse.gif"/>
                    <pic:cNvPicPr/>
                  </pic:nvPicPr>
                  <pic:blipFill>
                    <a:blip r:embed="rId2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bookmarkEnd w:id="51"/>
    </w:p>
    <w:p w14:paraId="06F9F7EE" w14:textId="3C392D3C" w:rsidR="002C7841" w:rsidRDefault="002C7841" w:rsidP="002C7841">
      <w:pPr>
        <w:pStyle w:val="Caption"/>
      </w:pPr>
      <w:bookmarkStart w:id="52" w:name="_Toc422958755"/>
      <w:r>
        <w:t xml:space="preserve">Figure </w:t>
      </w:r>
      <w:fldSimple w:instr=" SEQ Figure \* ARABIC ">
        <w:r>
          <w:rPr>
            <w:noProof/>
          </w:rPr>
          <w:t>1</w:t>
        </w:r>
      </w:fldSimple>
      <w:r>
        <w:t xml:space="preserve">. </w:t>
      </w:r>
      <w:r w:rsidRPr="002C7841">
        <w:rPr>
          <w:sz w:val="20"/>
          <w:szCs w:val="20"/>
        </w:rPr>
        <w:t>Experimental protocol for the in vivo studies</w:t>
      </w:r>
      <w:r>
        <w:rPr>
          <w:sz w:val="20"/>
          <w:szCs w:val="20"/>
        </w:rPr>
        <w:t>.</w:t>
      </w:r>
      <w:bookmarkEnd w:id="52"/>
    </w:p>
    <w:p w14:paraId="45BA9425" w14:textId="17CB7586" w:rsidR="0072455D" w:rsidRDefault="002C7841" w:rsidP="002C7841">
      <w:pPr>
        <w:pStyle w:val="BUMainText"/>
        <w:ind w:firstLine="720"/>
      </w:pPr>
      <w:r>
        <w:t>Mice treated with the Dexa doses that were reported to induce muscle atrophy in rats did not exhibit significant muscle loss based on muscle dissection and</w:t>
      </w:r>
      <w:r>
        <w:t xml:space="preserve"> </w:t>
      </w:r>
      <w:r>
        <w:t>NMR (data not shown). Higher doses of Dexa were used. Effect size on wet muscle weight became stronger than experimental error at a dose of 10 mg/(kg d) Dexa. In contrast, Testo doses that could reverse GAML were found to be similar to those effective in rats (28 mg/(kg d)).</w:t>
      </w:r>
    </w:p>
    <w:p w14:paraId="37CD6A30" w14:textId="77777777" w:rsidR="002C7841" w:rsidRDefault="002C7841" w:rsidP="007826D2">
      <w:pPr>
        <w:pStyle w:val="BUMainText"/>
        <w:keepNext/>
      </w:pPr>
      <w:r>
        <w:rPr>
          <w:noProof/>
        </w:rPr>
        <w:drawing>
          <wp:inline distT="0" distB="0" distL="0" distR="0" wp14:anchorId="687B307B" wp14:editId="592AC71A">
            <wp:extent cx="54864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dyweightsatsacrifice-1.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29C5CC34" w14:textId="075D6B8D" w:rsidR="002C7841" w:rsidRDefault="002C7841" w:rsidP="002C7841">
      <w:pPr>
        <w:pStyle w:val="Caption"/>
      </w:pPr>
      <w:r>
        <w:t xml:space="preserve">Figure </w:t>
      </w:r>
      <w:fldSimple w:instr=" SEQ Figure \* ARABIC ">
        <w:r>
          <w:rPr>
            <w:noProof/>
          </w:rPr>
          <w:t>2</w:t>
        </w:r>
      </w:fldSimple>
      <w:r w:rsidR="007826D2">
        <w:t>.</w:t>
      </w:r>
      <w:r w:rsidRPr="002C7841">
        <w:t xml:space="preserve"> </w:t>
      </w:r>
      <w:r>
        <w:t>Body weight at sacrifice, following 10 mg/(kg d) Dexa with / without</w:t>
      </w:r>
      <w:r>
        <w:t xml:space="preserve"> </w:t>
      </w:r>
      <w:r>
        <w:t>28 mg/(kg d) Testo treatments. Treatments designated by the same letter do not differ significantly from each other (n=5-6).</w:t>
      </w:r>
    </w:p>
    <w:p w14:paraId="69135DDD" w14:textId="77777777" w:rsidR="007826D2" w:rsidRDefault="007826D2" w:rsidP="007826D2">
      <w:pPr>
        <w:pStyle w:val="BUMainText"/>
        <w:ind w:firstLine="720"/>
      </w:pPr>
      <w:r>
        <w:t>Upon finding the Dexa dose effective in inducing muscle atrophy, I analyzed the body weight at sacrifice. There was no difference between groups in terms of absolute weight, due to the large variability of the initial body weight</w:t>
      </w:r>
      <w:r>
        <w:t xml:space="preserve"> </w:t>
      </w:r>
      <w:r>
        <w:t>(Kruskal-Wallis p = 0.777) (Fig. 2, right). The difference became apparent when percent change in body weight was compared (Fig.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r>
        <w:t xml:space="preserve">. </w:t>
      </w:r>
      <w:r>
        <w:t>Once this artifact is taken into account, the gain of a negligible 0.0333 grams per day in the Dexa-treated group is in fact indicative of an actual massive loss of body weight.</w:t>
      </w:r>
    </w:p>
    <w:p w14:paraId="01068589" w14:textId="5331A77D" w:rsidR="007826D2" w:rsidRDefault="007826D2" w:rsidP="007826D2">
      <w:pPr>
        <w:pStyle w:val="BUMainText"/>
        <w:ind w:firstLine="720"/>
      </w:pPr>
      <w:r>
        <w:t xml:space="preserve">Seven-day weight gain in Dexa-treated group (1.05 ± 1.14% of initial body weight) was significantly smaller than that of the vehicle-treated group (6.12 ±0.879%; Dunn’s test p = 0.0447). Conversely, co-administration of Testo, hereafter and in plots abbreviated Comb, brought back the body weight gain over seven days to levels similar to those in vehicle-treated animals (8.62 ± 0.674%; Dunn’s test vs. Dexa alone, p = </w:t>
      </w:r>
      <w:r>
        <w:t>0</w:t>
      </w:r>
      <w:r>
        <w:t>.00167).</w:t>
      </w:r>
    </w:p>
    <w:p w14:paraId="294123EA" w14:textId="5663840D" w:rsidR="007826D2" w:rsidRDefault="007826D2" w:rsidP="007826D2">
      <w:pPr>
        <w:pStyle w:val="BUMainText"/>
        <w:ind w:firstLine="720"/>
      </w:pPr>
      <w:r>
        <w:t>The time course of body weight changes suggested that both drugs’ action had a rapid onset (Fig. 3; Kruskal-Wallis for first day percent change in body weight, p</w:t>
      </w:r>
      <w:r>
        <w:t xml:space="preserve"> </w:t>
      </w:r>
      <w:r>
        <w:t>= 0.0239). Specifically, mice receiving vehicle alone gained 2.28 ± 0.485% body weight in the 24 hours, due to accretion of nonresorbable vehicle. In contrast, mice receiving Dexa lost 1.86 ± 0.485% body weight (Dunn’s test p = 0.0387). Mice receiving a combination of Dexa and Testo were essentially indistinguishable from those receiving vehicle alone, having gained 2.61 ± 0.767% body weight. This demonstrated an advantage of the combination treatment over Dexa alone</w:t>
      </w:r>
      <w:r>
        <w:t xml:space="preserve"> </w:t>
      </w:r>
      <w:r>
        <w:t>(Dunn’s test p = 0.0213).</w:t>
      </w:r>
    </w:p>
    <w:p w14:paraId="507FAF48" w14:textId="42CDCB80" w:rsidR="007826D2" w:rsidRDefault="007826D2" w:rsidP="007826D2">
      <w:pPr>
        <w:pStyle w:val="BUMainText"/>
        <w:ind w:firstLine="720"/>
      </w:pPr>
      <w:r>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w:t>
      </w:r>
      <w:r>
        <w:t xml:space="preserve">s </w:t>
      </w:r>
      <w:r>
        <w:t>(body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Dexa with / without Testo, or comparisons of the 1, 3, and 7 day samples.</w:t>
      </w:r>
    </w:p>
    <w:p w14:paraId="003D717E" w14:textId="102371FA" w:rsidR="007826D2" w:rsidRDefault="007826D2" w:rsidP="007826D2">
      <w:pPr>
        <w:pStyle w:val="BUMainText"/>
        <w:ind w:firstLine="720"/>
      </w:pPr>
      <w:r>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w:t>
      </w:r>
      <w:r>
        <w:t xml:space="preserve"> </w:t>
      </w:r>
      <w:r>
        <w:t>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15201E30" w14:textId="00CEDF5D" w:rsidR="007826D2" w:rsidRDefault="007826D2" w:rsidP="007826D2">
      <w:pPr>
        <w:pStyle w:val="BUMainText"/>
        <w:ind w:firstLine="720"/>
      </w:pPr>
      <w:r>
        <w:t>Ampler changes were induced by the two drugs on lean body mass (Fig. 4, bottom; Kruskal-Wallis for seven day lost lean mass, p = 0.000811). Vehicle alone has no effect on lean body mass (0.327 ± 0.203 grams lost over seven days, that is,</w:t>
      </w:r>
      <w:r>
        <w:t xml:space="preserve"> </w:t>
      </w:r>
      <w:r>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160948E1" w14:textId="278A388E" w:rsidR="007826D2" w:rsidRDefault="007826D2" w:rsidP="007826D2">
      <w:pPr>
        <w:pStyle w:val="BUMainText"/>
        <w:ind w:firstLine="720"/>
      </w:pPr>
      <w:r>
        <w:t>The loss of lean body mass induced by Dexa was apparent even in the 3-day experiment (1.45 ± 0.152 grams lost over three days; Dunn’s test vs. vehicle, p =</w:t>
      </w:r>
      <w:r>
        <w:t xml:space="preserve"> </w:t>
      </w:r>
      <w:r>
        <w:t>0.00961). Interestingly, in that experiment, Testo protective effect was very small and not statistically significant (1.28 ± 0.369 grams lost over three days; Dunn’s test vs. Dexa, p = 0.675).</w:t>
      </w:r>
    </w:p>
    <w:p w14:paraId="7D3D8F17" w14:textId="77777777" w:rsidR="007826D2" w:rsidRDefault="007826D2" w:rsidP="007826D2">
      <w:pPr>
        <w:pStyle w:val="BUMainText"/>
        <w:ind w:firstLine="720"/>
      </w:pPr>
      <w:r>
        <w:t>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p>
    <w:p w14:paraId="153B0C78" w14:textId="77777777" w:rsidR="007826D2" w:rsidRDefault="007826D2" w:rsidP="007826D2">
      <w:pPr>
        <w:pStyle w:val="BUMainText"/>
        <w:ind w:firstLine="720"/>
      </w:pPr>
      <w:r>
        <w:t>Upon Testo co-administration, four out of five muscles measured were exhibited a trend towards restoration to their basal weight (Fig. 5). The amplitude of restorative response to Testo co-administration was strongest in quadriceps (15.2% restoration in muscle weight; Dunn’s test, p = 0.27), followed by levator (10.2% restoration in muscle weight; Dunn’s test, p = 0.134), and gastrocnemiu</w:t>
      </w:r>
      <w:r>
        <w:t xml:space="preserve">s </w:t>
      </w:r>
      <w:r>
        <w:t>(9.07% restoration in muscle weight; Dunn’s test, p = 0.199) appear the most responsive.</w:t>
      </w:r>
    </w:p>
    <w:p w14:paraId="155A13C4" w14:textId="77777777" w:rsidR="007826D2" w:rsidRDefault="007826D2" w:rsidP="007826D2">
      <w:pPr>
        <w:pStyle w:val="BUMainText"/>
        <w:ind w:firstLine="720"/>
      </w:pPr>
      <w:r>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789BAFC6" w14:textId="77777777" w:rsidR="007826D2" w:rsidRDefault="007826D2" w:rsidP="007826D2">
      <w:pPr>
        <w:pStyle w:val="BUMainText"/>
        <w:ind w:firstLine="720"/>
      </w:pPr>
      <w:r>
        <w:t>In conclusion, 10 mg/(kg d) Dexa injection led to rapid onset of muscle</w:t>
      </w:r>
      <w:r>
        <w:t xml:space="preserve"> </w:t>
      </w:r>
      <w:r>
        <w:t>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mg/(kg d) Testo co-administration reduced the loss of muscle throughout the seven days course. While rat experiments have described a series of pathways by which Dexa can achieve muscle atrophy, it was unclear which of them, if any, is reversed by Testo co-administration.</w:t>
      </w:r>
    </w:p>
    <w:p w14:paraId="7AE9EF88" w14:textId="77777777" w:rsidR="007826D2" w:rsidRDefault="007826D2" w:rsidP="007826D2">
      <w:pPr>
        <w:pStyle w:val="BUMainText"/>
        <w:ind w:firstLine="720"/>
      </w:pPr>
      <w:r>
        <w:t>Testosterone reverses glucocorticoid-induced activation of the ubiquitin-proteasome system</w:t>
      </w:r>
    </w:p>
    <w:p w14:paraId="4E69A3E2" w14:textId="77777777" w:rsidR="007826D2" w:rsidRDefault="007826D2" w:rsidP="007826D2">
      <w:pPr>
        <w:pStyle w:val="BUMainText"/>
        <w:ind w:firstLine="720"/>
      </w:pPr>
      <w:r>
        <w:t>The rapid loss of muscle mass induced by Dexa in mice exceeds the rate of protein turnover in normal adult rodent muscle (about 2.5% per day[613]). Therefore, Dexa’s action cannot rely exclusively on translational shutdown. I attempted to establish which protein degradative pathways could be mediating</w:t>
      </w:r>
      <w:r>
        <w:t xml:space="preserve"> </w:t>
      </w:r>
      <w:r>
        <w:t>the atrophic effect of dexamethasone. Experiments on rats suggest that Dexa causes protein degradation by stimulating the proteasome-ubiquitin-related transcriptional program, whereas Testo represses it.</w:t>
      </w:r>
    </w:p>
    <w:p w14:paraId="05E73550" w14:textId="77777777" w:rsidR="007826D2" w:rsidRDefault="007826D2" w:rsidP="007826D2">
      <w:pPr>
        <w:pStyle w:val="BUMainText"/>
        <w:ind w:firstLine="720"/>
      </w:pPr>
      <w:r>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2A858C4B" w14:textId="77777777" w:rsidR="007826D2" w:rsidRDefault="007826D2" w:rsidP="007826D2">
      <w:pPr>
        <w:pStyle w:val="BUMainText"/>
        <w:ind w:firstLine="720"/>
      </w:pPr>
      <w:r>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p=0.0268). Testo repression of MuRF-1 strengthened in the day 7 samples, with transcripts reduced in gastrocnemius (2.11 fold reduction; Dunn’s test, p = 0.116) and in quadriceps (2.13 fold reduction; Dunn’s test, p = 0.0748).</w:t>
      </w:r>
    </w:p>
    <w:p w14:paraId="35E423DD" w14:textId="77777777" w:rsidR="007826D2" w:rsidRDefault="007826D2" w:rsidP="007826D2">
      <w:pPr>
        <w:pStyle w:val="BUMainText"/>
        <w:ind w:firstLine="720"/>
      </w:pPr>
      <w:r>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 MAFbx response was still present to a significant degree (4.32 fold amplification; Dunn’s test, p = 0.113). The effect became insignificant statistically across muscle</w:t>
      </w:r>
      <w:r>
        <w:t xml:space="preserve"> </w:t>
      </w:r>
      <w:r>
        <w:t>groups by the seventh day of Dexa administration.</w:t>
      </w:r>
    </w:p>
    <w:p w14:paraId="59CBF409" w14:textId="77777777" w:rsidR="007826D2" w:rsidRDefault="007826D2" w:rsidP="007826D2">
      <w:pPr>
        <w:pStyle w:val="BUMainText"/>
        <w:ind w:firstLine="720"/>
      </w:pPr>
      <w:r>
        <w:t>Testo co-administration had no statistically significant effect on MAFbx at days 1 and 7. By day 3, MAFbx was repressed by Testo in gastrocnemius (1.34 fold amplification; Dunn’s test, p = 0.616) and in quadriceps (6.29 fold amplification; Dunn’s test, p = 0.0154).</w:t>
      </w:r>
    </w:p>
    <w:p w14:paraId="0C196768" w14:textId="77777777" w:rsidR="007826D2" w:rsidRDefault="007826D2" w:rsidP="007826D2">
      <w:pPr>
        <w:pStyle w:val="BUMainText"/>
        <w:ind w:firstLine="720"/>
      </w:pPr>
      <w:r>
        <w:t>The other component of the ubiquitin-proteasome system is the proteasome itself. In cases where E3 ligases are upregulated, it may be the case that</w:t>
      </w:r>
      <w:r>
        <w:t xml:space="preserve"> </w:t>
      </w:r>
      <w:r>
        <w:t>availability of proteasomes is limiting the ubiquitin-proteasome system. However, in day 3 samples, where atrogene upregulation was at its peak, Dexa upregulated proteasome chymotrypsin-like enzymatic activity in quadriceps (18.7% increase; Dunn’s test, p = 0.157) and triceps (111% increase; Dunn’s test, p = 0.0884; Fig. 7). This component of atrophy was also inhibited by Testo, whose co-administration reduced proteasome activity in quadriceps (24.2% reduction; Dunn’s test, p =</w:t>
      </w:r>
      <w:r>
        <w:t xml:space="preserve"> </w:t>
      </w:r>
      <w:r>
        <w:t>0.435) and triceps (30% reduction; Dunn’s test, p = 0.609) at day 3.</w:t>
      </w:r>
    </w:p>
    <w:p w14:paraId="044B40D7" w14:textId="77777777" w:rsidR="007826D2" w:rsidRDefault="007826D2" w:rsidP="007826D2">
      <w:pPr>
        <w:pStyle w:val="BUMainText"/>
        <w:ind w:firstLine="720"/>
      </w:pPr>
      <w:r>
        <w:t>Overall, the good correlation with the macroscopic loss of muscle suggests that the proteasome-ubiquitin system is an effector of GAML and a target of its alleviation by AAS.</w:t>
      </w:r>
    </w:p>
    <w:p w14:paraId="556FB3D5" w14:textId="77777777" w:rsidR="007826D2" w:rsidRDefault="007826D2" w:rsidP="007826D2">
      <w:pPr>
        <w:pStyle w:val="BUMainText"/>
        <w:ind w:firstLine="720"/>
      </w:pPr>
      <w:r>
        <w:t>Autophagy markers during dexamethasone and testosterone treatments</w:t>
      </w:r>
    </w:p>
    <w:p w14:paraId="1D44971F" w14:textId="7AAF501B" w:rsidR="007826D2" w:rsidRDefault="007826D2" w:rsidP="007826D2">
      <w:pPr>
        <w:pStyle w:val="BUMainText"/>
        <w:ind w:firstLine="720"/>
      </w:pPr>
      <w:r>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t xml:space="preserve"> </w:t>
      </w:r>
      <w:r>
        <w:t>repression is ampler in day 3 samples, with mRNA for beclin / Becn1 reduced</w:t>
      </w:r>
      <w:r>
        <w:t xml:space="preserve"> </w:t>
      </w:r>
      <w:r>
        <w:t>9.81-fold (Dunn’s test, p = 0.0213), cathepsin L / Ctsl reduced 3.89-fold (Dunn’s test, p = 0.304), and LC3 / Map1lc3b reduced 5.61-fold (Dunn’s test, p = 0.359). Across muscle groups and time points, Testo co-administration lacked detectable effect.</w:t>
      </w:r>
    </w:p>
    <w:p w14:paraId="73E4F093" w14:textId="2C929EA7" w:rsidR="007826D2" w:rsidRDefault="007826D2" w:rsidP="007826D2">
      <w:pPr>
        <w:pStyle w:val="BUMainText"/>
        <w:ind w:firstLine="720"/>
      </w:pPr>
      <w:r>
        <w:t>I tested the hypothesis that autophagy mediates protein degradation in GAML</w:t>
      </w:r>
      <w:r>
        <w:t xml:space="preserve"> </w:t>
      </w:r>
      <w:r>
        <w:t>by measuring lysosome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w:t>
      </w:r>
      <w:r>
        <w:t xml:space="preserve"> </w:t>
      </w:r>
      <w:r>
        <w:t>= 0.00107). In day 7 samples, Dexa-induced repression of cathepsin L activity reached 36.3% in gastrocnemius (Dunn’s test, p = 0.00365), 44.4% in triceps (Dunn’s test, p = 0.0486), and 44.9% in quadriceps (Dunn’s test, p = 0.0091). Testo co-administration had no statistically significant effect on cathepsin L enzymatic activity, although a trend of reversal to baseline can be seen in day 1 and 3 samples.</w:t>
      </w:r>
    </w:p>
    <w:p w14:paraId="02EDA688" w14:textId="77777777" w:rsidR="007826D2" w:rsidRDefault="007826D2" w:rsidP="007826D2">
      <w:pPr>
        <w:pStyle w:val="BUMainText"/>
        <w:ind w:firstLine="720"/>
      </w:pPr>
      <w:r>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w:t>
      </w:r>
      <w:r>
        <w:t xml:space="preserve"> </w:t>
      </w:r>
      <w:r>
        <w:t>10). In gastrocnemius at day 7, there was a trend towards enrichment of LC3-II in absolute terms upon Dexa treatment (91.6% increase, when normalized to</w:t>
      </w:r>
      <w:r>
        <w:t xml:space="preserve"> </w:t>
      </w:r>
      <w:r>
        <w:t>GAPDH; Dunn’s test, p = 1). However, LC3-II changes become negligible, when</w:t>
      </w:r>
      <w:r>
        <w:t xml:space="preserve"> </w:t>
      </w:r>
      <w:r>
        <w:t>LC3-II is normalized to its precursor, LC3-I (-0.339% increase; Dunn’s test, p = 1).</w:t>
      </w:r>
    </w:p>
    <w:p w14:paraId="03D9DBEC" w14:textId="721A60EE" w:rsidR="007826D2" w:rsidRDefault="007826D2" w:rsidP="007826D2">
      <w:pPr>
        <w:pStyle w:val="BUMainText"/>
        <w:ind w:firstLine="720"/>
      </w:pPr>
      <w:r>
        <w:t>The trend towards increased absolute LC3-II in gastrocnemius is reversed by a trend towards basal levels upon Testo co-administration (29.8% decrease, when normalized to GAPDH; Dunn’s test, p = 1).</w:t>
      </w:r>
    </w:p>
    <w:p w14:paraId="634C5DCE" w14:textId="77777777" w:rsidR="007826D2" w:rsidRDefault="007826D2" w:rsidP="007826D2">
      <w:pPr>
        <w:pStyle w:val="BUMainText"/>
        <w:ind w:firstLine="720"/>
      </w:pPr>
      <w:r>
        <w:t>Findings like the upregulation of LC3-II may have suggested to other authors that GAML relies on autophagy. However, the overall evidence suggests that GAML is correlated with rampant autophagy downregulation, while AAS</w:t>
      </w:r>
      <w:r>
        <w:t xml:space="preserve"> </w:t>
      </w:r>
      <w:r>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 in this model system.</w:t>
      </w:r>
    </w:p>
    <w:p w14:paraId="7DCC83DF" w14:textId="77777777" w:rsidR="007826D2" w:rsidRDefault="007826D2" w:rsidP="007826D2">
      <w:pPr>
        <w:pStyle w:val="BUMainText"/>
        <w:ind w:firstLine="720"/>
      </w:pPr>
      <w:r>
        <w:t>Protein synthesis modulation during Dexa-induced muscle atrophy</w:t>
      </w:r>
    </w:p>
    <w:p w14:paraId="3EBAAA29" w14:textId="77777777" w:rsidR="007826D2" w:rsidRDefault="007826D2" w:rsidP="007826D2">
      <w:pPr>
        <w:pStyle w:val="BUMainText"/>
        <w:ind w:firstLine="720"/>
      </w:pPr>
      <w:r>
        <w:t>Often, literature reports describe how upregulation of muscle catabolism following Dexa treatments is compounded by repression of protein synthesis. In order to discern putative changes in protein synthesis in this model,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t xml:space="preserve"> </w:t>
      </w:r>
      <w:r>
        <w:t>1; Fig. 12).</w:t>
      </w:r>
      <w:r>
        <w:t xml:space="preserve"> </w:t>
      </w:r>
      <w:r>
        <w:t>Another regulator of proteins synthesis that was shown to play a role in muscle atrophy upon starvation is eIF3f. In levator muscles of mice treated with Dexa, there was no statistically significant change in the levels of eIF3f (Dunn’s test, p = 0.971; Fig. 13).</w:t>
      </w:r>
    </w:p>
    <w:p w14:paraId="45B7DEC0" w14:textId="77777777" w:rsidR="007826D2" w:rsidRDefault="007826D2" w:rsidP="007826D2">
      <w:pPr>
        <w:pStyle w:val="BUMainText"/>
        <w:ind w:firstLine="720"/>
      </w:pPr>
      <w:r>
        <w:t>Finally, Dexa was hypothesized to achieve protein synthesis inhibition by stimulating the negative regulator 4E-BP. In Dexa-treated mice, gastrocnemius</w:t>
      </w:r>
      <w:r>
        <w:t xml:space="preserve"> </w:t>
      </w:r>
      <w:r>
        <w:t>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6AA22E8" w14:textId="77777777" w:rsidR="007826D2" w:rsidRDefault="007826D2" w:rsidP="007826D2">
      <w:pPr>
        <w:pStyle w:val="BUMainText"/>
        <w:ind w:firstLine="720"/>
      </w:pPr>
      <w:r>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w:t>
      </w:r>
      <w:r>
        <w:t xml:space="preserve"> </w:t>
      </w:r>
      <w:r>
        <w:t>and decrease in inactivated 4E-BP suggests an unexpected increase in active</w:t>
      </w:r>
      <w:r>
        <w:t xml:space="preserve"> </w:t>
      </w:r>
      <w:r>
        <w:t>4E-BP, which could have led to reduction in the rate of protein synthesis. The amplitude of Testo-induced changes in 4E-BP is small, and the direction opposite to what would be required to upregulate protein synthesis and facilitate muscle recovery.</w:t>
      </w:r>
    </w:p>
    <w:p w14:paraId="365CF48A" w14:textId="77777777" w:rsidR="007826D2" w:rsidRDefault="007826D2" w:rsidP="007826D2">
      <w:pPr>
        <w:pStyle w:val="BUMainText"/>
        <w:ind w:firstLine="720"/>
      </w:pPr>
      <w:r>
        <w:t>Overall, regulators of protein synthesis appeared largely unchanged by Testo at the 7-day stage of their administration, in this model system.</w:t>
      </w:r>
    </w:p>
    <w:p w14:paraId="5D7253C7" w14:textId="77777777" w:rsidR="007826D2" w:rsidRDefault="007826D2" w:rsidP="007826D2">
      <w:pPr>
        <w:pStyle w:val="BUMainText"/>
        <w:ind w:firstLine="720"/>
      </w:pPr>
      <w:r>
        <w:t>Foxo pathway response to dexamethasone and testosterone</w:t>
      </w:r>
    </w:p>
    <w:p w14:paraId="0C4767D6" w14:textId="77777777" w:rsidR="007826D2" w:rsidRDefault="007826D2" w:rsidP="007826D2">
      <w:pPr>
        <w:pStyle w:val="BUMainText"/>
        <w:ind w:firstLine="720"/>
      </w:pPr>
      <w:r>
        <w:t>Previous studies on C2C12 cultured cells showed that the atrogene response is crucially stimulated by Foxo transcription factors. The review section describes a series of five hypothetical means by which Dexa is thought to stimulate Foxo transcriptional program. Most of them converge on upregulation of Foxo transcripts. I set to test the hypothesis that muscle Foxo expression is modulated by Dexa and Testo in muscle.</w:t>
      </w:r>
    </w:p>
    <w:p w14:paraId="2434340C" w14:textId="77777777" w:rsidR="007826D2" w:rsidRDefault="007826D2" w:rsidP="007826D2">
      <w:pPr>
        <w:pStyle w:val="BUMainText"/>
        <w:ind w:firstLine="720"/>
      </w:pPr>
      <w:r>
        <w:t>In this study, Foxo transcription factors were strongly induced during the early stages of GAML (Fig. 15). In quadriceps at day 1, Foxo3a RNA was 78.1-fold upregulated (Dunn’s test, p = 0.00906). In day 3 samples, Foxo3a activation was less ample (3.17-fold; Dunn’s test, p = 0.0529). In the samples from day 7, Dexa treatment was associated with a non-significant downregulation of Foxo3a (Dunn’s test, p = 0.175).</w:t>
      </w:r>
    </w:p>
    <w:p w14:paraId="4B63E9E5" w14:textId="5D0FF35B" w:rsidR="007826D2" w:rsidRDefault="007826D2" w:rsidP="007826D2">
      <w:pPr>
        <w:pStyle w:val="BUMainText"/>
        <w:ind w:firstLine="720"/>
      </w:pPr>
      <w:r>
        <w:t>In contrast, Testo downregulated Foxo transcription factors at later stages of 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w:t>
      </w:r>
      <w:r>
        <w:t xml:space="preserve"> </w:t>
      </w:r>
      <w:r>
        <w:t>shown).</w:t>
      </w:r>
    </w:p>
    <w:p w14:paraId="459C850A" w14:textId="77777777" w:rsidR="007826D2" w:rsidRDefault="007826D2" w:rsidP="007826D2">
      <w:pPr>
        <w:pStyle w:val="BUMainText"/>
        <w:ind w:firstLine="720"/>
      </w:pPr>
      <w:r>
        <w:t>The changes in Foxo transcription factors were mirrored by similar changes in 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6B9ADC08" w14:textId="77777777" w:rsidR="007826D2" w:rsidRDefault="007826D2" w:rsidP="007826D2">
      <w:pPr>
        <w:pStyle w:val="BUMainText"/>
        <w:ind w:firstLine="720"/>
      </w:pPr>
      <w:r>
        <w:t>Akt pathway response to dexamethasone and testosterone</w:t>
      </w:r>
    </w:p>
    <w:p w14:paraId="7DC9DE24" w14:textId="77777777" w:rsidR="007826D2" w:rsidRDefault="007826D2" w:rsidP="007826D2">
      <w:pPr>
        <w:pStyle w:val="BUMainText"/>
        <w:ind w:firstLine="720"/>
      </w:pPr>
      <w:r>
        <w:t>An alternative way to achieve Foxo modulation is through their neutralization by Akt. As described in the literature review section, activation of Akt is</w:t>
      </w:r>
      <w:r>
        <w:t xml:space="preserve"> </w:t>
      </w:r>
      <w:r>
        <w:t>dependent on its phosphorylation on two residues, Ser 473 and Thr 308, with the former being the most important regulator of Foxo specificity. I therefore investigated the effect of the two steroids on Ser 473 phosphorylation.</w:t>
      </w:r>
    </w:p>
    <w:p w14:paraId="5BF25DA1" w14:textId="77777777" w:rsidR="007826D2" w:rsidRDefault="007826D2" w:rsidP="007826D2">
      <w:pPr>
        <w:pStyle w:val="BUMainText"/>
        <w:ind w:firstLine="720"/>
      </w:pPr>
      <w:r>
        <w:t>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w:t>
      </w:r>
      <w:r>
        <w:t xml:space="preserve"> </w:t>
      </w:r>
      <w:r>
        <w:t>co-administration had no significant effect on phospho-Ser473 Akt in gastrocnemius (0.842% increase, p = 1). Interestingly, in this model system, Testo co-administration repressed phospho-Ser473 in levator ani, an extremely</w:t>
      </w:r>
      <w:r>
        <w:t xml:space="preserve"> </w:t>
      </w:r>
      <w:r>
        <w:t>AAS-sensitive muscle (33.1% decrease; Dunn’s test, p = 0.823).</w:t>
      </w:r>
    </w:p>
    <w:p w14:paraId="27CC72DB" w14:textId="77777777" w:rsidR="007826D2" w:rsidRDefault="007826D2" w:rsidP="007826D2">
      <w:pPr>
        <w:pStyle w:val="BUMainText"/>
        <w:ind w:firstLine="720"/>
      </w:pPr>
      <w:r>
        <w:t>The other relevant phosphorylation on Akt, Thr 308, is controlled by REDD1. I investigated the effects of the two steroids on REDD1 / Ddit4 transcription (fig.</w:t>
      </w:r>
      <w:r>
        <w:t xml:space="preserve"> </w:t>
      </w:r>
      <w:r>
        <w:t>17). Dexa upregulated Redd1 expression in gastrocnemius collected at days 1 (7.48-fold; Dunn’s test, p = 0.0362), 3 (27.8-fold; Dunn’s test, p = 0.0912), and</w:t>
      </w:r>
      <w:r>
        <w:t xml:space="preserve"> 7 </w:t>
      </w:r>
      <w:r>
        <w:t>(2.64-fold; Dunn’s test, p = 0.255). Confirming the rat microarray studies, at day</w:t>
      </w:r>
      <w:r>
        <w:t xml:space="preserve"> </w:t>
      </w:r>
      <w:r>
        <w:t>7, Testo co-administration induced a sizable repression of REDD1 (1.85-fold; Dunn’s test, p = 0.143).</w:t>
      </w:r>
    </w:p>
    <w:p w14:paraId="5E5FC7CA" w14:textId="77777777" w:rsidR="007826D2" w:rsidRDefault="007826D2" w:rsidP="007826D2">
      <w:pPr>
        <w:pStyle w:val="BUMainText"/>
        <w:ind w:firstLine="720"/>
      </w:pPr>
      <w:r>
        <w:t>IGF-I changes during dexamethasone and testosterone administration</w:t>
      </w:r>
    </w:p>
    <w:p w14:paraId="0CF32CE8" w14:textId="1B806E92" w:rsidR="007826D2" w:rsidRDefault="007826D2" w:rsidP="007826D2">
      <w:pPr>
        <w:pStyle w:val="BUMainText"/>
        <w:ind w:firstLine="720"/>
      </w:pPr>
      <w:r>
        <w:t>As explained in the review section, IGF-I was one of the few genes whose expression was changed in opposite ways by Dexa and Testo in rat microarrays. I tested the hypothesis that Dexa and Testo alter IGF-I expression in mice, in vivo (Fig. 18).</w:t>
      </w:r>
    </w:p>
    <w:p w14:paraId="10D7247C" w14:textId="158F064A" w:rsidR="007826D2" w:rsidRDefault="007826D2" w:rsidP="007826D2">
      <w:pPr>
        <w:pStyle w:val="BUMainText"/>
        <w:ind w:firstLine="720"/>
      </w:pPr>
      <w:r>
        <w:t>In gastrocnemius, Dexa downregulated IGF-I expression in samples collected at days 1 (4.35-fold; Dunn’s test, p = 0.0213), 3 (4.03-fold; Dunn’s test, p =</w:t>
      </w:r>
      <w:r>
        <w:t xml:space="preserve"> </w:t>
      </w:r>
      <w:r>
        <w:t>0.0105), and 7 (2.25-fold; Dunn’s test, p = 0.0362). Dexa-induced downregulation of IGF-I was also detected in quadriceps at days 3 (2.87-fold; Dunn’s test, p = 0.0319), and 7 (2.41-fold; Dunn’s test, p = 0.0213).</w:t>
      </w:r>
    </w:p>
    <w:p w14:paraId="3BA00185" w14:textId="77777777" w:rsidR="007826D2" w:rsidRDefault="007826D2" w:rsidP="007826D2">
      <w:pPr>
        <w:pStyle w:val="BUMainText"/>
        <w:ind w:firstLine="720"/>
      </w:pPr>
      <w:r>
        <w:t>Testo reliably reversed this change. In gastrocnemius, Dexa downregulated</w:t>
      </w:r>
      <w:r>
        <w:t xml:space="preserve"> </w:t>
      </w:r>
      <w:r>
        <w:t>IGF-I expression in samples collected at days 1 (2.23-fold; Dunn’s test, p = 0.421),</w:t>
      </w:r>
      <w:r>
        <w:t xml:space="preserve"> </w:t>
      </w:r>
      <w:r>
        <w:t>3 (2.55-fold; Dunn’s test, p = 0.0825), and 7 (1.85-fold; Dunn’s test, p = 0.175). A</w:t>
      </w:r>
      <w:r>
        <w:t xml:space="preserve"> </w:t>
      </w:r>
      <w:r>
        <w:t>similar trend was seen in quadriceps, but the amplitude was smaller, perhaps owing to the fact that Dexa-induced changed in IGF-I were smaller.</w:t>
      </w:r>
    </w:p>
    <w:p w14:paraId="25D993F9" w14:textId="77777777" w:rsidR="007826D2" w:rsidRDefault="007826D2" w:rsidP="007826D2">
      <w:pPr>
        <w:pStyle w:val="BUMainText"/>
        <w:ind w:firstLine="720"/>
      </w:pPr>
      <w:r>
        <w:t>Throughout this section, the molecular correlates of GAML, as found in rats, were confirmed in this novel mouse model. However, few of the effects of Dexa were reversed by Testo, at the resolution of my experimental design. However, among 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27853F02" w14:textId="48E0062B" w:rsidR="007826D2" w:rsidRDefault="007826D2" w:rsidP="007826D2">
      <w:pPr>
        <w:pStyle w:val="BUMainText"/>
        <w:ind w:firstLine="720"/>
      </w:pPr>
      <w:r>
        <w:t>IN VITRO FINDINGS</w:t>
      </w:r>
    </w:p>
    <w:p w14:paraId="17DFEC94" w14:textId="55598453" w:rsidR="007826D2" w:rsidRDefault="007826D2" w:rsidP="007826D2">
      <w:pPr>
        <w:pStyle w:val="BUMainText"/>
        <w:ind w:firstLine="720"/>
      </w:pPr>
      <w:r>
        <w:t>Testosterone alleviates dexamethasone-induced atrophy of cultured cells</w:t>
      </w:r>
    </w:p>
    <w:p w14:paraId="6E0C1770" w14:textId="77777777" w:rsidR="007826D2" w:rsidRDefault="007826D2" w:rsidP="007826D2">
      <w:pPr>
        <w:pStyle w:val="BUMainText"/>
        <w:ind w:firstLine="720"/>
      </w:pPr>
      <w:r>
        <w:t>In mouse explanted myofibers and C2C12 cultured myotubes, muscle atrophy is a cell-autonomous phenomenon, with all its essential manifestations present in vitro. I hypothesized that the muscle protection by Testo could be replicated in C2C12 cells. Indeed, fully differentiated C2C12 myotubes treated for 48 h with</w:t>
      </w:r>
      <w:r>
        <w:t xml:space="preserve"> </w:t>
      </w:r>
      <w:r>
        <w:t>50 µM Dexa lost 8.66% in diameter (Tukey’s HSD, p = 0.000316).</w:t>
      </w:r>
      <w:r>
        <w:t xml:space="preserve"> </w:t>
      </w:r>
      <w:r>
        <w:t>Co-administration of 300 nM Testo re-established basal diameters (Tukey’s HSD</w:t>
      </w:r>
      <w:r>
        <w:t xml:space="preserve"> </w:t>
      </w:r>
      <w:r>
        <w:t>vs. Dexa alone, p = 1.02e-05).</w:t>
      </w:r>
    </w:p>
    <w:p w14:paraId="2BBDFD8A" w14:textId="77777777" w:rsidR="007826D2" w:rsidRDefault="007826D2" w:rsidP="007826D2">
      <w:pPr>
        <w:pStyle w:val="BUMainText"/>
        <w:ind w:firstLine="720"/>
      </w:pPr>
      <w:r>
        <w:t>In another experiment, I tested the ability of Testo to preserve protein content in C2C12 cells. In order to determine the time course of protein content, cells were treated with (A) vehicle, (B) 1 µM Dexa, (C) 1 µM Dexa and 100 nM Testo, or (D)</w:t>
      </w:r>
      <w:r>
        <w:t xml:space="preserve"> </w:t>
      </w:r>
      <w:r>
        <w:t>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3BCCDE98" w14:textId="32B470AC" w:rsidR="007826D2" w:rsidRDefault="007826D2" w:rsidP="007826D2">
      <w:pPr>
        <w:pStyle w:val="BUMainText"/>
        <w:ind w:firstLine="720"/>
      </w:pPr>
      <w:bookmarkStart w:id="53" w:name="_GoBack"/>
      <w:bookmarkEnd w:id="53"/>
      <w:r>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µg/cm2  in the first day, 81.1 µg/cm2  in the second, and</w:t>
      </w:r>
    </w:p>
    <w:p w14:paraId="4BE18F06" w14:textId="660DCABC" w:rsidR="002C7841" w:rsidRDefault="002C7841" w:rsidP="007826D2">
      <w:pPr>
        <w:pStyle w:val="BUMainText"/>
        <w:ind w:firstLine="720"/>
      </w:pPr>
    </w:p>
    <w:p w14:paraId="764A3AAB" w14:textId="77777777" w:rsidR="002C7841" w:rsidRDefault="002C7841" w:rsidP="002C7841">
      <w:pPr>
        <w:pStyle w:val="BUMainText"/>
        <w:ind w:firstLine="720"/>
      </w:pPr>
    </w:p>
    <w:p w14:paraId="18B9B519" w14:textId="77777777" w:rsidR="002C7841" w:rsidRDefault="002C7841" w:rsidP="002C7841">
      <w:pPr>
        <w:pStyle w:val="BUMainText"/>
        <w:ind w:firstLine="720"/>
      </w:pPr>
    </w:p>
    <w:p w14:paraId="2437AA54" w14:textId="77777777" w:rsidR="002C7841" w:rsidRDefault="002C7841" w:rsidP="00C87F94">
      <w:pPr>
        <w:pStyle w:val="BUMainText"/>
      </w:pPr>
    </w:p>
    <w:p w14:paraId="15958457" w14:textId="77777777" w:rsidR="0072455D" w:rsidRDefault="0072455D" w:rsidP="00C87F94">
      <w:pPr>
        <w:pStyle w:val="BUMainText"/>
        <w:sectPr w:rsidR="0072455D" w:rsidSect="003547DD">
          <w:headerReference w:type="default" r:id="rId30"/>
          <w:footerReference w:type="default" r:id="rId31"/>
          <w:headerReference w:type="first" r:id="rId32"/>
          <w:footerReference w:type="first" r:id="rId33"/>
          <w:pgSz w:w="12240" w:h="15840"/>
          <w:pgMar w:top="2160" w:right="1440" w:bottom="1440" w:left="2160" w:header="1440" w:footer="1080" w:gutter="0"/>
          <w:cols w:space="720"/>
          <w:docGrid w:linePitch="360"/>
        </w:sectPr>
      </w:pPr>
    </w:p>
    <w:p w14:paraId="60F21027" w14:textId="10A52FF1" w:rsidR="00C87F94" w:rsidRDefault="00EA4B26" w:rsidP="0072455D">
      <w:pPr>
        <w:pStyle w:val="Heading1"/>
      </w:pPr>
      <w:bookmarkStart w:id="54" w:name="_Toc422957932"/>
      <w:r>
        <w:lastRenderedPageBreak/>
        <w:t>BIBLIOGRAPHY</w:t>
      </w:r>
      <w:bookmarkEnd w:id="54"/>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11ECBAD6" w:rsidR="009727C5" w:rsidRDefault="009727C5" w:rsidP="009727C5">
      <w:pPr>
        <w:pStyle w:val="Heading1"/>
      </w:pPr>
      <w:bookmarkStart w:id="55" w:name="_Toc422957933"/>
      <w:r>
        <w:lastRenderedPageBreak/>
        <w:t>CURRICULUM VITAE</w:t>
      </w:r>
      <w:bookmarkEnd w:id="5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0B31E" w14:textId="77777777" w:rsidR="00C61E21" w:rsidRDefault="00C61E21" w:rsidP="002112A8">
      <w:r>
        <w:separator/>
      </w:r>
    </w:p>
    <w:p w14:paraId="6A4E7937" w14:textId="77777777" w:rsidR="00C61E21" w:rsidRDefault="00C61E21"/>
  </w:endnote>
  <w:endnote w:type="continuationSeparator" w:id="0">
    <w:p w14:paraId="2235EF91" w14:textId="77777777" w:rsidR="00C61E21" w:rsidRDefault="00C61E21" w:rsidP="002112A8">
      <w:r>
        <w:continuationSeparator/>
      </w:r>
    </w:p>
    <w:p w14:paraId="2256DE01" w14:textId="77777777" w:rsidR="00C61E21" w:rsidRDefault="00C61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C61E21" w:rsidRDefault="00C61E21"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C61E21" w:rsidRDefault="00C61E2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CDA07" w14:textId="77777777" w:rsidR="00C61E21" w:rsidRDefault="00C61E2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C61E21" w:rsidRDefault="00C61E2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C61E21" w:rsidRDefault="00C61E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C61E21" w:rsidRPr="000A05E4" w:rsidRDefault="00C61E21"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7826D2">
      <w:rPr>
        <w:rStyle w:val="PageNumber"/>
        <w:rFonts w:ascii="Times New Roman" w:hAnsi="Times New Roman" w:cs="Times New Roman"/>
        <w:noProof/>
      </w:rPr>
      <w:t>xix</w:t>
    </w:r>
    <w:r w:rsidRPr="000A05E4">
      <w:rPr>
        <w:rStyle w:val="PageNumber"/>
        <w:rFonts w:ascii="Times New Roman" w:hAnsi="Times New Roman" w:cs="Times New Roman"/>
      </w:rPr>
      <w:fldChar w:fldCharType="end"/>
    </w:r>
  </w:p>
  <w:p w14:paraId="590ADF32" w14:textId="77777777" w:rsidR="00C61E21" w:rsidRDefault="00C61E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F06B5" w14:textId="77777777" w:rsidR="00C61E21" w:rsidRDefault="00C61E2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19B73" w14:textId="77777777" w:rsidR="00C61E21" w:rsidRDefault="00C61E2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CF668" w14:textId="77777777" w:rsidR="00C61E21" w:rsidRDefault="00C61E2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5CCB4" w14:textId="77777777" w:rsidR="00C61E21" w:rsidRDefault="00C61E2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493E" w14:textId="77777777" w:rsidR="00C61E21" w:rsidRDefault="00C61E2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F51DC" w14:textId="77777777" w:rsidR="00C61E21" w:rsidRDefault="00C61E2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AEEC" w14:textId="77777777" w:rsidR="00C61E21" w:rsidRDefault="00C61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3E61" w14:textId="77777777" w:rsidR="00C61E21" w:rsidRDefault="00C61E21" w:rsidP="002112A8">
      <w:r>
        <w:separator/>
      </w:r>
    </w:p>
    <w:p w14:paraId="0BAE4A37" w14:textId="77777777" w:rsidR="00C61E21" w:rsidRDefault="00C61E21"/>
  </w:footnote>
  <w:footnote w:type="continuationSeparator" w:id="0">
    <w:p w14:paraId="5CB5219E" w14:textId="77777777" w:rsidR="00C61E21" w:rsidRDefault="00C61E21" w:rsidP="002112A8">
      <w:r>
        <w:continuationSeparator/>
      </w:r>
    </w:p>
    <w:p w14:paraId="7AAB0141" w14:textId="77777777" w:rsidR="00C61E21" w:rsidRDefault="00C61E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C61E21" w:rsidRDefault="00C61E21"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C61E21" w:rsidRDefault="00C61E21" w:rsidP="00C87F94">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44454" w14:textId="77777777" w:rsidR="00C61E21" w:rsidRDefault="00C61E21"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4E09D4" w14:textId="77777777" w:rsidR="00C61E21" w:rsidRDefault="00C61E21" w:rsidP="00C87F94">
    <w:pPr>
      <w:pStyle w:val="Header"/>
      <w:ind w:right="36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C61E21" w:rsidRPr="000A05E4" w:rsidRDefault="00C61E21"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7826D2">
      <w:rPr>
        <w:rStyle w:val="PageNumber"/>
        <w:rFonts w:ascii="Times New Roman" w:hAnsi="Times New Roman" w:cs="Times New Roman"/>
        <w:noProof/>
      </w:rPr>
      <w:t>143</w:t>
    </w:r>
    <w:r w:rsidRPr="000A05E4">
      <w:rPr>
        <w:rStyle w:val="PageNumber"/>
        <w:rFonts w:ascii="Times New Roman" w:hAnsi="Times New Roman" w:cs="Times New Roman"/>
      </w:rPr>
      <w:fldChar w:fldCharType="end"/>
    </w:r>
  </w:p>
  <w:p w14:paraId="1BCBD2C9" w14:textId="77777777" w:rsidR="00C61E21" w:rsidRDefault="00C61E21" w:rsidP="00C87F94">
    <w:pPr>
      <w:pStyle w:val="Header"/>
      <w:ind w:right="36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C61E21" w:rsidRDefault="00C61E21"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C61E21" w:rsidRDefault="00C61E21"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C61E21" w:rsidRDefault="00C61E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47A3" w14:textId="77777777" w:rsidR="00C61E21" w:rsidRPr="000A05E4" w:rsidRDefault="00C61E21"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7826D2">
      <w:rPr>
        <w:rStyle w:val="PageNumber"/>
        <w:rFonts w:ascii="Times New Roman" w:hAnsi="Times New Roman" w:cs="Times New Roman"/>
        <w:noProof/>
      </w:rPr>
      <w:t>40</w:t>
    </w:r>
    <w:r w:rsidRPr="000A05E4">
      <w:rPr>
        <w:rStyle w:val="PageNumber"/>
        <w:rFonts w:ascii="Times New Roman" w:hAnsi="Times New Roman" w:cs="Times New Roman"/>
      </w:rPr>
      <w:fldChar w:fldCharType="end"/>
    </w:r>
  </w:p>
  <w:p w14:paraId="715112F3" w14:textId="77777777" w:rsidR="00C61E21" w:rsidRDefault="00C61E21"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E9A57" w14:textId="77777777" w:rsidR="00C61E21" w:rsidRDefault="00C61E21"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93B740" w14:textId="77777777" w:rsidR="00C61E21" w:rsidRDefault="00C61E21" w:rsidP="00C87F94">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C807" w14:textId="77777777" w:rsidR="00C61E21" w:rsidRPr="000A05E4" w:rsidRDefault="00C61E21"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7826D2">
      <w:rPr>
        <w:rStyle w:val="PageNumber"/>
        <w:rFonts w:ascii="Times New Roman" w:hAnsi="Times New Roman" w:cs="Times New Roman"/>
        <w:noProof/>
      </w:rPr>
      <w:t>106</w:t>
    </w:r>
    <w:r w:rsidRPr="000A05E4">
      <w:rPr>
        <w:rStyle w:val="PageNumber"/>
        <w:rFonts w:ascii="Times New Roman" w:hAnsi="Times New Roman" w:cs="Times New Roman"/>
      </w:rPr>
      <w:fldChar w:fldCharType="end"/>
    </w:r>
  </w:p>
  <w:p w14:paraId="1DD7A28A" w14:textId="77777777" w:rsidR="00C61E21" w:rsidRDefault="00C61E21" w:rsidP="00C87F94">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108C8" w14:textId="77777777" w:rsidR="00C61E21" w:rsidRDefault="00C61E21"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31ABF37" w14:textId="77777777" w:rsidR="00C61E21" w:rsidRDefault="00C61E21" w:rsidP="00C87F94">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C1E8B" w14:textId="77777777" w:rsidR="00C61E21" w:rsidRPr="000A05E4" w:rsidRDefault="00C61E21"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7826D2">
      <w:rPr>
        <w:rStyle w:val="PageNumber"/>
        <w:rFonts w:ascii="Times New Roman" w:hAnsi="Times New Roman" w:cs="Times New Roman"/>
        <w:noProof/>
      </w:rPr>
      <w:t>109</w:t>
    </w:r>
    <w:r w:rsidRPr="000A05E4">
      <w:rPr>
        <w:rStyle w:val="PageNumber"/>
        <w:rFonts w:ascii="Times New Roman" w:hAnsi="Times New Roman" w:cs="Times New Roman"/>
      </w:rPr>
      <w:fldChar w:fldCharType="end"/>
    </w:r>
  </w:p>
  <w:p w14:paraId="5DCCBCDF" w14:textId="77777777" w:rsidR="00C61E21" w:rsidRDefault="00C61E21" w:rsidP="00C87F94">
    <w:pPr>
      <w:pStyle w:val="Header"/>
      <w:ind w:right="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F2589" w14:textId="77777777" w:rsidR="00C61E21" w:rsidRDefault="00C61E21"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3FD502" w14:textId="77777777" w:rsidR="00C61E21" w:rsidRDefault="00C61E21" w:rsidP="00C87F94">
    <w:pPr>
      <w:pStyle w:val="Header"/>
      <w:ind w:right="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39477" w14:textId="77777777" w:rsidR="00C61E21" w:rsidRPr="000A05E4" w:rsidRDefault="00C61E21"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7826D2">
      <w:rPr>
        <w:rStyle w:val="PageNumber"/>
        <w:rFonts w:ascii="Times New Roman" w:hAnsi="Times New Roman" w:cs="Times New Roman"/>
        <w:noProof/>
      </w:rPr>
      <w:t>126</w:t>
    </w:r>
    <w:r w:rsidRPr="000A05E4">
      <w:rPr>
        <w:rStyle w:val="PageNumber"/>
        <w:rFonts w:ascii="Times New Roman" w:hAnsi="Times New Roman" w:cs="Times New Roman"/>
      </w:rPr>
      <w:fldChar w:fldCharType="end"/>
    </w:r>
  </w:p>
  <w:p w14:paraId="19435C85" w14:textId="77777777" w:rsidR="00C61E21" w:rsidRDefault="00C61E21"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F7AFD"/>
    <w:multiLevelType w:val="hybridMultilevel"/>
    <w:tmpl w:val="17F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332A2"/>
    <w:rsid w:val="000443DC"/>
    <w:rsid w:val="0005175B"/>
    <w:rsid w:val="00052860"/>
    <w:rsid w:val="00074A42"/>
    <w:rsid w:val="000831D6"/>
    <w:rsid w:val="0009126D"/>
    <w:rsid w:val="000A05E4"/>
    <w:rsid w:val="000B2108"/>
    <w:rsid w:val="000C7509"/>
    <w:rsid w:val="000D41D7"/>
    <w:rsid w:val="000F4C00"/>
    <w:rsid w:val="001126FC"/>
    <w:rsid w:val="00132207"/>
    <w:rsid w:val="00194CC5"/>
    <w:rsid w:val="00195D40"/>
    <w:rsid w:val="001A02FD"/>
    <w:rsid w:val="002112A0"/>
    <w:rsid w:val="002112A8"/>
    <w:rsid w:val="00245DB7"/>
    <w:rsid w:val="00277A3B"/>
    <w:rsid w:val="00283331"/>
    <w:rsid w:val="002B6DC5"/>
    <w:rsid w:val="002C2DE9"/>
    <w:rsid w:val="002C7841"/>
    <w:rsid w:val="002F069E"/>
    <w:rsid w:val="00317593"/>
    <w:rsid w:val="003246FA"/>
    <w:rsid w:val="003547DD"/>
    <w:rsid w:val="0037001D"/>
    <w:rsid w:val="003D27EE"/>
    <w:rsid w:val="00404D40"/>
    <w:rsid w:val="004069CF"/>
    <w:rsid w:val="00430710"/>
    <w:rsid w:val="004514EC"/>
    <w:rsid w:val="00456A75"/>
    <w:rsid w:val="00475EB3"/>
    <w:rsid w:val="004809EB"/>
    <w:rsid w:val="004A2827"/>
    <w:rsid w:val="004C665B"/>
    <w:rsid w:val="00542258"/>
    <w:rsid w:val="005868E2"/>
    <w:rsid w:val="005F2A6A"/>
    <w:rsid w:val="006259C5"/>
    <w:rsid w:val="00660784"/>
    <w:rsid w:val="00664179"/>
    <w:rsid w:val="006C767D"/>
    <w:rsid w:val="0072455D"/>
    <w:rsid w:val="007826D2"/>
    <w:rsid w:val="007D7A80"/>
    <w:rsid w:val="007F2F02"/>
    <w:rsid w:val="00831C31"/>
    <w:rsid w:val="00854675"/>
    <w:rsid w:val="00864EEA"/>
    <w:rsid w:val="008A566E"/>
    <w:rsid w:val="008B0B42"/>
    <w:rsid w:val="00925F49"/>
    <w:rsid w:val="00957AE1"/>
    <w:rsid w:val="009727C5"/>
    <w:rsid w:val="00987C65"/>
    <w:rsid w:val="009B2F28"/>
    <w:rsid w:val="009B3E7A"/>
    <w:rsid w:val="009F107A"/>
    <w:rsid w:val="00A16A79"/>
    <w:rsid w:val="00A57155"/>
    <w:rsid w:val="00A77C56"/>
    <w:rsid w:val="00B22DD9"/>
    <w:rsid w:val="00B904AA"/>
    <w:rsid w:val="00BD7A28"/>
    <w:rsid w:val="00C61E21"/>
    <w:rsid w:val="00C87F94"/>
    <w:rsid w:val="00D56384"/>
    <w:rsid w:val="00D760CF"/>
    <w:rsid w:val="00DD7DE1"/>
    <w:rsid w:val="00DE6E79"/>
    <w:rsid w:val="00E111EF"/>
    <w:rsid w:val="00E33A14"/>
    <w:rsid w:val="00EA4B26"/>
    <w:rsid w:val="00EA5BF6"/>
    <w:rsid w:val="00ED3F96"/>
    <w:rsid w:val="00F3373D"/>
    <w:rsid w:val="00F3504A"/>
    <w:rsid w:val="00F55E2B"/>
    <w:rsid w:val="00FB4F38"/>
    <w:rsid w:val="00FC0E7E"/>
    <w:rsid w:val="00FC6EC3"/>
    <w:rsid w:val="00FE328A"/>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28A03E2"/>
  <w15:docId w15:val="{31995E4A-47B5-49F4-B646-65F4AE1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character" w:styleId="Hyperlink">
    <w:name w:val="Hyperlink"/>
    <w:basedOn w:val="DefaultParagraphFont"/>
    <w:uiPriority w:val="99"/>
    <w:unhideWhenUsed/>
    <w:rsid w:val="0004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1.gif"/><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2239F-FE3D-4389-BB3D-DE7F716A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163</Pages>
  <Words>37570</Words>
  <Characters>214151</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251219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 Zafrin</dc:creator>
  <cp:lastModifiedBy>Nicolae Lucian Sandor</cp:lastModifiedBy>
  <cp:revision>12</cp:revision>
  <cp:lastPrinted>2013-09-12T18:27:00Z</cp:lastPrinted>
  <dcterms:created xsi:type="dcterms:W3CDTF">2013-11-05T17:06:00Z</dcterms:created>
  <dcterms:modified xsi:type="dcterms:W3CDTF">2015-06-25T05:39:00Z</dcterms:modified>
</cp:coreProperties>
</file>