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bookmarkStart w:id="0" w:name="_GoBack"/>
      <w:bookmarkEnd w:id="0"/>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1" w:name="_Toc421412235"/>
      <w:r>
        <w:lastRenderedPageBreak/>
        <w:t>Acknowledgments</w:t>
      </w:r>
      <w:bookmarkEnd w:id="1"/>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77777777" w:rsidR="00A60D29" w:rsidRDefault="00D72E45" w:rsidP="00200ACB">
      <w:r>
        <w:t>I am dedicating this work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lastRenderedPageBreak/>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 xml:space="preserve">Major Professor: Monty Montano, PhD, Assistant Professor of </w:t>
      </w:r>
      <w:commentRangeStart w:id="2"/>
      <w:r>
        <w:t>Medicine</w:t>
      </w:r>
      <w:commentRangeEnd w:id="2"/>
      <w:r w:rsidR="00AA3AB7">
        <w:rPr>
          <w:rStyle w:val="CommentReference"/>
        </w:rPr>
        <w:commentReference w:id="2"/>
      </w:r>
    </w:p>
    <w:p w14:paraId="5C6B991C" w14:textId="77777777" w:rsidR="00A60D29" w:rsidRDefault="00D72E45">
      <w:pPr>
        <w:pStyle w:val="Heading1"/>
        <w:ind w:left="10" w:right="514"/>
      </w:pPr>
      <w:bookmarkStart w:id="3" w:name="_Toc421412236"/>
      <w:r>
        <w:t>Abstract</w:t>
      </w:r>
      <w:bookmarkEnd w:id="3"/>
    </w:p>
    <w:p w14:paraId="4C8F2789" w14:textId="7431E6A5" w:rsidR="00AA3AB7" w:rsidRDefault="00AA3AB7" w:rsidP="00AA3AB7">
      <w:commentRangeStart w:id="4"/>
      <w:r>
        <w:t>Glucocorticoids</w:t>
      </w:r>
      <w:commentRangeEnd w:id="4"/>
      <w:r>
        <w:rPr>
          <w:rStyle w:val="CommentReference"/>
        </w:rPr>
        <w:commentReference w:id="4"/>
      </w:r>
      <w:r>
        <w:t xml:space="preserve">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w:t>
      </w:r>
      <w:r>
        <w:lastRenderedPageBreak/>
        <w:t>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5" w:name="_Toc421412237"/>
      <w:r>
        <w:lastRenderedPageBreak/>
        <w:t>Contents</w:t>
      </w:r>
      <w:bookmarkEnd w:id="5"/>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61620A">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61620A">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61620A">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61620A">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61620A">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61620A">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61620A">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61620A">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61620A">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61620A">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61620A">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61620A">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61620A">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61620A">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61620A">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61620A">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61620A">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61620A">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61620A">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61620A">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61620A">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61620A">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61620A">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61620A">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61620A">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61620A">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61620A">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61620A">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61620A">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61620A">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61620A">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61620A">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61620A">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61620A">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61620A">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61620A">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61620A">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61620A">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61620A">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61620A">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61620A">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61620A">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61620A">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61620A">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61620A">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61620A">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61620A">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61620A">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61620A">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61620A">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61620A">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61620A">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61620A">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61620A">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61620A">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61620A">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61620A">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61620A">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61620A">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61620A">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61620A">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61620A">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61620A">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6" w:name="_Toc421412238"/>
      <w:r>
        <w:lastRenderedPageBreak/>
        <w:t>List of Tables</w:t>
      </w:r>
      <w:bookmarkEnd w:id="6"/>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7" w:name="_Toc421412239"/>
      <w:r>
        <w:lastRenderedPageBreak/>
        <w:t>List of Figures</w:t>
      </w:r>
      <w:bookmarkEnd w:id="7"/>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lastRenderedPageBreak/>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8" w:name="_Toc421412240"/>
      <w:r>
        <w:lastRenderedPageBreak/>
        <w:t>Abbreviations</w:t>
      </w:r>
      <w:bookmarkEnd w:id="8"/>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lastRenderedPageBreak/>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lastRenderedPageBreak/>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lastRenderedPageBreak/>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lastRenderedPageBreak/>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lastRenderedPageBreak/>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lastRenderedPageBreak/>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lastRenderedPageBreak/>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10"/>
          <w:headerReference w:type="default" r:id="rId11"/>
          <w:footerReference w:type="even" r:id="rId12"/>
          <w:footerReference w:type="default" r:id="rId13"/>
          <w:headerReference w:type="first" r:id="rId14"/>
          <w:footerReference w:type="first" r:id="rId15"/>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9" w:name="_Toc421412241"/>
      <w:r w:rsidRPr="00B8332B">
        <w:rPr>
          <w:rFonts w:ascii="Times New Roman" w:eastAsiaTheme="majorEastAsia" w:hAnsi="Times New Roman" w:cs="Times New Roman"/>
          <w:bCs/>
          <w:color w:val="auto"/>
          <w:szCs w:val="24"/>
        </w:rPr>
        <w:lastRenderedPageBreak/>
        <w:t>1. CLINICAL QUESTIONS AND EVIDENCE</w:t>
      </w:r>
      <w:bookmarkEnd w:id="9"/>
    </w:p>
    <w:p w14:paraId="0286D6C1" w14:textId="5242C6DB" w:rsidR="00A60D29" w:rsidRDefault="00D72E45">
      <w:pPr>
        <w:pStyle w:val="Heading2"/>
        <w:ind w:left="10"/>
      </w:pPr>
      <w:bookmarkStart w:id="10" w:name="_Toc421412242"/>
      <w:r>
        <w:t>Cushing’s syndrome</w:t>
      </w:r>
      <w:bookmarkEnd w:id="10"/>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commentRangeStart w:id="11"/>
      <w:commentRangeStart w:id="12"/>
      <w:commentRangeStart w:id="13"/>
      <w:r>
        <w:t>Through</w:t>
      </w:r>
      <w:commentRangeEnd w:id="11"/>
      <w:r w:rsidR="005F3D0B">
        <w:rPr>
          <w:rStyle w:val="CommentReference"/>
        </w:rPr>
        <w:commentReference w:id="11"/>
      </w:r>
      <w:commentRangeEnd w:id="12"/>
      <w:r w:rsidR="00AA3AB7">
        <w:rPr>
          <w:rStyle w:val="CommentReference"/>
        </w:rPr>
        <w:commentReference w:id="12"/>
      </w:r>
      <w:commentRangeEnd w:id="13"/>
      <w:r w:rsidR="000B3058">
        <w:rPr>
          <w:rStyle w:val="CommentReference"/>
        </w:rPr>
        <w:commentReference w:id="13"/>
      </w:r>
      <w:r>
        <w:t xml:space="preserve">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 xml:space="preserve">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w:t>
      </w:r>
      <w:r>
        <w:lastRenderedPageBreak/>
        <w:t>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 xml:space="preserve">Today, we know that the truth was more nuanced. Hypersecretion of the adrenal cortex hormones cortisol and / or corticosterone is termed </w:t>
      </w:r>
      <w:r w:rsidRPr="0038065B">
        <w:lastRenderedPageBreak/>
        <w:t>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 xml:space="preserve">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w:t>
      </w:r>
      <w:r w:rsidRPr="0038065B">
        <w:lastRenderedPageBreak/>
        <w:t>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14" w:name="_Toc421412243"/>
      <w:r w:rsidRPr="00200ACB">
        <w:t>Glucocorticoid</w:t>
      </w:r>
      <w:r w:rsidRPr="0038065B">
        <w:t xml:space="preserve"> therapy</w:t>
      </w:r>
      <w:bookmarkEnd w:id="14"/>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w:t>
      </w:r>
      <w:r w:rsidRPr="0038065B">
        <w:lastRenderedPageBreak/>
        <w:t>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 xml:space="preserve">17], a decoy inhibitor for the pro-inflammatory IL-1. In other </w:t>
      </w:r>
      <w:r w:rsidRPr="0038065B">
        <w:lastRenderedPageBreak/>
        <w:t>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 xml:space="preserve">22], thus lowering the price and creating the opportunity for large-scale trials. The Empire Rheumatism Council organized a randomized trial comparing </w:t>
      </w:r>
      <w:r w:rsidRPr="0038065B">
        <w:lastRenderedPageBreak/>
        <w:t>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 xml:space="preserve">30, 31]. Dexa is the most effective and specific therapeutic synthetic GC to date, with 170 times higher ability to inhibit </w:t>
      </w:r>
      <w:r w:rsidRPr="0038065B">
        <w:lastRenderedPageBreak/>
        <w:t>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w:t>
      </w:r>
      <w:r w:rsidRPr="0038065B">
        <w:lastRenderedPageBreak/>
        <w:t>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xml:space="preserve">. The list of Food and Drug Administration (FDA)-approved indications for cortisone, Dexa, and prednisone is often narrowed by additional precautions, and by newly discovered </w:t>
      </w:r>
      <w:r w:rsidRPr="0038065B">
        <w:lastRenderedPageBreak/>
        <w:t>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 xml:space="preserve">60]. Due to their widespread use, GCs are likely to cause covert iatrogenic CS in a large population, impairing muscle </w:t>
      </w:r>
      <w:r w:rsidRPr="0038065B">
        <w:lastRenderedPageBreak/>
        <w:t>mass and quality of life to a certain and understudied degree.</w:t>
      </w:r>
    </w:p>
    <w:p w14:paraId="4EC67E69" w14:textId="77777777" w:rsidR="00A60D29" w:rsidRPr="0038065B" w:rsidRDefault="00D72E45" w:rsidP="00200ACB">
      <w:pPr>
        <w:pStyle w:val="Heading2"/>
      </w:pPr>
      <w:bookmarkStart w:id="15" w:name="_Toc421412244"/>
      <w:r w:rsidRPr="0038065B">
        <w:t>Hypercortisolism-</w:t>
      </w:r>
      <w:r w:rsidRPr="00200ACB">
        <w:t>induced</w:t>
      </w:r>
      <w:r w:rsidRPr="0038065B">
        <w:t xml:space="preserve"> muscle loss</w:t>
      </w:r>
      <w:bookmarkEnd w:id="15"/>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4EC8006" w:rsidR="00A60D29" w:rsidRPr="0038065B" w:rsidRDefault="0075610A" w:rsidP="00200ACB">
      <w:r>
        <w:t>A</w:t>
      </w:r>
      <w:r w:rsidR="00D72E45" w:rsidRPr="0038065B">
        <w:t xml:space="preserve">bout two thirds of 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 xml:space="preserve">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w:t>
      </w:r>
      <w:r w:rsidRPr="0038065B">
        <w:lastRenderedPageBreak/>
        <w:t>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 xml:space="preserve">62]. The incidence of iatrogenic CS is difficult to estimate, because there is no reporting requirement. </w:t>
      </w:r>
      <w:r w:rsidRPr="0038065B">
        <w:lastRenderedPageBreak/>
        <w:t>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6D47FA7A"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w:t>
      </w:r>
      <w:r w:rsidRPr="0038065B">
        <w:lastRenderedPageBreak/>
        <w:t xml:space="preserve">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w:t>
      </w:r>
      <w:r w:rsidR="0075610A">
        <w:t>is typically</w:t>
      </w:r>
      <w:r w:rsidRPr="0038065B">
        <w:t xml:space="preserve"> caused by a reduction in the number of </w:t>
      </w:r>
      <w:r w:rsidR="0075610A">
        <w:t xml:space="preserve">muscle </w:t>
      </w:r>
      <w:r w:rsidRPr="0038065B">
        <w:t>fibers, or by fiber atrophy</w:t>
      </w:r>
      <w:r w:rsidR="00676457" w:rsidRPr="0038065B">
        <w:t xml:space="preserve"> [</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 xml:space="preserve">79, 86]. When GAML </w:t>
      </w:r>
      <w:r w:rsidRPr="0038065B">
        <w:lastRenderedPageBreak/>
        <w:t>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lastRenderedPageBreak/>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commentRangeStart w:id="16"/>
      <w:r w:rsidR="00D72E45" w:rsidRPr="0038065B">
        <w:t>ains</w:t>
      </w:r>
      <w:commentRangeEnd w:id="16"/>
      <w:r w:rsidR="004C3D58">
        <w:rPr>
          <w:rStyle w:val="CommentReference"/>
        </w:rPr>
        <w:commentReference w:id="16"/>
      </w:r>
      <w:r w:rsidR="00D72E45" w:rsidRPr="0038065B">
        <w:t xml:space="preserve">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lastRenderedPageBreak/>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7E9B426D"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commentRangeStart w:id="17"/>
      <w:r w:rsidR="004C3D58">
        <w:t xml:space="preserve"> </w:t>
      </w:r>
      <w:commentRangeEnd w:id="17"/>
      <w:r w:rsidR="004C3D58">
        <w:rPr>
          <w:rStyle w:val="CommentReference"/>
        </w:rPr>
        <w:commentReference w:id="17"/>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human muscle development </w:t>
      </w:r>
      <w:r w:rsidR="004C3D58">
        <w:t xml:space="preserve">in vitro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 xml:space="preserve">kg cortisol infused over </w:t>
      </w:r>
      <w:r w:rsidRPr="0038065B">
        <w:lastRenderedPageBreak/>
        <w:t>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lastRenderedPageBreak/>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 xml:space="preserve">112]. Interestingly, hydroxychloroquine is also </w:t>
      </w:r>
      <w:r w:rsidRPr="0038065B">
        <w:lastRenderedPageBreak/>
        <w:t>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129F996A"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Moreover, this finding was never replicated. Löfberg and colleagues</w:t>
      </w:r>
      <w:r w:rsidR="00676457" w:rsidRPr="0038065B">
        <w:t xml:space="preserve"> [</w:t>
      </w:r>
      <w:r w:rsidRPr="0038065B">
        <w:t xml:space="preserve">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w:t>
      </w:r>
      <w:r w:rsidRPr="0038065B">
        <w:lastRenderedPageBreak/>
        <w:t>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00676457" w:rsidRPr="0038065B">
        <w:lastRenderedPageBreak/>
        <w:t>[</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8" w:name="_Toc421412245"/>
      <w:r w:rsidRPr="00200ACB">
        <w:t>Muscle</w:t>
      </w:r>
      <w:r w:rsidRPr="0038065B">
        <w:t xml:space="preserve"> protection with </w:t>
      </w:r>
      <w:r w:rsidRPr="00200ACB">
        <w:t>androgen</w:t>
      </w:r>
      <w:r w:rsidRPr="0038065B">
        <w:t xml:space="preserve"> therapy</w:t>
      </w:r>
      <w:bookmarkEnd w:id="18"/>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 xml:space="preserve">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w:t>
      </w:r>
      <w:commentRangeStart w:id="19"/>
      <w:commentRangeStart w:id="20"/>
      <w:r w:rsidRPr="0038065B">
        <w:t>mundanely</w:t>
      </w:r>
      <w:commentRangeEnd w:id="19"/>
      <w:r w:rsidR="004C3D58">
        <w:rPr>
          <w:rStyle w:val="CommentReference"/>
        </w:rPr>
        <w:commentReference w:id="19"/>
      </w:r>
      <w:commentRangeEnd w:id="20"/>
      <w:r w:rsidR="00BF16FE">
        <w:rPr>
          <w:rStyle w:val="CommentReference"/>
        </w:rPr>
        <w:commentReference w:id="20"/>
      </w:r>
      <w:r w:rsidRPr="0038065B">
        <w:t>,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 xml:space="preserve">Testis extract benefits received more attention starting around 1889, when </w:t>
      </w:r>
      <w:r w:rsidRPr="0038065B">
        <w:lastRenderedPageBreak/>
        <w:t>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00E260E7">
        <w:rPr>
          <w:rStyle w:val="CommentReference"/>
        </w:rPr>
        <w:commentReference w:id="21"/>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w:t>
      </w:r>
      <w:r w:rsidRPr="0038065B">
        <w:lastRenderedPageBreak/>
        <w:t xml:space="preserve">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 xml:space="preserve">128]. With maintenance of secondary sex </w:t>
      </w:r>
      <w:r w:rsidRPr="0038065B">
        <w:lastRenderedPageBreak/>
        <w:t>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 xml:space="preserve">129]. While ultimately proven correct, the idea that “male hormones” were simultaneously androgenic, anabolic, and ergogenic was based on </w:t>
      </w:r>
      <w:commentRangeStart w:id="22"/>
      <w:r w:rsidRPr="0038065B">
        <w:t>a</w:t>
      </w:r>
      <w:commentRangeEnd w:id="22"/>
      <w:r w:rsidR="00612214">
        <w:rPr>
          <w:rStyle w:val="CommentReference"/>
        </w:rPr>
        <w:commentReference w:id="22"/>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F5C781"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 an doubling in prostate and penis size</w:t>
      </w:r>
      <w:r w:rsidR="00676457" w:rsidRPr="0038065B">
        <w:t xml:space="preserve"> [</w:t>
      </w:r>
      <w:r w:rsidRPr="0038065B">
        <w:t xml:space="preserve">134] after less than two weeks, thus </w:t>
      </w:r>
      <w:r w:rsidRPr="0038065B">
        <w:lastRenderedPageBreak/>
        <w:t>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4EF3834B"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Pr="0038065B">
        <w:t>FDA gives its first approval for 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w:t>
      </w:r>
      <w:r w:rsidRPr="0038065B">
        <w:lastRenderedPageBreak/>
        <w:t xml:space="preserve">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 xml:space="preserve">150]. Similarly, in 1950, the Mayo Clinic team who discovered cortisone remarked that, </w:t>
      </w:r>
      <w:r w:rsidRPr="0038065B">
        <w:lastRenderedPageBreak/>
        <w:t>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w:lastRenderedPageBreak/>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534"/>
                              <w:gridCol w:w="4943"/>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534"/>
                        <w:gridCol w:w="4943"/>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 xml:space="preserve">155]. By the time modern trials with AAS began, the incidence of overt hypercortisolism decreased significantly. Despite a potential epidemic of covert hypercortisolism, with deleterious effects of life quality and expectancy, the interest for studies on hypercortisolism has largely </w:t>
      </w:r>
      <w:r w:rsidRPr="0038065B">
        <w:lastRenderedPageBreak/>
        <w:t>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23" w:name="_Toc421412246"/>
      <w:r w:rsidRPr="0038065B">
        <w:t xml:space="preserve">Hypercortisolism-induced changes in </w:t>
      </w:r>
      <w:r w:rsidRPr="00200ACB">
        <w:t>endogenous</w:t>
      </w:r>
      <w:r w:rsidRPr="0038065B">
        <w:t xml:space="preserve"> androgens levels</w:t>
      </w:r>
      <w:bookmarkEnd w:id="23"/>
    </w:p>
    <w:p w14:paraId="23FBA8B5" w14:textId="77777777" w:rsidR="00A60D29" w:rsidRPr="0038065B" w:rsidRDefault="00D72E45" w:rsidP="00200ACB">
      <w:r w:rsidRPr="0038065B">
        <w:t>AAS therapy does not change circulating cortisol levels</w:t>
      </w:r>
      <w:r w:rsidR="00676457" w:rsidRPr="0038065B">
        <w:t xml:space="preserve"> [</w:t>
      </w:r>
      <w:r w:rsidRPr="0038065B">
        <w:t xml:space="preserve">159]. However, the opposite interaction, where hypercortisolism interferes with endogenous AAS secretion, is a common finding, with a complex physiological basis. The </w:t>
      </w:r>
      <w:r w:rsidRPr="0038065B">
        <w:lastRenderedPageBreak/>
        <w:t>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w:t>
      </w:r>
      <w:r w:rsidRPr="0038065B">
        <w:lastRenderedPageBreak/>
        <w:t>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 xml:space="preserve">This sexual dimorphism differentiates male and female AAS response to </w:t>
      </w:r>
      <w:r w:rsidRPr="0038065B">
        <w:lastRenderedPageBreak/>
        <w:t>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 xml:space="preserve">that GCs interfere with Testo signals in a </w:t>
      </w:r>
      <w:r w:rsidRPr="0038065B">
        <w:lastRenderedPageBreak/>
        <w:t>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 xml:space="preserve">197]. At least in adult males, muscle loss in CS may be aggravated by the reductions in endogenous AAP and AAS. An AAS replacement strategy in hypoandrogenic hypercortisolism appears intuitively </w:t>
      </w:r>
      <w:r w:rsidRPr="0038065B">
        <w:lastRenderedPageBreak/>
        <w:t>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24" w:name="_Toc421412247"/>
      <w:r w:rsidRPr="0038065B">
        <w:t xml:space="preserve">Molecular mechanisms of </w:t>
      </w:r>
      <w:r w:rsidRPr="00200ACB">
        <w:t>androgenic</w:t>
      </w:r>
      <w:r w:rsidRPr="0038065B">
        <w:t xml:space="preserve"> myoprotection in humans</w:t>
      </w:r>
      <w:bookmarkEnd w:id="24"/>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 xml:space="preserve">Typical naturally-occurring male hypogonadism is usually associated with pleiotropic pathology, such as Klinefelter’s syndrome, where deficient androgen synthesis may be complicated by other peripheral defects. For this reason, some </w:t>
      </w:r>
      <w:r w:rsidRPr="0038065B">
        <w:lastRenderedPageBreak/>
        <w:t>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commentRangeStart w:id="25"/>
      <w:r w:rsidR="00141C95">
        <w:t>for AAS</w:t>
      </w:r>
      <w:r w:rsidRPr="0038065B">
        <w:t xml:space="preserve"> </w:t>
      </w:r>
      <w:commentRangeEnd w:id="25"/>
      <w:r w:rsidR="00721AE4">
        <w:rPr>
          <w:rStyle w:val="CommentReference"/>
        </w:rPr>
        <w:commentReference w:id="25"/>
      </w:r>
      <w:r w:rsidRPr="0038065B">
        <w:t>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 xml:space="preserve">209]. No evidence of fiber type switching or fiber type-specific effects in response to AAS </w:t>
      </w:r>
      <w:r w:rsidRPr="0038065B">
        <w:lastRenderedPageBreak/>
        <w:t>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commentRangeStart w:id="26"/>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commentRangeEnd w:id="26"/>
      <w:r w:rsidR="00721AE4">
        <w:rPr>
          <w:rStyle w:val="CommentReference"/>
        </w:rPr>
        <w:commentReference w:id="26"/>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w:t>
      </w:r>
      <w:r w:rsidR="00D72E45" w:rsidRPr="0038065B">
        <w:lastRenderedPageBreak/>
        <w:t>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 xml:space="preserve">216]. In human males, conversion to DHT is not required or T’s regulation of muscle mass. Once more, a more plausible </w:t>
      </w:r>
      <w:commentRangeStart w:id="27"/>
      <w:r w:rsidR="00D72E45" w:rsidRPr="0038065B">
        <w:t>mediator</w:t>
      </w:r>
      <w:commentRangeEnd w:id="27"/>
      <w:r w:rsidR="00CF2C53">
        <w:rPr>
          <w:rStyle w:val="CommentReference"/>
        </w:rPr>
        <w:commentReference w:id="27"/>
      </w:r>
      <w:r w:rsidR="00D72E45" w:rsidRPr="0038065B">
        <w:t xml:space="preserve">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 xml:space="preserve">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w:t>
      </w:r>
      <w:r w:rsidRPr="0038065B">
        <w:lastRenderedPageBreak/>
        <w:t xml:space="preserve">the same study, MAPK protein levels did not appear to be modulated by AAS therapy. </w:t>
      </w:r>
      <w:commentRangeStart w:id="28"/>
      <w:commentRangeStart w:id="29"/>
      <w:r w:rsidRPr="0038065B">
        <w:t>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commentRangeEnd w:id="28"/>
      <w:r w:rsidR="006A097C">
        <w:rPr>
          <w:rStyle w:val="CommentReference"/>
        </w:rPr>
        <w:commentReference w:id="28"/>
      </w:r>
      <w:commentRangeEnd w:id="29"/>
      <w:r w:rsidR="007B1278">
        <w:rPr>
          <w:rStyle w:val="CommentReference"/>
        </w:rPr>
        <w:commentReference w:id="29"/>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 xml:space="preserve">234, 235], which will discourage the use of Testo in heart failure and, in general, in populations at risk. In 2014, FDA required manufacturers to include on Testo labels a warning regarding increased </w:t>
      </w:r>
      <w:r w:rsidRPr="0038065B">
        <w:lastRenderedPageBreak/>
        <w:t>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6"/>
          <w:headerReference w:type="default" r:id="rId17"/>
          <w:footerReference w:type="even" r:id="rId18"/>
          <w:footerReference w:type="default" r:id="rId19"/>
          <w:headerReference w:type="first" r:id="rId20"/>
          <w:footerReference w:type="first" r:id="rId21"/>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30" w:name="_Toc421412248"/>
      <w:r w:rsidRPr="0038065B">
        <w:lastRenderedPageBreak/>
        <w:t>2. BIOLOGICAL PREMISES</w:t>
      </w:r>
      <w:bookmarkEnd w:id="30"/>
    </w:p>
    <w:p w14:paraId="4076F393" w14:textId="77777777" w:rsidR="00A60D29" w:rsidRPr="0038065B" w:rsidRDefault="00D72E45" w:rsidP="00200ACB">
      <w:pPr>
        <w:pStyle w:val="Heading2"/>
      </w:pPr>
      <w:bookmarkStart w:id="31" w:name="_Toc421412249"/>
      <w:r w:rsidRPr="0038065B">
        <w:t xml:space="preserve">Skeletal muscle </w:t>
      </w:r>
      <w:r w:rsidRPr="00200ACB">
        <w:t>histology</w:t>
      </w:r>
      <w:bookmarkEnd w:id="31"/>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695ED3E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923961">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 xml:space="preserve">239]. Intramuscular connective structures carry terminal branches of the nervous, circulatory and lymphatic </w:t>
      </w:r>
      <w:r w:rsidRPr="0038065B">
        <w:lastRenderedPageBreak/>
        <w:t>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4E9AD888"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is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lastRenderedPageBreak/>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00676457" w:rsidRPr="0038065B">
        <w:lastRenderedPageBreak/>
        <w:t>[</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32" w:name="_Toc421412250"/>
      <w:r w:rsidRPr="0038065B">
        <w:t>Pre</w:t>
      </w:r>
      <w:r w:rsidR="002C626A">
        <w:t>-</w:t>
      </w:r>
      <w:r w:rsidRPr="0038065B">
        <w:t xml:space="preserve">adult muscle </w:t>
      </w:r>
      <w:r w:rsidRPr="00200ACB">
        <w:t>development</w:t>
      </w:r>
      <w:bookmarkEnd w:id="32"/>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 xml:space="preserve">Even earlier, de novo muscle development is remarkable for its accretion of new nuclei to the myofiber. Pre-adulthood muscle growth appears reliant on hyperplasia, that is, cell proliferation. Cell proliferation regulators are crucial in </w:t>
      </w:r>
      <w:r w:rsidRPr="0038065B">
        <w:lastRenderedPageBreak/>
        <w:t>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 xml:space="preserve">261]. Subsequent changes include expression of </w:t>
      </w:r>
      <w:r w:rsidRPr="0038065B">
        <w:lastRenderedPageBreak/>
        <w:t>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 xml:space="preserve">270]. Defects in IGF-1R </w:t>
      </w:r>
      <w:r w:rsidRPr="0038065B">
        <w:lastRenderedPageBreak/>
        <w:t>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33" w:name="_Toc421412251"/>
      <w:r w:rsidRPr="0038065B">
        <w:t xml:space="preserve">Physiological </w:t>
      </w:r>
      <w:r w:rsidRPr="00200ACB">
        <w:t>muscle</w:t>
      </w:r>
      <w:r w:rsidRPr="0038065B">
        <w:t xml:space="preserve"> metabolism</w:t>
      </w:r>
      <w:bookmarkEnd w:id="33"/>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 xml:space="preserve">278, 279]). Because its capacity to synthesize fatty acid is negligible, muscle is a consumer and a minor store, but not a generator, of fatty acids. During fast, more than half of infused non-esterified fatty acids (NEFA) are taken up by muscle, with a higher rate of </w:t>
      </w:r>
      <w:r w:rsidRPr="0038065B">
        <w:lastRenderedPageBreak/>
        <w:t>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commentRangeStart w:id="34"/>
      <w:r w:rsidRPr="0038065B">
        <w:t xml:space="preserve"> </w:t>
      </w:r>
      <w:commentRangeEnd w:id="34"/>
      <w:r w:rsidR="003C74DB">
        <w:rPr>
          <w:rStyle w:val="CommentReference"/>
        </w:rPr>
        <w:commentReference w:id="34"/>
      </w:r>
      <w:r w:rsidRPr="0038065B">
        <w:t>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35" w:name="_Toc421412252"/>
      <w:r w:rsidRPr="0038065B">
        <w:t>Adult muscle remodeling</w:t>
      </w:r>
      <w:bookmarkEnd w:id="35"/>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36" w:name="_Toc421412253"/>
      <w:r w:rsidRPr="00200ACB">
        <w:t>Hormonal</w:t>
      </w:r>
      <w:r w:rsidRPr="0038065B">
        <w:t xml:space="preserve"> control of muscle mass</w:t>
      </w:r>
      <w:bookmarkEnd w:id="36"/>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7F32096A"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Pr="0038065B">
        <w:t xml:space="preserve"> </w:t>
      </w:r>
      <w:r w:rsidR="00EA250B" w:rsidRPr="0038065B">
        <w:t>half-maximal</w:t>
      </w:r>
      <w:r w:rsidRPr="0038065B">
        <w:t xml:space="preserve"> effective concentration (EC50)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37" w:name="_Toc421412254"/>
      <w:r w:rsidRPr="0038065B">
        <w:t xml:space="preserve">Interaction of muscle mass and </w:t>
      </w:r>
      <w:r w:rsidRPr="00200ACB">
        <w:t>vascularization</w:t>
      </w:r>
      <w:bookmarkEnd w:id="37"/>
    </w:p>
    <w:p w14:paraId="68922833" w14:textId="77777777"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347].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38" w:name="_Toc421412255"/>
      <w:r w:rsidRPr="0038065B">
        <w:t xml:space="preserve">Control of muscle mass through </w:t>
      </w:r>
      <w:r w:rsidRPr="00200ACB">
        <w:t>innervation</w:t>
      </w:r>
      <w:bookmarkEnd w:id="38"/>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39" w:name="_Toc421412256"/>
      <w:r w:rsidRPr="0038065B">
        <w:t xml:space="preserve">Animal models of </w:t>
      </w:r>
      <w:r w:rsidRPr="00200ACB">
        <w:t>glucocorticoid</w:t>
      </w:r>
      <w:r w:rsidRPr="0038065B">
        <w:t xml:space="preserve"> myopathy</w:t>
      </w:r>
      <w:bookmarkEnd w:id="39"/>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t xml:space="preserve">Dexa on adult (not aged) male rodents, which are the best model from human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40" w:name="_Toc421412257"/>
      <w:r w:rsidRPr="00584C2A">
        <w:t>Glucocorticoid</w:t>
      </w:r>
      <w:r w:rsidRPr="0038065B">
        <w:t xml:space="preserve"> stimulation of ubiquitin-proteasome system</w:t>
      </w:r>
      <w:bookmarkEnd w:id="40"/>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w:t>
      </w:r>
      <w:commentRangeStart w:id="41"/>
      <w:r w:rsidR="006D31A7">
        <w:t xml:space="preserve">and </w:t>
      </w:r>
      <w:r w:rsidR="00976715">
        <w:t xml:space="preserve">a </w:t>
      </w:r>
      <w:r w:rsidR="006D31A7">
        <w:t>regulator of multiple inflammatory genes</w:t>
      </w:r>
      <w:r w:rsidR="00EF721A">
        <w:t xml:space="preserve"> </w:t>
      </w:r>
      <w:r w:rsidR="00EF721A" w:rsidRPr="00EF721A">
        <w:t>(reviewed in [#peterson2008skeletal])</w:t>
      </w:r>
      <w:r w:rsidRPr="0038065B">
        <w:t xml:space="preserve">. </w:t>
      </w:r>
      <w:commentRangeEnd w:id="41"/>
      <w:r w:rsidR="006D31A7">
        <w:rPr>
          <w:rStyle w:val="CommentReference"/>
        </w:rPr>
        <w:commentReference w:id="41"/>
      </w:r>
      <w:r w:rsidRPr="0038065B">
        <w:t>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14:paraId="5A751CFE" w14:textId="77777777" w:rsidR="00A60D29" w:rsidRPr="0038065B" w:rsidRDefault="00D72E45" w:rsidP="00584C2A">
      <w:pPr>
        <w:pStyle w:val="Heading2"/>
      </w:pPr>
      <w:bookmarkStart w:id="42" w:name="_Toc421412258"/>
      <w:r w:rsidRPr="0038065B">
        <w:t xml:space="preserve">Glucocorticoid-induced loss of sensitivity on the IRS - Akt </w:t>
      </w:r>
      <w:r w:rsidRPr="00584C2A">
        <w:t>axis</w:t>
      </w:r>
      <w:bookmarkEnd w:id="42"/>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 xml:space="preserve">400]. Unsurprisingly, observations on basal state muscle frequently failed to identify further repression of Akt by Dexa. Many studies misinterpreted this </w:t>
      </w:r>
      <w:commentRangeStart w:id="43"/>
      <w:commentRangeStart w:id="44"/>
      <w:r w:rsidRPr="0038065B">
        <w:t>failure to detect as an actual absence of effect</w:t>
      </w:r>
      <w:commentRangeEnd w:id="43"/>
      <w:r w:rsidR="006D31A7">
        <w:rPr>
          <w:rStyle w:val="CommentReference"/>
        </w:rPr>
        <w:commentReference w:id="43"/>
      </w:r>
      <w:commentRangeEnd w:id="44"/>
      <w:r w:rsidR="005A6BC5">
        <w:rPr>
          <w:rStyle w:val="CommentReference"/>
        </w:rPr>
        <w:commentReference w:id="44"/>
      </w:r>
      <w:r w:rsidRPr="0038065B">
        <w: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45" w:name="_Toc421412259"/>
      <w:r w:rsidRPr="0038065B">
        <w:t xml:space="preserve">Glucocorticoid </w:t>
      </w:r>
      <w:r w:rsidRPr="00584C2A">
        <w:t>inhibition</w:t>
      </w:r>
      <w:r w:rsidRPr="0038065B">
        <w:t xml:space="preserve"> of mTOR</w:t>
      </w:r>
      <w:bookmarkEnd w:id="4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46" w:name="_Toc421412260"/>
      <w:r w:rsidRPr="0038065B">
        <w:t>Glucocorticoid activation of Foxo transcriptional program</w:t>
      </w:r>
      <w:bookmarkEnd w:id="4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47" w:name="_Toc421412261"/>
      <w:r w:rsidRPr="0038065B">
        <w:t xml:space="preserve">Glucocorticoid activation of </w:t>
      </w:r>
      <w:r w:rsidRPr="00584C2A">
        <w:t>myostatin</w:t>
      </w:r>
      <w:bookmarkEnd w:id="4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 xml:space="preserve">527]. This finding suggests that, in the context of GAML, myostatin may double as a nutrient </w:t>
      </w:r>
      <w:commentRangeStart w:id="48"/>
      <w:r w:rsidRPr="0038065B">
        <w:t>sensor</w:t>
      </w:r>
      <w:commentRangeEnd w:id="48"/>
      <w:r w:rsidR="0003194A">
        <w:rPr>
          <w:rStyle w:val="CommentReference"/>
        </w:rPr>
        <w:commentReference w:id="48"/>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49" w:name="_Toc421412262"/>
      <w:r w:rsidRPr="0038065B">
        <w:t xml:space="preserve">Glucocorticoid </w:t>
      </w:r>
      <w:r w:rsidRPr="00584C2A">
        <w:t>modulation</w:t>
      </w:r>
      <w:r w:rsidRPr="0038065B">
        <w:t xml:space="preserve"> of protein synthesis</w:t>
      </w:r>
      <w:bookmarkEnd w:id="49"/>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50" w:name="_Toc421412263"/>
      <w:r w:rsidRPr="0038065B">
        <w:t xml:space="preserve">The effects of </w:t>
      </w:r>
      <w:r w:rsidRPr="00584C2A">
        <w:t>glucocorticoids</w:t>
      </w:r>
      <w:r w:rsidRPr="0038065B">
        <w:t xml:space="preserve"> on autophagy</w:t>
      </w:r>
      <w:bookmarkEnd w:id="50"/>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51" w:name="_Toc421412264"/>
      <w:r w:rsidRPr="0038065B">
        <w:t xml:space="preserve">Other proteolytic systems </w:t>
      </w:r>
      <w:r w:rsidRPr="00584C2A">
        <w:t>modulated</w:t>
      </w:r>
      <w:r w:rsidRPr="0038065B">
        <w:t xml:space="preserve"> by glucocorticoids</w:t>
      </w:r>
      <w:bookmarkEnd w:id="51"/>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52" w:name="_Toc421412265"/>
      <w:r w:rsidRPr="00584C2A">
        <w:t>Alleviation</w:t>
      </w:r>
      <w:r w:rsidRPr="0038065B">
        <w:t xml:space="preserve"> of glucocorticoid myopathy by IGF-I</w:t>
      </w:r>
      <w:bookmarkEnd w:id="52"/>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14:paraId="64021525" w14:textId="77777777" w:rsidR="00A60D29" w:rsidRPr="0038065B" w:rsidRDefault="00D72E45" w:rsidP="00584C2A">
      <w:pPr>
        <w:pStyle w:val="Heading2"/>
      </w:pPr>
      <w:bookmarkStart w:id="53" w:name="_Toc421412266"/>
      <w:r w:rsidRPr="0038065B">
        <w:t>Alleviation of glucocorticoid myopathy by anabolic steroids</w:t>
      </w:r>
      <w:bookmarkEnd w:id="53"/>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22"/>
          <w:headerReference w:type="default" r:id="rId23"/>
          <w:footerReference w:type="even" r:id="rId24"/>
          <w:footerReference w:type="default" r:id="rId25"/>
          <w:headerReference w:type="first" r:id="rId26"/>
          <w:footerReference w:type="first" r:id="rId27"/>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54" w:name="_Toc421412267"/>
      <w:r w:rsidRPr="0038065B">
        <w:t>3. HYPOTHESES</w:t>
      </w:r>
      <w:bookmarkEnd w:id="54"/>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55" w:name="_Toc421412268"/>
      <w:r>
        <w:t xml:space="preserve">4. </w:t>
      </w:r>
      <w:r w:rsidR="00D72E45" w:rsidRPr="0038065B">
        <w:t>METHODS</w:t>
      </w:r>
      <w:bookmarkEnd w:id="55"/>
    </w:p>
    <w:p w14:paraId="73D68B12" w14:textId="77777777" w:rsidR="00A60D29" w:rsidRPr="0038065B" w:rsidRDefault="00D72E45" w:rsidP="00584C2A">
      <w:pPr>
        <w:pStyle w:val="Heading2"/>
      </w:pPr>
      <w:bookmarkStart w:id="56" w:name="_Toc421412269"/>
      <w:r w:rsidRPr="0038065B">
        <w:t xml:space="preserve">Ethical </w:t>
      </w:r>
      <w:r w:rsidRPr="00584C2A">
        <w:t>considerations</w:t>
      </w:r>
      <w:bookmarkEnd w:id="56"/>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57" w:name="_Toc421412270"/>
      <w:r w:rsidRPr="0038065B">
        <w:t xml:space="preserve">Animal </w:t>
      </w:r>
      <w:r w:rsidRPr="00584C2A">
        <w:t>studies</w:t>
      </w:r>
      <w:bookmarkEnd w:id="57"/>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(Solon, Ohio). Unless specified, chemical reagents used in this 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58" w:name="_Toc421412271"/>
      <w:r w:rsidRPr="00584C2A">
        <w:t>Enzymatic</w:t>
      </w:r>
      <w:r w:rsidRPr="0038065B">
        <w:t xml:space="preserve"> assays</w:t>
      </w:r>
      <w:bookmarkEnd w:id="58"/>
    </w:p>
    <w:p w14:paraId="503DF656" w14:textId="77777777" w:rsidR="00A60D29" w:rsidRPr="0038065B" w:rsidRDefault="00D72E45" w:rsidP="00584C2A">
      <w:r w:rsidRPr="0038065B">
        <w:t>Chymotrypsin-like proteasome enzymatic activity was measured using the 20S Proteasome Activity Assay kit (Chemicon International, Temecula, 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59" w:name="_Toc421412272"/>
      <w:r w:rsidRPr="00584C2A">
        <w:t>Immunoblot</w:t>
      </w:r>
      <w:bookmarkEnd w:id="59"/>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L pepstatin, 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4 ‰ v/v tetramethylethylenediamine. In order to settle and migrate, lysates were 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L BSA and primary antibodies of choice (listed later). Next day, the membranes were washed in TBST, twice briefly and three times with 5 min shaking at room temperature. The washed membranes were then probed by shaking at room 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MF20 hybridoma cells), anti-GAPDH (Pierce), anti-calpain 1 (Abcam), anti-eIF3f (Rockland),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60" w:name="_Toc421412273"/>
      <w:r w:rsidRPr="0038065B">
        <w:t xml:space="preserve">Quantitative real-time </w:t>
      </w:r>
      <w:r w:rsidRPr="00584C2A">
        <w:t>polymerase</w:t>
      </w:r>
      <w:r w:rsidRPr="0038065B">
        <w:t xml:space="preserve"> chain reaction</w:t>
      </w:r>
      <w:bookmarkEnd w:id="60"/>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61" w:name="_Toc421412274"/>
      <w:r w:rsidRPr="0038065B">
        <w:t>Cell culture studies</w:t>
      </w:r>
      <w:bookmarkEnd w:id="61"/>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500 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62" w:name="_Toc421412275"/>
      <w:r w:rsidRPr="0038065B">
        <w:t xml:space="preserve">Immunofluorescence </w:t>
      </w:r>
      <w:r w:rsidRPr="00584C2A">
        <w:t>microscopy</w:t>
      </w:r>
      <w:bookmarkEnd w:id="62"/>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63" w:name="_Toc421412276"/>
      <w:r w:rsidRPr="0038065B">
        <w:t>Measurement of muscle protein synthesis and degradation</w:t>
      </w:r>
      <w:bookmarkEnd w:id="63"/>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64" w:name="_Toc421412277"/>
      <w:r w:rsidRPr="00584C2A">
        <w:t>Statistics</w:t>
      </w:r>
      <w:bookmarkEnd w:id="64"/>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65" w:name="_Toc421412278"/>
      <w:r w:rsidRPr="00584C2A">
        <w:t>Literature</w:t>
      </w:r>
      <w:r w:rsidRPr="0038065B">
        <w:t xml:space="preserve"> review</w:t>
      </w:r>
      <w:bookmarkEnd w:id="65"/>
    </w:p>
    <w:p w14:paraId="33CC2B36" w14:textId="77777777" w:rsidR="00A60D29" w:rsidRDefault="00D72E45" w:rsidP="00584C2A">
      <w:r w:rsidRPr="0038065B">
        <w:t>The introduction section was based on review of all literature indexed by</w:t>
      </w:r>
      <w:r w:rsidR="00A9487B">
        <w:t xml:space="preserve"> </w:t>
      </w:r>
      <w:r w:rsidRPr="0038065B">
        <w:t>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8"/>
          <w:headerReference w:type="default" r:id="rId29"/>
          <w:footerReference w:type="even" r:id="rId30"/>
          <w:footerReference w:type="default" r:id="rId31"/>
          <w:headerReference w:type="first" r:id="rId32"/>
          <w:footerReference w:type="first" r:id="rId33"/>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66" w:name="_Toc421412279"/>
      <w:r w:rsidRPr="0038065B">
        <w:t>5. IN VIVO EXPERIMENTS</w:t>
      </w:r>
      <w:bookmarkEnd w:id="66"/>
    </w:p>
    <w:p w14:paraId="1EA57028" w14:textId="77777777" w:rsidR="00A60D29" w:rsidRPr="0038065B" w:rsidRDefault="00D72E45" w:rsidP="00584C2A">
      <w:pPr>
        <w:pStyle w:val="Heading2"/>
      </w:pPr>
      <w:bookmarkStart w:id="67" w:name="_Toc421412280"/>
      <w:r w:rsidRPr="0038065B">
        <w:t xml:space="preserve">Testosterone reverses dexamethasone-induced </w:t>
      </w:r>
      <w:r w:rsidRPr="00584C2A">
        <w:t>muscle</w:t>
      </w:r>
      <w:r w:rsidRPr="0038065B">
        <w:t xml:space="preserve"> atrophy</w:t>
      </w:r>
      <w:bookmarkEnd w:id="67"/>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Fig. 3, top, last time point). In this case, the three treatments (</w:t>
      </w:r>
      <w:commentRangeStart w:id="68"/>
      <w:commentRangeStart w:id="69"/>
      <w:r w:rsidRPr="0038065B">
        <w:t>vehicle, Dexa, or the combination Dexa + Testo</w:t>
      </w:r>
      <w:commentRangeEnd w:id="68"/>
      <w:r w:rsidR="000001D3">
        <w:rPr>
          <w:rStyle w:val="CommentReference"/>
        </w:rPr>
        <w:commentReference w:id="68"/>
      </w:r>
      <w:commentRangeEnd w:id="69"/>
      <w:r w:rsidR="00B75B50">
        <w:rPr>
          <w:rStyle w:val="CommentReference"/>
        </w:rPr>
        <w:commentReference w:id="69"/>
      </w:r>
      <w:r w:rsidRPr="0038065B">
        <w:t>)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4">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4">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5">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5">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6">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6">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 xml:space="preserve">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w:t>
      </w:r>
      <w:commentRangeStart w:id="70"/>
      <w:commentRangeStart w:id="71"/>
      <w:r w:rsidRPr="0038065B">
        <w:t>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commentRangeEnd w:id="70"/>
      <w:r w:rsidR="000001D3">
        <w:rPr>
          <w:rStyle w:val="CommentReference"/>
        </w:rPr>
        <w:commentReference w:id="70"/>
      </w:r>
      <w:commentRangeEnd w:id="71"/>
      <w:r w:rsidR="00DC2CA7">
        <w:rPr>
          <w:rStyle w:val="CommentReference"/>
        </w:rPr>
        <w:commentReference w:id="71"/>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8">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8">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72" w:name="_Toc421412281"/>
      <w:r w:rsidRPr="0038065B">
        <w:t xml:space="preserve">Testosterone reverses </w:t>
      </w:r>
      <w:r w:rsidRPr="00584C2A">
        <w:t>glucocorticoid</w:t>
      </w:r>
      <w:r w:rsidRPr="0038065B">
        <w:t>-induced activation of the ubiquitin-proteasome system</w:t>
      </w:r>
      <w:bookmarkEnd w:id="72"/>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40">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40">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73" w:name="_Toc421412282"/>
      <w:r w:rsidRPr="0038065B">
        <w:t>Autophagy markers during dexamethasone and testosterone treatments</w:t>
      </w:r>
      <w:bookmarkEnd w:id="73"/>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41">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41">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4">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4">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5">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5">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74" w:name="_Toc421412283"/>
      <w:r w:rsidRPr="0038065B">
        <w:t>Protein synthesis modulation during Dexa-induced muscle atrophy</w:t>
      </w:r>
      <w:bookmarkEnd w:id="74"/>
    </w:p>
    <w:p w14:paraId="7B307171" w14:textId="31CCAC7A" w:rsidR="006B32E1" w:rsidRPr="0038065B" w:rsidRDefault="0003722B" w:rsidP="006B32E1">
      <w:r w:rsidRPr="0003722B">
        <w:t xml:space="preserve">Often, literature reports describe how upregulation of muscle catabolism 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7">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7">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9">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8">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9">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51">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51">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75" w:name="_Toc421412284"/>
      <w:r w:rsidRPr="0038065B">
        <w:t>Foxo pathway response to dexamethasone and testosterone</w:t>
      </w:r>
      <w:bookmarkEnd w:id="75"/>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w:t>
      </w:r>
      <w:commentRangeStart w:id="76"/>
      <w:commentRangeStart w:id="77"/>
      <w:r w:rsidRPr="0038065B">
        <w:t>175</w:t>
      </w:r>
      <w:commentRangeEnd w:id="76"/>
      <w:r w:rsidR="003D75A5">
        <w:rPr>
          <w:rStyle w:val="CommentReference"/>
        </w:rPr>
        <w:commentReference w:id="76"/>
      </w:r>
      <w:commentRangeEnd w:id="77"/>
      <w:r w:rsidR="0003722B">
        <w:rPr>
          <w:rStyle w:val="CommentReference"/>
        </w:rPr>
        <w:commentReference w:id="77"/>
      </w:r>
      <w:r w:rsidRPr="0038065B">
        <w:t>).</w:t>
      </w:r>
    </w:p>
    <w:p w14:paraId="03DE12E3" w14:textId="77777777" w:rsidR="000F6FC1" w:rsidRPr="0038065B" w:rsidRDefault="000F6FC1" w:rsidP="000F6FC1">
      <w:pPr>
        <w:ind w:firstLine="0"/>
      </w:pPr>
      <w:r>
        <w:rPr>
          <w:noProof/>
        </w:rPr>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52">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52">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78" w:name="_Toc421412285"/>
      <w:r w:rsidRPr="0038065B">
        <w:t>Akt pathway response to dexamethasone and testosterone</w:t>
      </w:r>
      <w:bookmarkEnd w:id="78"/>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3">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4">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5">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6">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3">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4">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5">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6">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7">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7">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79" w:name="_Toc421412286"/>
      <w:r w:rsidRPr="0038065B">
        <w:t>IGF-I changes during dexamethasone and testosterone administration</w:t>
      </w:r>
      <w:bookmarkEnd w:id="79"/>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In gastrocnemius, Dexa downregulated IGF-I expression in samples collected 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8">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8">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9"/>
          <w:headerReference w:type="default" r:id="rId60"/>
          <w:footerReference w:type="even" r:id="rId61"/>
          <w:footerReference w:type="default" r:id="rId62"/>
          <w:headerReference w:type="first" r:id="rId63"/>
          <w:footerReference w:type="first" r:id="rId64"/>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5"/>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6"/>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7"/>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8">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5"/>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6"/>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7"/>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8">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In mouse explanted myofibers and C2C12 cultured myotubes, muscle atrophy is a cell-autonomous phenomenon, with all its essential manifestations present in 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9">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9">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In another experiment, I tested the ability of Testo to preserve protein content in C2C12 cells. In order to determine the time course of protein content, 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80" w:name="_Toc421412287"/>
      <w:r w:rsidRPr="0038065B">
        <w:t>Protein synthesis in cultured cells treated with dexamethasone and</w:t>
      </w:r>
      <w:r>
        <w:t xml:space="preserve"> </w:t>
      </w:r>
      <w:r w:rsidRPr="0038065B">
        <w:t>testosterone</w:t>
      </w:r>
      <w:bookmarkEnd w:id="80"/>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70">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71">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70">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71">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point. The amplest difference in translation rate between treatments is in day 4, when, in Dexa cells, protein synthesis rate is higher than in all other conditions (specific activity 10.6% higher than vehicle, and 13.5% higher than the 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81" w:name="_Toc421412288"/>
      <w:r w:rsidRPr="00844C36">
        <w:t>Testosterone</w:t>
      </w:r>
      <w:r w:rsidRPr="0038065B">
        <w:t xml:space="preserve"> prevents protein catabolism upregulation induced by</w:t>
      </w:r>
      <w:r w:rsidR="004B1FB6">
        <w:t xml:space="preserve"> </w:t>
      </w:r>
      <w:r w:rsidRPr="0038065B">
        <w:t>dexamethasone</w:t>
      </w:r>
      <w:bookmarkEnd w:id="81"/>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addition of non-additive data, protein degradation rate was estimated from the 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72">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3">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72">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3">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Overall, Dexa myotube atrophy is correlated with an increase in tracer release, indicating an upregulation of protein degradation. Testo protection of myotubes is correlated with an inhibition of protein degradation.</w:t>
      </w:r>
    </w:p>
    <w:p w14:paraId="40016B05" w14:textId="77777777" w:rsidR="00A60D29" w:rsidRPr="00AE71DF" w:rsidRDefault="00D72E45" w:rsidP="00AE71DF">
      <w:pPr>
        <w:pStyle w:val="Heading2"/>
      </w:pPr>
      <w:bookmarkStart w:id="82" w:name="_Toc421412289"/>
      <w:r w:rsidRPr="00AE71DF">
        <w:t>Mechanisms of androgenic myoprotection in cultured myotubes</w:t>
      </w:r>
      <w:bookmarkEnd w:id="82"/>
      <w:r w:rsidR="00AE71DF" w:rsidRPr="00AE71DF">
        <w:t xml:space="preserve"> </w:t>
      </w:r>
      <w:bookmarkStart w:id="83" w:name="_Toc421412290"/>
      <w:r w:rsidRPr="00AE71DF">
        <w:t>treated with dexamethasone</w:t>
      </w:r>
      <w:bookmarkEnd w:id="83"/>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4">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5">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4">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5">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6"/>
          <w:headerReference w:type="default" r:id="rId77"/>
          <w:footerReference w:type="even" r:id="rId78"/>
          <w:footerReference w:type="default" r:id="rId79"/>
          <w:headerReference w:type="first" r:id="rId80"/>
          <w:footerReference w:type="first" r:id="rId81"/>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84" w:name="_Toc421412291"/>
      <w:r w:rsidRPr="0038065B">
        <w:t>7. DISCUSSION</w:t>
      </w:r>
      <w:bookmarkEnd w:id="84"/>
    </w:p>
    <w:p w14:paraId="349E110E" w14:textId="77777777" w:rsidR="00A60D29" w:rsidRPr="0038065B" w:rsidRDefault="00D72E45" w:rsidP="003B5EED">
      <w:pPr>
        <w:pStyle w:val="Heading2"/>
      </w:pPr>
      <w:bookmarkStart w:id="85" w:name="_Toc421412292"/>
      <w:r w:rsidRPr="0038065B">
        <w:t>Testosterone alleviates dexamethasone-induced muscle atrophy in mice</w:t>
      </w:r>
      <w:bookmarkEnd w:id="85"/>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w:t>
      </w:r>
      <w:commentRangeStart w:id="86"/>
      <w:r w:rsidRPr="0038065B">
        <w:t>myoprotective</w:t>
      </w:r>
      <w:commentRangeEnd w:id="86"/>
      <w:r w:rsidR="003769D4">
        <w:rPr>
          <w:rStyle w:val="CommentReference"/>
        </w:rPr>
        <w:commentReference w:id="86"/>
      </w:r>
      <w:r w:rsidRPr="0038065B">
        <w:t xml:space="preserve"> action of </w:t>
      </w:r>
      <w:commentRangeStart w:id="87"/>
      <w:r w:rsidRPr="0038065B">
        <w:t>Testo</w:t>
      </w:r>
      <w:commentRangeEnd w:id="87"/>
      <w:r w:rsidR="003769D4">
        <w:rPr>
          <w:rStyle w:val="CommentReference"/>
        </w:rPr>
        <w:commentReference w:id="87"/>
      </w:r>
      <w:r w:rsidRPr="0038065B">
        <w:t xml:space="preserve">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body weight (Fig. 3), rather than body weight at sacrifice (Fig. 2), were significantly altered by Dexa</w:t>
      </w:r>
      <w:r w:rsidR="00EA411E">
        <w:t xml:space="preserve"> treatment</w:t>
      </w:r>
      <w:r w:rsidRPr="0038065B">
        <w:t>. No other organ</w:t>
      </w:r>
      <w:r w:rsidR="00EA411E">
        <w:t xml:space="preserve"> </w:t>
      </w:r>
      <w:commentRangeStart w:id="88"/>
      <w:r w:rsidR="007F1F62">
        <w:rPr>
          <w:rStyle w:val="CommentReference"/>
        </w:rPr>
        <w:commentReference w:id="89"/>
      </w:r>
      <w:commentRangeEnd w:id="88"/>
      <w:r w:rsidR="00EA411E">
        <w:rPr>
          <w:rStyle w:val="CommentReference"/>
        </w:rPr>
        <w:commentReference w:id="88"/>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commentRangeStart w:id="90"/>
      <w:r w:rsidR="00843D8C">
        <w:t>Whereas</w:t>
      </w:r>
      <w:commentRangeEnd w:id="90"/>
      <w:r w:rsidR="00843D8C">
        <w:rPr>
          <w:rStyle w:val="CommentReference"/>
        </w:rPr>
        <w:commentReference w:id="90"/>
      </w:r>
      <w:r w:rsidR="00843D8C">
        <w:t xml:space="preserve">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w:t>
      </w:r>
      <w:commentRangeStart w:id="91"/>
      <w:commentRangeStart w:id="92"/>
      <w:r w:rsidR="00514435">
        <w:t>Dex</w:t>
      </w:r>
      <w:r w:rsidR="0088508D">
        <w:t>a</w:t>
      </w:r>
      <w:r w:rsidR="00676457" w:rsidRPr="0038065B">
        <w:t xml:space="preserve"> </w:t>
      </w:r>
      <w:commentRangeEnd w:id="91"/>
      <w:r w:rsidR="00514435">
        <w:rPr>
          <w:rStyle w:val="CommentReference"/>
        </w:rPr>
        <w:commentReference w:id="91"/>
      </w:r>
      <w:commentRangeEnd w:id="92"/>
      <w:r w:rsidR="00170CF3">
        <w:rPr>
          <w:rStyle w:val="CommentReference"/>
        </w:rPr>
        <w:commentReference w:id="92"/>
      </w:r>
      <w:r w:rsidR="00676457" w:rsidRPr="0038065B">
        <w:t>[</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w:t>
      </w:r>
      <w:commentRangeStart w:id="93"/>
      <w:commentRangeStart w:id="94"/>
      <w:r w:rsidRPr="0038065B">
        <w:t xml:space="preserve">Testo </w:t>
      </w:r>
      <w:commentRangeEnd w:id="93"/>
      <w:r w:rsidR="00E72E31">
        <w:rPr>
          <w:rStyle w:val="CommentReference"/>
        </w:rPr>
        <w:commentReference w:id="93"/>
      </w:r>
      <w:commentRangeEnd w:id="94"/>
      <w:r w:rsidR="00170CF3">
        <w:rPr>
          <w:rStyle w:val="CommentReference"/>
        </w:rPr>
        <w:commentReference w:id="94"/>
      </w:r>
      <w:r w:rsidRPr="0038065B">
        <w:t xml:space="preserve">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anabolic stimuli</w:t>
      </w:r>
      <w:r w:rsidR="00BA25D2">
        <w:rPr>
          <w:rStyle w:val="CommentReference"/>
        </w:rPr>
        <w:commentReference w:id="95"/>
      </w:r>
      <w:r w:rsidR="00193FE7">
        <w:t>.</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96" w:name="_Toc421412293"/>
      <w:r w:rsidRPr="00E500D0">
        <w:t>Testosterone’s</w:t>
      </w:r>
      <w:r w:rsidR="00193FE7">
        <w:t xml:space="preserve"> </w:t>
      </w:r>
      <w:r w:rsidRPr="00E500D0">
        <w:t xml:space="preserve">protective action </w:t>
      </w:r>
      <w:r w:rsidR="00E500D0" w:rsidRPr="00E500D0">
        <w:t xml:space="preserve">was driven by </w:t>
      </w:r>
      <w:r w:rsidRPr="00E500D0">
        <w:t xml:space="preserve">the inhibition of the dexamethasone-induced proteasome </w:t>
      </w:r>
      <w:commentRangeStart w:id="97"/>
      <w:r w:rsidRPr="00E500D0">
        <w:t>upregulation</w:t>
      </w:r>
      <w:bookmarkEnd w:id="96"/>
      <w:commentRangeEnd w:id="97"/>
      <w:r w:rsidR="00193FE7">
        <w:rPr>
          <w:rStyle w:val="CommentReference"/>
        </w:rPr>
        <w:commentReference w:id="97"/>
      </w:r>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commentRangeStart w:id="98"/>
      <w:commentRangeStart w:id="99"/>
      <w:r w:rsidR="0008181D">
        <w:t>attenuation</w:t>
      </w:r>
      <w:commentRangeEnd w:id="98"/>
      <w:r w:rsidR="002D0425">
        <w:rPr>
          <w:rStyle w:val="CommentReference"/>
        </w:rPr>
        <w:commentReference w:id="98"/>
      </w:r>
      <w:commentRangeEnd w:id="99"/>
      <w:r w:rsidR="00E200D1">
        <w:rPr>
          <w:rStyle w:val="CommentReference"/>
        </w:rPr>
        <w:commentReference w:id="99"/>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100" w:name="_Toc421412294"/>
      <w:r w:rsidRPr="00904E60">
        <w:t>Molecular mechanisms linking dexamethasone and testosterone to</w:t>
      </w:r>
      <w:r w:rsidR="005618F4" w:rsidRPr="00904E60">
        <w:t xml:space="preserve"> </w:t>
      </w:r>
      <w:r w:rsidRPr="00904E60">
        <w:t>protein metabolism</w:t>
      </w:r>
      <w:bookmarkEnd w:id="10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commentRangeStart w:id="101"/>
      <w:r w:rsidR="00124426">
        <w:t>robust</w:t>
      </w:r>
      <w:r w:rsidR="00124426" w:rsidRPr="0038065B">
        <w:t xml:space="preserve"> </w:t>
      </w:r>
      <w:commentRangeEnd w:id="101"/>
      <w:r w:rsidR="00904E60">
        <w:rPr>
          <w:rStyle w:val="CommentReference"/>
        </w:rPr>
        <w:commentReference w:id="101"/>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commentRangeStart w:id="102"/>
      <w:r w:rsidRPr="0038065B">
        <w:t xml:space="preserve"> </w:t>
      </w:r>
      <w:commentRangeEnd w:id="102"/>
      <w:r w:rsidR="00124426">
        <w:rPr>
          <w:rStyle w:val="CommentReference"/>
        </w:rPr>
        <w:commentReference w:id="102"/>
      </w:r>
      <w:r w:rsidRPr="0038065B">
        <w:t>is accumulation of fat mass, suggestive of whole-body insulin resistance. At the level of muscle, Dexa induces insulin resistance by 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103" w:name="_Toc421412295"/>
      <w:r w:rsidRPr="0038065B">
        <w:t xml:space="preserve">Future </w:t>
      </w:r>
      <w:r w:rsidRPr="005618F4">
        <w:t>directions</w:t>
      </w:r>
      <w:bookmarkEnd w:id="103"/>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104" w:name="_Toc421412296"/>
      <w:r w:rsidRPr="005618F4">
        <w:t>Conclusions</w:t>
      </w:r>
      <w:bookmarkEnd w:id="104"/>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82">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82">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105" w:name="_Toc421412297"/>
      <w:r>
        <w:t>Bibliography</w:t>
      </w:r>
      <w:bookmarkEnd w:id="105"/>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61620A">
        <w:rPr>
          <w:lang w:val="it-IT"/>
        </w:rPr>
        <w:t>[augusto2004</w:t>
      </w:r>
      <w:r>
        <w:rPr>
          <w:lang w:val="it-IT"/>
        </w:rPr>
        <w:t>]</w:t>
      </w:r>
      <w:r w:rsidRPr="0061620A">
        <w:rPr>
          <w:lang w:val="it-IT"/>
        </w:rPr>
        <w:t xml:space="preserve">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 xml:space="preserve">I. G. Brodsky, P. Balagopal, and K. S. Nair. Effects of testosterone replacement on muscle mass and muscle protein synthesis in hypogonadal men–a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 xml:space="preserve">C. Hauser, and P.-O. Hasselgren. Dexamethasone stimulates store-operated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3"/>
          <w:headerReference w:type="default" r:id="rId84"/>
          <w:footerReference w:type="even" r:id="rId85"/>
          <w:footerReference w:type="default" r:id="rId86"/>
          <w:headerReference w:type="first" r:id="rId87"/>
          <w:footerReference w:type="first" r:id="rId88"/>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106" w:name="_Toc421412298"/>
      <w:r>
        <w:t>8. CURRICULUM VITAE</w:t>
      </w:r>
      <w:bookmarkEnd w:id="106"/>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9"/>
      <w:headerReference w:type="default" r:id="rId90"/>
      <w:footerReference w:type="even" r:id="rId91"/>
      <w:footerReference w:type="default" r:id="rId92"/>
      <w:headerReference w:type="first" r:id="rId93"/>
      <w:footerReference w:type="first" r:id="rId94"/>
      <w:pgSz w:w="12240" w:h="15840"/>
      <w:pgMar w:top="1101" w:right="1440" w:bottom="1028" w:left="2429"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uthor" w:initials="A">
    <w:p w14:paraId="1770A1BF" w14:textId="40EB4EE9" w:rsidR="00A4479A" w:rsidRDefault="00A4479A">
      <w:pPr>
        <w:pStyle w:val="CommentText"/>
      </w:pPr>
      <w:r>
        <w:rPr>
          <w:noProof/>
        </w:rPr>
        <w:t xml:space="preserve">After being delisted at </w:t>
      </w:r>
      <w:r>
        <w:rPr>
          <w:rStyle w:val="CommentReference"/>
        </w:rPr>
        <w:annotationRef/>
      </w:r>
      <w:r>
        <w:rPr>
          <w:noProof/>
        </w:rPr>
        <w:t>BUSM, Dr. Bhasin cannot be a major professor there.</w:t>
      </w:r>
    </w:p>
  </w:comment>
  <w:comment w:id="4" w:author="Author" w:initials="A">
    <w:p w14:paraId="0C7C86C2" w14:textId="204A6DA9" w:rsidR="00A4479A" w:rsidRDefault="00A4479A">
      <w:pPr>
        <w:pStyle w:val="CommentText"/>
      </w:pPr>
      <w:r>
        <w:rPr>
          <w:rStyle w:val="CommentReference"/>
        </w:rPr>
        <w:annotationRef/>
      </w:r>
      <w:r>
        <w:rPr>
          <w:noProof/>
        </w:rPr>
        <w:t>Abstract must fit 350-word limit.</w:t>
      </w:r>
    </w:p>
  </w:comment>
  <w:comment w:id="11" w:author="Author" w:initials="A">
    <w:p w14:paraId="66D3A2C3" w14:textId="5D06C1BD" w:rsidR="00A4479A" w:rsidRDefault="00A4479A">
      <w:pPr>
        <w:pStyle w:val="CommentText"/>
      </w:pPr>
      <w:r>
        <w:rPr>
          <w:rStyle w:val="CommentReference"/>
        </w:rPr>
        <w:annotationRef/>
      </w:r>
      <w:r>
        <w:t>Perhaps indicate where you are headed with this entrance…Cushing symptoms of wasting lead to cortisol…Otherwise, takes the reader patience to see the connection – state your goal upfront.</w:t>
      </w:r>
    </w:p>
  </w:comment>
  <w:comment w:id="12" w:author="Author" w:initials="A">
    <w:p w14:paraId="2E33C54B" w14:textId="3F840A3E" w:rsidR="00A4479A" w:rsidRDefault="00A4479A" w:rsidP="000B3058">
      <w:pPr>
        <w:pStyle w:val="CommentText"/>
        <w:ind w:firstLine="0"/>
      </w:pPr>
      <w:r>
        <w:rPr>
          <w:rStyle w:val="CommentReference"/>
        </w:rPr>
        <w:annotationRef/>
      </w:r>
    </w:p>
  </w:comment>
  <w:comment w:id="13" w:author="Author" w:initials="A">
    <w:p w14:paraId="6C58EBFF" w14:textId="500CE68B" w:rsidR="00A4479A" w:rsidRDefault="00A4479A">
      <w:pPr>
        <w:pStyle w:val="CommentText"/>
      </w:pPr>
      <w:r>
        <w:rPr>
          <w:rStyle w:val="CommentReference"/>
        </w:rPr>
        <w:annotationRef/>
      </w:r>
      <w:r>
        <w:t>Added above paragraph</w:t>
      </w:r>
    </w:p>
  </w:comment>
  <w:comment w:id="16" w:author="Author" w:initials="A">
    <w:p w14:paraId="1E624382" w14:textId="7A6C712D" w:rsidR="00A4479A" w:rsidRDefault="00A4479A">
      <w:pPr>
        <w:pStyle w:val="CommentText"/>
      </w:pPr>
      <w:r>
        <w:rPr>
          <w:rStyle w:val="CommentReference"/>
        </w:rPr>
        <w:annotationRef/>
      </w:r>
      <w:r>
        <w:t xml:space="preserve">Introduce FT and ST muscle and their respective roles in strength and endurance, age-dependent loss, etc. </w:t>
      </w:r>
    </w:p>
  </w:comment>
  <w:comment w:id="17" w:author="Author" w:initials="A">
    <w:p w14:paraId="5D13B1F8" w14:textId="16EAC73F" w:rsidR="00A4479A" w:rsidRDefault="00A4479A">
      <w:pPr>
        <w:pStyle w:val="CommentText"/>
      </w:pPr>
      <w:r>
        <w:rPr>
          <w:rStyle w:val="CommentReference"/>
        </w:rPr>
        <w:annotationRef/>
      </w:r>
      <w:r>
        <w:t>??</w:t>
      </w:r>
    </w:p>
  </w:comment>
  <w:comment w:id="19" w:author="Author" w:initials="A">
    <w:p w14:paraId="437ED7E2" w14:textId="75A284DC" w:rsidR="00A4479A" w:rsidRDefault="00A4479A">
      <w:pPr>
        <w:pStyle w:val="CommentText"/>
      </w:pPr>
      <w:r>
        <w:rPr>
          <w:rStyle w:val="CommentReference"/>
        </w:rPr>
        <w:annotationRef/>
      </w:r>
      <w:r>
        <w:t>castration is never mundane, even among non-human animals.</w:t>
      </w:r>
    </w:p>
  </w:comment>
  <w:comment w:id="20" w:author="Author" w:initials="A">
    <w:p w14:paraId="030FD1AB" w14:textId="37FC2BEB" w:rsidR="00A4479A" w:rsidRDefault="00A4479A">
      <w:pPr>
        <w:pStyle w:val="CommentText"/>
      </w:pPr>
      <w:r>
        <w:rPr>
          <w:rStyle w:val="CommentReference"/>
        </w:rPr>
        <w:annotationRef/>
      </w:r>
      <w:r>
        <w:t>It has been common practice with pigs for 6 thousand years. Pork is inedible without castration. I am sure most Boston dogs are neutered too.</w:t>
      </w:r>
    </w:p>
    <w:p w14:paraId="7F619D16" w14:textId="4115D203" w:rsidR="00A4479A" w:rsidRDefault="00A4479A">
      <w:pPr>
        <w:pStyle w:val="CommentText"/>
      </w:pPr>
      <w:r>
        <w:t>It is more mundane to castrate pets than Uranus, the father of gods.</w:t>
      </w:r>
    </w:p>
    <w:p w14:paraId="036563CB" w14:textId="5ED44D2D" w:rsidR="00A4479A" w:rsidRDefault="00A4479A">
      <w:pPr>
        <w:pStyle w:val="CommentText"/>
      </w:pPr>
      <w:r>
        <w:t>I can’t say “more common than omnipresent”.</w:t>
      </w:r>
    </w:p>
  </w:comment>
  <w:comment w:id="21" w:author="Author" w:initials="A">
    <w:p w14:paraId="3F139DF9" w14:textId="135E1677" w:rsidR="00A4479A" w:rsidRDefault="00A4479A">
      <w:pPr>
        <w:pStyle w:val="CommentText"/>
      </w:pPr>
      <w:r>
        <w:rPr>
          <w:rStyle w:val="CommentReference"/>
        </w:rPr>
        <w:annotationRef/>
      </w:r>
      <w:r>
        <w:t>What was that preconception?</w:t>
      </w:r>
    </w:p>
  </w:comment>
  <w:comment w:id="22" w:author="Author" w:initials="A">
    <w:p w14:paraId="4EB6C4F7" w14:textId="79BF5846" w:rsidR="00A4479A" w:rsidRDefault="00A4479A">
      <w:pPr>
        <w:pStyle w:val="CommentText"/>
      </w:pPr>
      <w:r>
        <w:rPr>
          <w:rStyle w:val="CommentReference"/>
        </w:rPr>
        <w:annotationRef/>
      </w:r>
      <w:r>
        <w:t>There was more sexism than science. “Indirect” is too kind to their lot.</w:t>
      </w:r>
    </w:p>
  </w:comment>
  <w:comment w:id="25" w:author="Author" w:initials="A">
    <w:p w14:paraId="0F1E8543" w14:textId="734E28FC" w:rsidR="00A4479A" w:rsidRDefault="00A4479A">
      <w:pPr>
        <w:pStyle w:val="CommentText"/>
      </w:pPr>
      <w:r>
        <w:rPr>
          <w:rStyle w:val="CommentReference"/>
        </w:rPr>
        <w:annotationRef/>
      </w:r>
      <w:r>
        <w:t>??</w:t>
      </w:r>
    </w:p>
  </w:comment>
  <w:comment w:id="26" w:author="Author" w:initials="A">
    <w:p w14:paraId="21433071" w14:textId="656BFC55" w:rsidR="00A4479A" w:rsidRDefault="00A4479A">
      <w:pPr>
        <w:pStyle w:val="CommentText"/>
      </w:pPr>
      <w:r>
        <w:rPr>
          <w:rStyle w:val="CommentReference"/>
        </w:rPr>
        <w:annotationRef/>
      </w:r>
      <w:r>
        <w:t>Explain why this is interesting</w:t>
      </w:r>
    </w:p>
  </w:comment>
  <w:comment w:id="27" w:author="Author" w:initials="A">
    <w:p w14:paraId="01BF92D3" w14:textId="60FE9C6F" w:rsidR="00A4479A" w:rsidRDefault="00A4479A">
      <w:pPr>
        <w:pStyle w:val="CommentText"/>
      </w:pPr>
      <w:r>
        <w:rPr>
          <w:rStyle w:val="CommentReference"/>
        </w:rPr>
        <w:annotationRef/>
      </w:r>
      <w:r>
        <w:t>Either “mediator of AAS” or “driver of AAS-induce myoprotection”. The latter is more of a mouthful.</w:t>
      </w:r>
    </w:p>
  </w:comment>
  <w:comment w:id="28" w:author="Author" w:initials="A">
    <w:p w14:paraId="17EF48F8" w14:textId="1FDF9169" w:rsidR="00A4479A" w:rsidRDefault="00A4479A">
      <w:pPr>
        <w:pStyle w:val="CommentText"/>
      </w:pPr>
      <w:r>
        <w:rPr>
          <w:rStyle w:val="CommentReference"/>
        </w:rPr>
        <w:annotationRef/>
      </w:r>
      <w:r>
        <w:t>Is the failure technical or biological – should explain</w:t>
      </w:r>
    </w:p>
  </w:comment>
  <w:comment w:id="29" w:author="Author" w:initials="A">
    <w:p w14:paraId="141F51D6" w14:textId="77777777" w:rsidR="00A4479A" w:rsidRDefault="00A4479A">
      <w:pPr>
        <w:pStyle w:val="CommentText"/>
      </w:pPr>
      <w:r>
        <w:rPr>
          <w:rStyle w:val="CommentReference"/>
        </w:rPr>
        <w:annotationRef/>
      </w:r>
      <w:r>
        <w:t>I can’t tell.</w:t>
      </w:r>
    </w:p>
    <w:p w14:paraId="1D0128CA" w14:textId="35778A64" w:rsidR="00A4479A" w:rsidRDefault="00A4479A">
      <w:pPr>
        <w:pStyle w:val="CommentText"/>
      </w:pPr>
      <w:r>
        <w:t>The study mixed rapidly losing weight men and long-term skinny men. In theory, the latter should be easier to recruit, and would have had a long time to adjust their myostatin / atrogenes to basal levels. So for them, T has nothing to repress.</w:t>
      </w:r>
    </w:p>
    <w:p w14:paraId="04CFCB9D" w14:textId="77777777" w:rsidR="000E7DAA" w:rsidRDefault="000E7DAA">
      <w:pPr>
        <w:pStyle w:val="CommentText"/>
      </w:pPr>
      <w:r>
        <w:t>So it may be biological, but only if the sample included lots of chronically emaciated men.</w:t>
      </w:r>
    </w:p>
    <w:p w14:paraId="479A50A3" w14:textId="32C305A7" w:rsidR="00A4479A" w:rsidRDefault="00A4479A">
      <w:pPr>
        <w:pStyle w:val="CommentText"/>
      </w:pPr>
      <w:r>
        <w:t>That’s too many levels of speculation.</w:t>
      </w:r>
    </w:p>
  </w:comment>
  <w:comment w:id="34" w:author="Author" w:initials="A">
    <w:p w14:paraId="02CEF747" w14:textId="34004B1D" w:rsidR="00A4479A" w:rsidRDefault="00A4479A">
      <w:pPr>
        <w:pStyle w:val="CommentText"/>
      </w:pPr>
      <w:r>
        <w:rPr>
          <w:rStyle w:val="CommentReference"/>
        </w:rPr>
        <w:annotationRef/>
      </w:r>
      <w:r>
        <w:t>?</w:t>
      </w:r>
    </w:p>
  </w:comment>
  <w:comment w:id="41" w:author="Author" w:initials="A">
    <w:p w14:paraId="667D5C1A" w14:textId="30B75FEA" w:rsidR="00A4479A" w:rsidRDefault="00A4479A">
      <w:pPr>
        <w:pStyle w:val="CommentText"/>
      </w:pPr>
      <w:r>
        <w:rPr>
          <w:rStyle w:val="CommentReference"/>
        </w:rPr>
        <w:annotationRef/>
      </w:r>
      <w:r>
        <w:t>Probably shouldn’t limit to role in cancer cachexia.</w:t>
      </w:r>
    </w:p>
  </w:comment>
  <w:comment w:id="43" w:author="Author" w:initials="A">
    <w:p w14:paraId="24A1A645" w14:textId="20367589" w:rsidR="00A4479A" w:rsidRDefault="00A4479A">
      <w:pPr>
        <w:pStyle w:val="CommentText"/>
      </w:pPr>
      <w:r>
        <w:rPr>
          <w:rStyle w:val="CommentReference"/>
        </w:rPr>
        <w:annotationRef/>
      </w:r>
      <w:r>
        <w:t>Perhaps introduce the concept of “threshold” effects.</w:t>
      </w:r>
    </w:p>
  </w:comment>
  <w:comment w:id="44" w:author="Author" w:initials="A">
    <w:p w14:paraId="25D2D7B8" w14:textId="1AB411A0" w:rsidR="00A4479A" w:rsidRDefault="00A4479A">
      <w:pPr>
        <w:pStyle w:val="CommentText"/>
        <w:rPr>
          <w:rStyle w:val="CommentReference"/>
        </w:rPr>
      </w:pPr>
      <w:r>
        <w:rPr>
          <w:rStyle w:val="CommentReference"/>
        </w:rPr>
        <w:annotationRef/>
      </w:r>
      <w:r>
        <w:rPr>
          <w:rStyle w:val="CommentReference"/>
        </w:rPr>
        <w:t>I might misunderstand, but I though threshold effect are seen when one stimulates, for example, a neuron. A few millivolts do nothing, but 20 mV suddenly open channels. The neuron becomes activated, lets lots of ion pass, stimulates neighboring membrane and then connected cells etc. It is “all or nothing”.</w:t>
      </w:r>
    </w:p>
    <w:p w14:paraId="5ADAAB38" w14:textId="78B99736" w:rsidR="00A4479A" w:rsidRDefault="00A4479A">
      <w:pPr>
        <w:pStyle w:val="CommentText"/>
        <w:rPr>
          <w:rStyle w:val="CommentReference"/>
        </w:rPr>
      </w:pPr>
      <w:r>
        <w:rPr>
          <w:rStyle w:val="CommentReference"/>
        </w:rPr>
        <w:t>Here, Akt is always repressed by Dexa. Whether one sees that or not is an artifact of what antibody she uses, how much, what was the interval between feeding and sacrifice etc. Starved mice have very little active Akt to begin with, so there is less or Dexa to inhibit, but it is not an “all or nothing”.</w:t>
      </w:r>
    </w:p>
    <w:p w14:paraId="65E3CF14" w14:textId="3C987949" w:rsidR="00A4479A" w:rsidRDefault="00A4479A">
      <w:pPr>
        <w:pStyle w:val="CommentText"/>
      </w:pPr>
      <w:r>
        <w:rPr>
          <w:rStyle w:val="CommentReference"/>
        </w:rPr>
        <w:t>It’s really immunoblot’s threshold sensitivity here.</w:t>
      </w:r>
    </w:p>
  </w:comment>
  <w:comment w:id="48" w:author="Author" w:initials="A">
    <w:p w14:paraId="4C4BC884" w14:textId="1AB0E7A3" w:rsidR="00A4479A" w:rsidRDefault="00A4479A" w:rsidP="00463A3D">
      <w:pPr>
        <w:pStyle w:val="CommentText"/>
      </w:pPr>
      <w:r>
        <w:rPr>
          <w:rStyle w:val="CommentReference"/>
        </w:rPr>
        <w:annotationRef/>
      </w:r>
      <w:r>
        <w:t>… And like mTOR! … I’d just register that they are nutrient sensors. Some of these sensors may be affected by ongoing hyperglycemia, and some could be proper effectors of atrophy. Since nobody tried euglycemic clamping, I can’t tell the difference. In myostatin’s case, it would add speculation to speculation.</w:t>
      </w:r>
    </w:p>
  </w:comment>
  <w:comment w:id="68" w:author="Author" w:initials="A">
    <w:p w14:paraId="398C81BF" w14:textId="4B8DED87" w:rsidR="00A4479A" w:rsidRDefault="00A4479A">
      <w:pPr>
        <w:pStyle w:val="CommentText"/>
      </w:pPr>
      <w:r>
        <w:rPr>
          <w:rStyle w:val="CommentReference"/>
        </w:rPr>
        <w:annotationRef/>
      </w:r>
      <w:r>
        <w:t>In figure legends you say and / or; but you do not show T alone.</w:t>
      </w:r>
    </w:p>
  </w:comment>
  <w:comment w:id="69" w:author="Author" w:initials="A">
    <w:p w14:paraId="001C5A11" w14:textId="7B9DD874" w:rsidR="00A4479A" w:rsidRDefault="00A4479A">
      <w:pPr>
        <w:pStyle w:val="CommentText"/>
      </w:pPr>
      <w:r>
        <w:rPr>
          <w:rStyle w:val="CommentReference"/>
        </w:rPr>
        <w:annotationRef/>
      </w:r>
      <w:r>
        <w:t>I changed to  “Dexa with / without Testo”.</w:t>
      </w:r>
    </w:p>
  </w:comment>
  <w:comment w:id="70" w:author="Author" w:initials="A">
    <w:p w14:paraId="1EDE3813" w14:textId="22ADF282" w:rsidR="00A4479A" w:rsidRDefault="00A4479A">
      <w:pPr>
        <w:pStyle w:val="CommentText"/>
      </w:pPr>
      <w:r>
        <w:rPr>
          <w:rStyle w:val="CommentReference"/>
        </w:rPr>
        <w:annotationRef/>
      </w:r>
      <w:r>
        <w:t>Any histology comments? CSA…etc.</w:t>
      </w:r>
    </w:p>
  </w:comment>
  <w:comment w:id="71" w:author="Author" w:initials="A">
    <w:p w14:paraId="552F87CA" w14:textId="1C9D8567" w:rsidR="00A4479A" w:rsidRDefault="00A4479A">
      <w:pPr>
        <w:pStyle w:val="CommentText"/>
      </w:pPr>
      <w:r>
        <w:rPr>
          <w:rStyle w:val="CommentReference"/>
        </w:rPr>
        <w:annotationRef/>
      </w:r>
      <w:r>
        <w:t>I did not measure it. I haven’t seen anyone trustworthy measuring CSA with Dexa, so I am not sure if this is a short or a long treatment, with new fiber formation, fiber type shifting etc.</w:t>
      </w:r>
    </w:p>
    <w:p w14:paraId="50C5DC43" w14:textId="1551C657" w:rsidR="00A4479A" w:rsidRDefault="00A4479A">
      <w:pPr>
        <w:pStyle w:val="CommentText"/>
      </w:pPr>
      <w:r>
        <w:t>It’s touched upon in the discussion section.</w:t>
      </w:r>
    </w:p>
  </w:comment>
  <w:comment w:id="76" w:author="Author" w:initials="A">
    <w:p w14:paraId="49F90997" w14:textId="61FDA537" w:rsidR="00A4479A" w:rsidRDefault="00A4479A">
      <w:pPr>
        <w:pStyle w:val="CommentText"/>
      </w:pPr>
      <w:r>
        <w:rPr>
          <w:rStyle w:val="CommentReference"/>
        </w:rPr>
        <w:annotationRef/>
      </w:r>
      <w:r>
        <w:t>And protein measured, if not then state as limitation.</w:t>
      </w:r>
    </w:p>
  </w:comment>
  <w:comment w:id="77" w:author="Author" w:initials="A">
    <w:p w14:paraId="67E3B5F2" w14:textId="5894AB12" w:rsidR="00A4479A" w:rsidRDefault="00A4479A">
      <w:pPr>
        <w:pStyle w:val="CommentText"/>
      </w:pPr>
      <w:r>
        <w:rPr>
          <w:rStyle w:val="CommentReference"/>
        </w:rPr>
        <w:annotationRef/>
      </w:r>
      <w:r>
        <w:t>I’ll put that in the comments section. Going back to the section on Foxo from introduction, there is regulation by transcriptional means, and there is regulation by phosphorylation –nuclear export – ubiquitination – degradation. My data address the former only.</w:t>
      </w:r>
    </w:p>
  </w:comment>
  <w:comment w:id="86" w:author="Author" w:initials="A">
    <w:p w14:paraId="39E99A16" w14:textId="1C344601" w:rsidR="00A4479A" w:rsidRDefault="00A4479A">
      <w:pPr>
        <w:pStyle w:val="CommentText"/>
      </w:pPr>
      <w:r>
        <w:rPr>
          <w:rStyle w:val="CommentReference"/>
        </w:rPr>
        <w:annotationRef/>
      </w:r>
      <w:r>
        <w:t>Google says dash-less form is more common, so that is the form I used everywhere else.</w:t>
      </w:r>
    </w:p>
  </w:comment>
  <w:comment w:id="87" w:author="Author" w:initials="A">
    <w:p w14:paraId="36E1482A" w14:textId="2BBD557B" w:rsidR="00A4479A" w:rsidRDefault="00A4479A">
      <w:pPr>
        <w:pStyle w:val="CommentText"/>
      </w:pPr>
      <w:r>
        <w:rPr>
          <w:rStyle w:val="CommentReference"/>
        </w:rPr>
        <w:annotationRef/>
      </w:r>
      <w:r>
        <w:t>It’s always Testo, except in figures where I had to go shorter.</w:t>
      </w:r>
    </w:p>
  </w:comment>
  <w:comment w:id="89" w:author="Author" w:initials="A">
    <w:p w14:paraId="5C94D737" w14:textId="442FA90E" w:rsidR="00A4479A" w:rsidRDefault="00A4479A">
      <w:pPr>
        <w:pStyle w:val="CommentText"/>
      </w:pPr>
      <w:r>
        <w:rPr>
          <w:rStyle w:val="CommentReference"/>
        </w:rPr>
        <w:annotationRef/>
      </w:r>
      <w:r>
        <w:t xml:space="preserve">The next two phrases exemplify what I meant. </w:t>
      </w:r>
    </w:p>
  </w:comment>
  <w:comment w:id="88" w:author="Author" w:initials="A">
    <w:p w14:paraId="1DC125DB" w14:textId="515A0EBE" w:rsidR="00A4479A" w:rsidRDefault="00A4479A">
      <w:pPr>
        <w:pStyle w:val="CommentText"/>
      </w:pPr>
      <w:r w:rsidRPr="00EA411E">
        <w:rPr>
          <w:rStyle w:val="CommentReference"/>
          <w:highlight w:val="yellow"/>
        </w:rPr>
        <w:annotationRef/>
      </w:r>
      <w:r w:rsidRPr="00EA411E">
        <w:rPr>
          <w:highlight w:val="yellow"/>
        </w:rPr>
        <w:t>Provide examples</w:t>
      </w:r>
    </w:p>
  </w:comment>
  <w:comment w:id="90" w:author="Author" w:initials="A">
    <w:p w14:paraId="3F882C02" w14:textId="7BCCDDF9" w:rsidR="00A4479A" w:rsidRDefault="00A4479A">
      <w:pPr>
        <w:pStyle w:val="CommentText"/>
      </w:pPr>
      <w:r>
        <w:rPr>
          <w:rStyle w:val="CommentReference"/>
        </w:rPr>
        <w:annotationRef/>
      </w:r>
      <w:r>
        <w:t>I am drawing a parallel here</w:t>
      </w:r>
    </w:p>
  </w:comment>
  <w:comment w:id="91" w:author="Author" w:initials="A">
    <w:p w14:paraId="6E5D1FA9" w14:textId="2F682882" w:rsidR="00A4479A" w:rsidRDefault="00A4479A">
      <w:pPr>
        <w:pStyle w:val="CommentText"/>
      </w:pPr>
      <w:r>
        <w:rPr>
          <w:rStyle w:val="CommentReference"/>
        </w:rPr>
        <w:annotationRef/>
      </w:r>
      <w:r w:rsidRPr="00514435">
        <w:rPr>
          <w:highlight w:val="yellow"/>
        </w:rPr>
        <w:t>I recommend changing Dexa to Dex. Dexa has other meaning</w:t>
      </w:r>
    </w:p>
  </w:comment>
  <w:comment w:id="92" w:author="Author" w:initials="A">
    <w:p w14:paraId="53A15385" w14:textId="76D488D1" w:rsidR="00A4479A" w:rsidRDefault="00A4479A" w:rsidP="00170CF3">
      <w:pPr>
        <w:pStyle w:val="CommentText"/>
      </w:pPr>
      <w:r>
        <w:rPr>
          <w:rStyle w:val="CommentReference"/>
        </w:rPr>
        <w:annotationRef/>
      </w:r>
      <w:r>
        <w:t>Bone densitometry has been renamed DXA a few years ago (likely for the same reason).</w:t>
      </w:r>
    </w:p>
    <w:p w14:paraId="3FB5F926" w14:textId="7321726F" w:rsidR="00A4479A" w:rsidRDefault="00A4479A" w:rsidP="00170CF3">
      <w:pPr>
        <w:pStyle w:val="CommentText"/>
      </w:pPr>
      <w:r>
        <w:t>Also, an “–a” ending gives it a feminine touch, which is a good way to recall that it is the antagonist of masculine T.</w:t>
      </w:r>
    </w:p>
  </w:comment>
  <w:comment w:id="93" w:author="Author" w:initials="A">
    <w:p w14:paraId="01E34A76" w14:textId="067D707E" w:rsidR="00A4479A" w:rsidRDefault="00A4479A">
      <w:pPr>
        <w:pStyle w:val="CommentText"/>
      </w:pPr>
      <w:r>
        <w:rPr>
          <w:rStyle w:val="CommentReference"/>
        </w:rPr>
        <w:annotationRef/>
      </w:r>
      <w:r w:rsidRPr="00E72E31">
        <w:rPr>
          <w:highlight w:val="yellow"/>
        </w:rPr>
        <w:t>I recommend changing Testo to “T”, throughout thesis. Also Dexa to DEX throughout thesis.</w:t>
      </w:r>
    </w:p>
  </w:comment>
  <w:comment w:id="94" w:author="Author" w:initials="A">
    <w:p w14:paraId="6E894493" w14:textId="2344CCB2" w:rsidR="00A4479A" w:rsidRDefault="00A4479A">
      <w:pPr>
        <w:pStyle w:val="CommentText"/>
      </w:pPr>
      <w:r>
        <w:t xml:space="preserve">It used to be T, but </w:t>
      </w:r>
      <w:r>
        <w:rPr>
          <w:rStyle w:val="CommentReference"/>
        </w:rPr>
        <w:annotationRef/>
      </w:r>
      <w:r>
        <w:t>I repeatedly got the opposite request when I presented to those outside the field. Nobody likes to admit they forgot what a one-letter abbreviation stands for. With five letters, you can’t fail to recall.</w:t>
      </w:r>
    </w:p>
  </w:comment>
  <w:comment w:id="95" w:author="Author" w:initials="A">
    <w:p w14:paraId="412A7F75" w14:textId="3CF24985" w:rsidR="00A4479A" w:rsidRDefault="00A4479A">
      <w:pPr>
        <w:pStyle w:val="CommentText"/>
      </w:pPr>
      <w:r>
        <w:rPr>
          <w:rStyle w:val="CommentReference"/>
        </w:rPr>
        <w:annotationRef/>
      </w:r>
      <w:r w:rsidRPr="00BA25D2">
        <w:rPr>
          <w:highlight w:val="yellow"/>
        </w:rPr>
        <w:t>why not limit to anabolic versus including androgenic?</w:t>
      </w:r>
    </w:p>
  </w:comment>
  <w:comment w:id="97" w:author="Author" w:initials="A">
    <w:p w14:paraId="7CB8E50D" w14:textId="76CD0973" w:rsidR="00A4479A" w:rsidRDefault="00A4479A">
      <w:pPr>
        <w:pStyle w:val="CommentText"/>
      </w:pPr>
      <w:r>
        <w:rPr>
          <w:rStyle w:val="CommentReference"/>
        </w:rPr>
        <w:annotationRef/>
      </w:r>
      <w:r>
        <w:t>It’s a section title. I could not say it without a verb, but it should be shortened.</w:t>
      </w:r>
    </w:p>
  </w:comment>
  <w:comment w:id="98" w:author="Author" w:initials="A">
    <w:p w14:paraId="36CB8CF5" w14:textId="13F2B7BA" w:rsidR="00A4479A" w:rsidRDefault="00A4479A">
      <w:pPr>
        <w:pStyle w:val="CommentText"/>
      </w:pPr>
      <w:r>
        <w:rPr>
          <w:rStyle w:val="CommentReference"/>
        </w:rPr>
        <w:annotationRef/>
      </w:r>
      <w:r w:rsidRPr="002D0425">
        <w:rPr>
          <w:highlight w:val="yellow"/>
        </w:rPr>
        <w:t>Perhaps consider attenuation rather than alleviation</w:t>
      </w:r>
    </w:p>
    <w:p w14:paraId="2EF2C824" w14:textId="77777777" w:rsidR="00A4479A" w:rsidRDefault="00A4479A">
      <w:pPr>
        <w:pStyle w:val="CommentText"/>
      </w:pPr>
    </w:p>
  </w:comment>
  <w:comment w:id="99" w:author="Author" w:initials="A">
    <w:p w14:paraId="1D25C7B9" w14:textId="0FBDCF8A" w:rsidR="00A4479A" w:rsidRDefault="00A4479A">
      <w:pPr>
        <w:pStyle w:val="CommentText"/>
      </w:pPr>
      <w:r>
        <w:rPr>
          <w:rStyle w:val="CommentReference"/>
        </w:rPr>
        <w:annotationRef/>
      </w:r>
      <w:r>
        <w:t>The title of the dissertation has “alleviation”, and I don’t think I can change that. Every other phrase should support the title. I’d use “attenuation” as a substitute, when I have to repeat “alleviation” too often.</w:t>
      </w:r>
    </w:p>
  </w:comment>
  <w:comment w:id="101" w:author="Author" w:initials="A">
    <w:p w14:paraId="0E35F38C" w14:textId="37246841" w:rsidR="00A4479A" w:rsidRDefault="00A4479A">
      <w:pPr>
        <w:pStyle w:val="CommentText"/>
      </w:pPr>
      <w:r>
        <w:rPr>
          <w:rStyle w:val="CommentReference"/>
        </w:rPr>
        <w:annotationRef/>
      </w:r>
      <w:r>
        <w:t>I had precocious here and before to say in a word that X preceded Y. That suggests that X may cause Y, and not the other way around. “Robust” doesn’t catch the temporal order.</w:t>
      </w:r>
    </w:p>
  </w:comment>
  <w:comment w:id="102" w:author="Author" w:initials="A">
    <w:p w14:paraId="09902105" w14:textId="7A795D8C" w:rsidR="00A4479A" w:rsidRDefault="00A4479A">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70A1BF" w15:done="0"/>
  <w15:commentEx w15:paraId="0C7C86C2" w15:done="0"/>
  <w15:commentEx w15:paraId="66D3A2C3" w15:done="0"/>
  <w15:commentEx w15:paraId="2E33C54B" w15:paraIdParent="66D3A2C3" w15:done="0"/>
  <w15:commentEx w15:paraId="6C58EBFF" w15:paraIdParent="66D3A2C3" w15:done="0"/>
  <w15:commentEx w15:paraId="1E624382" w15:done="0"/>
  <w15:commentEx w15:paraId="5D13B1F8" w15:done="0"/>
  <w15:commentEx w15:paraId="437ED7E2" w15:done="0"/>
  <w15:commentEx w15:paraId="036563CB" w15:paraIdParent="437ED7E2" w15:done="0"/>
  <w15:commentEx w15:paraId="3F139DF9" w15:done="0"/>
  <w15:commentEx w15:paraId="4EB6C4F7" w15:done="0"/>
  <w15:commentEx w15:paraId="0F1E8543" w15:done="0"/>
  <w15:commentEx w15:paraId="21433071" w15:done="0"/>
  <w15:commentEx w15:paraId="01BF92D3" w15:done="0"/>
  <w15:commentEx w15:paraId="17EF48F8" w15:done="0"/>
  <w15:commentEx w15:paraId="479A50A3" w15:paraIdParent="17EF48F8" w15:done="0"/>
  <w15:commentEx w15:paraId="02CEF747" w15:done="0"/>
  <w15:commentEx w15:paraId="667D5C1A" w15:done="0"/>
  <w15:commentEx w15:paraId="24A1A645" w15:done="0"/>
  <w15:commentEx w15:paraId="65E3CF14" w15:paraIdParent="24A1A645" w15:done="0"/>
  <w15:commentEx w15:paraId="4C4BC884" w15:done="0"/>
  <w15:commentEx w15:paraId="398C81BF" w15:done="0"/>
  <w15:commentEx w15:paraId="001C5A11" w15:paraIdParent="398C81BF" w15:done="0"/>
  <w15:commentEx w15:paraId="1EDE3813" w15:done="0"/>
  <w15:commentEx w15:paraId="50C5DC43" w15:paraIdParent="1EDE3813" w15:done="0"/>
  <w15:commentEx w15:paraId="49F90997" w15:done="0"/>
  <w15:commentEx w15:paraId="67E3B5F2" w15:paraIdParent="49F90997" w15:done="0"/>
  <w15:commentEx w15:paraId="39E99A16" w15:done="0"/>
  <w15:commentEx w15:paraId="36E1482A" w15:done="0"/>
  <w15:commentEx w15:paraId="5C94D737" w15:done="0"/>
  <w15:commentEx w15:paraId="1DC125DB" w15:done="0"/>
  <w15:commentEx w15:paraId="3F882C02" w15:done="0"/>
  <w15:commentEx w15:paraId="6E5D1FA9" w15:done="0"/>
  <w15:commentEx w15:paraId="3FB5F926" w15:paraIdParent="6E5D1FA9" w15:done="0"/>
  <w15:commentEx w15:paraId="01E34A76" w15:done="0"/>
  <w15:commentEx w15:paraId="6E894493" w15:paraIdParent="01E34A76" w15:done="0"/>
  <w15:commentEx w15:paraId="412A7F75" w15:done="0"/>
  <w15:commentEx w15:paraId="7CB8E50D" w15:done="0"/>
  <w15:commentEx w15:paraId="2EF2C824" w15:done="0"/>
  <w15:commentEx w15:paraId="1D25C7B9" w15:paraIdParent="2EF2C824" w15:done="0"/>
  <w15:commentEx w15:paraId="0E35F38C" w15:done="0"/>
  <w15:commentEx w15:paraId="099021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A4479A" w:rsidRDefault="00A4479A">
      <w:pPr>
        <w:spacing w:line="240" w:lineRule="auto"/>
      </w:pPr>
      <w:r>
        <w:separator/>
      </w:r>
    </w:p>
    <w:p w14:paraId="4E67628C" w14:textId="77777777" w:rsidR="00A4479A" w:rsidRDefault="00A4479A"/>
    <w:p w14:paraId="6F3C610F" w14:textId="77777777" w:rsidR="00A4479A" w:rsidRDefault="00A4479A" w:rsidP="00B8332B"/>
  </w:endnote>
  <w:endnote w:type="continuationSeparator" w:id="0">
    <w:p w14:paraId="7A7F5650" w14:textId="77777777" w:rsidR="00A4479A" w:rsidRDefault="00A4479A">
      <w:pPr>
        <w:spacing w:line="240" w:lineRule="auto"/>
      </w:pPr>
      <w:r>
        <w:continuationSeparator/>
      </w:r>
    </w:p>
    <w:p w14:paraId="021F3846" w14:textId="77777777" w:rsidR="00A4479A" w:rsidRDefault="00A4479A"/>
    <w:p w14:paraId="02BE76A1" w14:textId="77777777" w:rsidR="00A4479A" w:rsidRDefault="00A4479A"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61620A">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A4479A" w:rsidRDefault="00A4479A">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A4479A" w:rsidRDefault="00A4479A">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A4479A" w:rsidRDefault="00A4479A">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A4479A" w:rsidRDefault="00A4479A">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A4479A" w:rsidRDefault="00A4479A">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A4479A" w:rsidRDefault="00A4479A">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A4479A" w:rsidRDefault="00A4479A">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A4479A" w:rsidRDefault="00A4479A">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A4479A" w:rsidRDefault="00A4479A">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A4479A" w:rsidRDefault="00A4479A">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61620A">
      <w:rPr>
        <w:noProof/>
      </w:rPr>
      <w:t>i</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A4479A" w:rsidRDefault="00A4479A">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A4479A" w:rsidRDefault="00A4479A">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A4479A" w:rsidRDefault="00A4479A">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A4479A" w:rsidRDefault="00A4479A">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A4479A" w:rsidRDefault="00A4479A">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A4479A" w:rsidRDefault="00A4479A">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A4479A" w:rsidRDefault="00A4479A">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A4479A" w:rsidRDefault="00A4479A">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A4479A" w:rsidRDefault="00A4479A">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A4479A" w:rsidRDefault="00A4479A">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A4479A" w:rsidRDefault="00A4479A">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A4479A" w:rsidRDefault="00A4479A">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A4479A" w:rsidRDefault="00A4479A">
      <w:pPr>
        <w:spacing w:line="240" w:lineRule="auto"/>
      </w:pPr>
      <w:r>
        <w:separator/>
      </w:r>
    </w:p>
    <w:p w14:paraId="0CE7E7CB" w14:textId="77777777" w:rsidR="00A4479A" w:rsidRDefault="00A4479A"/>
    <w:p w14:paraId="37B41683" w14:textId="77777777" w:rsidR="00A4479A" w:rsidRDefault="00A4479A" w:rsidP="00B8332B"/>
  </w:footnote>
  <w:footnote w:type="continuationSeparator" w:id="0">
    <w:p w14:paraId="605F7EB2" w14:textId="77777777" w:rsidR="00A4479A" w:rsidRDefault="00A4479A">
      <w:pPr>
        <w:spacing w:line="240" w:lineRule="auto"/>
      </w:pPr>
      <w:r>
        <w:continuationSeparator/>
      </w:r>
    </w:p>
    <w:p w14:paraId="4A8C57F7" w14:textId="77777777" w:rsidR="00A4479A" w:rsidRDefault="00A4479A"/>
    <w:p w14:paraId="05178EC1" w14:textId="77777777" w:rsidR="00A4479A" w:rsidRDefault="00A4479A"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A4479A" w:rsidRDefault="00A4479A">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A4479A" w:rsidRDefault="00A4479A">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154</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155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A4479A" w:rsidRDefault="00A4479A">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166</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167</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A4479A" w:rsidRDefault="00A4479A">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174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A4479A" w:rsidRDefault="00A4479A">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175</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A4479A" w:rsidRDefault="00A4479A">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A4479A" w:rsidRDefault="00A4479A">
    <w:pPr>
      <w:spacing w:line="259" w:lineRule="auto"/>
      <w:ind w:firstLine="0"/>
      <w:jc w:val="right"/>
    </w:pPr>
    <w:r>
      <w:fldChar w:fldCharType="begin"/>
    </w:r>
    <w:r>
      <w:instrText xml:space="preserve"> PAGE   \* MERGEFORMAT </w:instrText>
    </w:r>
    <w:r>
      <w:fldChar w:fldCharType="separate"/>
    </w:r>
    <w:r w:rsidR="000E7DAA">
      <w:rPr>
        <w:noProof/>
      </w:rPr>
      <w:t>234</w:t>
    </w:r>
    <w:r>
      <w:fldChar w:fldCharType="end"/>
    </w:r>
  </w:p>
  <w:p w14:paraId="06813B2C" w14:textId="77777777" w:rsidR="00A4479A" w:rsidRDefault="00A4479A"/>
  <w:p w14:paraId="26C7CADF" w14:textId="77777777" w:rsidR="00A4479A" w:rsidRDefault="00A4479A"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A4479A" w:rsidRDefault="00A4479A">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A4479A" w:rsidRDefault="00A4479A">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A4479A" w:rsidRDefault="00A4479A">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A4479A" w:rsidRDefault="00A4479A">
    <w:pPr>
      <w:spacing w:line="259" w:lineRule="auto"/>
      <w:ind w:firstLine="0"/>
      <w:jc w:val="right"/>
    </w:pPr>
    <w:r>
      <w:fldChar w:fldCharType="begin"/>
    </w:r>
    <w:r>
      <w:instrText xml:space="preserve"> PAGE   \* MERGEFORMAT </w:instrText>
    </w:r>
    <w:r>
      <w:fldChar w:fldCharType="separate"/>
    </w:r>
    <w:r w:rsidR="0061620A">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A4479A" w:rsidRDefault="00A4479A">
    <w:pPr>
      <w:spacing w:line="259" w:lineRule="auto"/>
      <w:ind w:firstLine="0"/>
      <w:jc w:val="right"/>
    </w:pPr>
    <w:r>
      <w:fldChar w:fldCharType="begin"/>
    </w:r>
    <w:r>
      <w:instrText xml:space="preserve"> PAGE   \* MERGEFORMAT </w:instrText>
    </w:r>
    <w:r>
      <w:fldChar w:fldCharType="separate"/>
    </w:r>
    <w:r w:rsidR="0061620A">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A4479A" w:rsidRDefault="00A4479A">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A4479A" w:rsidRDefault="00A4479A">
    <w:pPr>
      <w:spacing w:line="259" w:lineRule="auto"/>
      <w:ind w:firstLine="0"/>
      <w:jc w:val="right"/>
    </w:pPr>
    <w:r>
      <w:fldChar w:fldCharType="begin"/>
    </w:r>
    <w:r>
      <w:instrText xml:space="preserve"> PAGE   \* MERGEFORMAT </w:instrText>
    </w:r>
    <w:r>
      <w:fldChar w:fldCharType="separate"/>
    </w:r>
    <w:r w:rsidR="0061620A">
      <w:rPr>
        <w:noProof/>
      </w:rPr>
      <w:t>46</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A4479A" w:rsidRDefault="00A4479A">
    <w:pPr>
      <w:spacing w:line="259" w:lineRule="auto"/>
      <w:ind w:firstLine="0"/>
      <w:jc w:val="right"/>
    </w:pPr>
    <w:r>
      <w:fldChar w:fldCharType="begin"/>
    </w:r>
    <w:r>
      <w:instrText xml:space="preserve"> PAGE   \* MERGEFORMAT </w:instrText>
    </w:r>
    <w:r>
      <w:fldChar w:fldCharType="separate"/>
    </w:r>
    <w:r w:rsidR="0061620A">
      <w:rPr>
        <w:noProof/>
      </w:rPr>
      <w:t>47</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A4479A" w:rsidRDefault="00A4479A">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668FC"/>
    <w:rsid w:val="00CC1E00"/>
    <w:rsid w:val="00CF2C53"/>
    <w:rsid w:val="00CF49B1"/>
    <w:rsid w:val="00CF7242"/>
    <w:rsid w:val="00D069F3"/>
    <w:rsid w:val="00D7134E"/>
    <w:rsid w:val="00D72E45"/>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92440"/>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6.gif"/><Relationship Id="rId21" Type="http://schemas.openxmlformats.org/officeDocument/2006/relationships/footer" Target="footer6.xml"/><Relationship Id="rId34" Type="http://schemas.openxmlformats.org/officeDocument/2006/relationships/image" Target="media/image1.gif"/><Relationship Id="rId42" Type="http://schemas.openxmlformats.org/officeDocument/2006/relationships/image" Target="media/image9.gif"/><Relationship Id="rId47" Type="http://schemas.openxmlformats.org/officeDocument/2006/relationships/image" Target="media/image14.gif"/><Relationship Id="rId50" Type="http://schemas.openxmlformats.org/officeDocument/2006/relationships/image" Target="media/image17.gif"/><Relationship Id="rId55" Type="http://schemas.openxmlformats.org/officeDocument/2006/relationships/image" Target="media/image22.gif"/><Relationship Id="rId63" Type="http://schemas.openxmlformats.org/officeDocument/2006/relationships/header" Target="header15.xml"/><Relationship Id="rId68" Type="http://schemas.openxmlformats.org/officeDocument/2006/relationships/image" Target="media/image29.gif"/><Relationship Id="rId76" Type="http://schemas.openxmlformats.org/officeDocument/2006/relationships/header" Target="header16.xml"/><Relationship Id="rId84" Type="http://schemas.openxmlformats.org/officeDocument/2006/relationships/header" Target="header20.xml"/><Relationship Id="rId89" Type="http://schemas.openxmlformats.org/officeDocument/2006/relationships/header" Target="header22.xml"/><Relationship Id="rId7" Type="http://schemas.openxmlformats.org/officeDocument/2006/relationships/endnotes" Target="endnotes.xml"/><Relationship Id="rId71" Type="http://schemas.openxmlformats.org/officeDocument/2006/relationships/image" Target="media/image32.gif"/><Relationship Id="rId92" Type="http://schemas.openxmlformats.org/officeDocument/2006/relationships/footer" Target="footer23.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4.gif"/><Relationship Id="rId40" Type="http://schemas.openxmlformats.org/officeDocument/2006/relationships/image" Target="media/image7.gif"/><Relationship Id="rId45" Type="http://schemas.openxmlformats.org/officeDocument/2006/relationships/image" Target="media/image12.gif"/><Relationship Id="rId53" Type="http://schemas.openxmlformats.org/officeDocument/2006/relationships/image" Target="media/image20.gif"/><Relationship Id="rId58" Type="http://schemas.openxmlformats.org/officeDocument/2006/relationships/image" Target="media/image25.gif"/><Relationship Id="rId66" Type="http://schemas.openxmlformats.org/officeDocument/2006/relationships/image" Target="media/image27.jpg"/><Relationship Id="rId74" Type="http://schemas.openxmlformats.org/officeDocument/2006/relationships/image" Target="media/image35.gif"/><Relationship Id="rId79" Type="http://schemas.openxmlformats.org/officeDocument/2006/relationships/footer" Target="footer17.xml"/><Relationship Id="rId87" Type="http://schemas.openxmlformats.org/officeDocument/2006/relationships/header" Target="header21.xml"/><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image" Target="media/image37.gif"/><Relationship Id="rId90" Type="http://schemas.openxmlformats.org/officeDocument/2006/relationships/header" Target="header23.xml"/><Relationship Id="rId95" Type="http://schemas.openxmlformats.org/officeDocument/2006/relationships/fontTable" Target="fontTable.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2.gif"/><Relationship Id="rId43" Type="http://schemas.openxmlformats.org/officeDocument/2006/relationships/image" Target="media/image10.gif"/><Relationship Id="rId48" Type="http://schemas.openxmlformats.org/officeDocument/2006/relationships/image" Target="media/image15.gif"/><Relationship Id="rId56" Type="http://schemas.openxmlformats.org/officeDocument/2006/relationships/image" Target="media/image23.gif"/><Relationship Id="rId64" Type="http://schemas.openxmlformats.org/officeDocument/2006/relationships/footer" Target="footer15.xml"/><Relationship Id="rId69" Type="http://schemas.openxmlformats.org/officeDocument/2006/relationships/image" Target="media/image30.gif"/><Relationship Id="rId77" Type="http://schemas.openxmlformats.org/officeDocument/2006/relationships/header" Target="header17.xml"/><Relationship Id="rId8" Type="http://schemas.openxmlformats.org/officeDocument/2006/relationships/comments" Target="comments.xml"/><Relationship Id="rId51" Type="http://schemas.openxmlformats.org/officeDocument/2006/relationships/image" Target="media/image18.gif"/><Relationship Id="rId72" Type="http://schemas.openxmlformats.org/officeDocument/2006/relationships/image" Target="media/image33.gif"/><Relationship Id="rId80" Type="http://schemas.openxmlformats.org/officeDocument/2006/relationships/header" Target="header18.xml"/><Relationship Id="rId85" Type="http://schemas.openxmlformats.org/officeDocument/2006/relationships/footer" Target="footer19.xml"/><Relationship Id="rId93" Type="http://schemas.openxmlformats.org/officeDocument/2006/relationships/header" Target="header2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image" Target="media/image5.gif"/><Relationship Id="rId46" Type="http://schemas.openxmlformats.org/officeDocument/2006/relationships/image" Target="media/image13.gif"/><Relationship Id="rId59" Type="http://schemas.openxmlformats.org/officeDocument/2006/relationships/header" Target="header13.xml"/><Relationship Id="rId67" Type="http://schemas.openxmlformats.org/officeDocument/2006/relationships/image" Target="media/image28.jpg"/><Relationship Id="rId20" Type="http://schemas.openxmlformats.org/officeDocument/2006/relationships/header" Target="header6.xml"/><Relationship Id="rId41" Type="http://schemas.openxmlformats.org/officeDocument/2006/relationships/image" Target="media/image8.gif"/><Relationship Id="rId54" Type="http://schemas.openxmlformats.org/officeDocument/2006/relationships/image" Target="media/image21.gif"/><Relationship Id="rId62" Type="http://schemas.openxmlformats.org/officeDocument/2006/relationships/footer" Target="footer14.xml"/><Relationship Id="rId70" Type="http://schemas.openxmlformats.org/officeDocument/2006/relationships/image" Target="media/image31.gif"/><Relationship Id="rId75" Type="http://schemas.openxmlformats.org/officeDocument/2006/relationships/image" Target="media/image36.gif"/><Relationship Id="rId83" Type="http://schemas.openxmlformats.org/officeDocument/2006/relationships/header" Target="header19.xml"/><Relationship Id="rId88" Type="http://schemas.openxmlformats.org/officeDocument/2006/relationships/footer" Target="footer21.xml"/><Relationship Id="rId91" Type="http://schemas.openxmlformats.org/officeDocument/2006/relationships/footer" Target="footer22.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3.gif"/><Relationship Id="rId49" Type="http://schemas.openxmlformats.org/officeDocument/2006/relationships/image" Target="media/image16.gif"/><Relationship Id="rId57" Type="http://schemas.openxmlformats.org/officeDocument/2006/relationships/image" Target="media/image24.gif"/><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image" Target="media/image11.gif"/><Relationship Id="rId52" Type="http://schemas.openxmlformats.org/officeDocument/2006/relationships/image" Target="media/image19.gif"/><Relationship Id="rId60" Type="http://schemas.openxmlformats.org/officeDocument/2006/relationships/header" Target="header14.xml"/><Relationship Id="rId65" Type="http://schemas.openxmlformats.org/officeDocument/2006/relationships/image" Target="media/image26.jpg"/><Relationship Id="rId73" Type="http://schemas.openxmlformats.org/officeDocument/2006/relationships/image" Target="media/image34.gif"/><Relationship Id="rId78" Type="http://schemas.openxmlformats.org/officeDocument/2006/relationships/footer" Target="footer16.xml"/><Relationship Id="rId81" Type="http://schemas.openxmlformats.org/officeDocument/2006/relationships/footer" Target="footer18.xml"/><Relationship Id="rId86" Type="http://schemas.openxmlformats.org/officeDocument/2006/relationships/footer" Target="footer20.xml"/><Relationship Id="rId94" Type="http://schemas.openxmlformats.org/officeDocument/2006/relationships/footer" Target="footer24.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6A792-B38B-4415-AA1E-70C7E419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67307</Words>
  <Characters>383650</Characters>
  <Application>Microsoft Office Word</Application>
  <DocSecurity>0</DocSecurity>
  <Lines>3197</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2015-06-23T16:49:00Z</dcterms:modified>
</cp:coreProperties>
</file>