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0" w:name="_Toc421412235"/>
      <w:r>
        <w:lastRenderedPageBreak/>
        <w:t>Acknowledgments</w:t>
      </w:r>
      <w:bookmarkEnd w:id="0"/>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5F362F96" w:rsidR="00A60D29" w:rsidRDefault="00D72E45" w:rsidP="00200ACB">
      <w:r>
        <w:t>I am dedicating this work</w:t>
      </w:r>
      <w:r w:rsidR="00C37948">
        <w:t xml:space="preserve"> to</w:t>
      </w:r>
      <w:r>
        <w:t xml:space="preserve">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lastRenderedPageBreak/>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1" w:name="_Toc421412236"/>
      <w:r>
        <w:t>Abstract</w:t>
      </w:r>
      <w:bookmarkEnd w:id="1"/>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 xml:space="preserve">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w:t>
      </w:r>
      <w:r>
        <w:lastRenderedPageBreak/>
        <w:t>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2" w:name="_Toc421412237"/>
      <w:r>
        <w:lastRenderedPageBreak/>
        <w:t>Contents</w:t>
      </w:r>
      <w:bookmarkEnd w:id="2"/>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523A25">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523A25">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523A25">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523A25">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523A25">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523A25">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523A25">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523A25">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523A25">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523A25">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523A25">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523A25">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523A25">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523A25">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523A25">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523A25">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523A25">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523A25">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523A25">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523A25">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523A25">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523A25">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523A25">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523A25">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523A25">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523A25">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523A25">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523A25">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523A25">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523A25">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523A25">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523A25">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523A25">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523A25">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523A25">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523A25">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523A25">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523A25">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523A25">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523A25">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523A25">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523A25">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523A25">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523A25">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523A25">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523A25">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523A25">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523A25">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523A25">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523A25">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523A25">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523A25">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523A25">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523A25">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523A25">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523A25">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523A25">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523A25">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523A25">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523A25">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523A25">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523A25">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523A25">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3" w:name="_Toc421412238"/>
      <w:r>
        <w:lastRenderedPageBreak/>
        <w:t>List of Tables</w:t>
      </w:r>
      <w:bookmarkEnd w:id="3"/>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4" w:name="_Toc421412239"/>
      <w:r>
        <w:lastRenderedPageBreak/>
        <w:t>List of Figures</w:t>
      </w:r>
      <w:bookmarkEnd w:id="4"/>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lastRenderedPageBreak/>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5" w:name="_Toc421412240"/>
      <w:r>
        <w:lastRenderedPageBreak/>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lastRenderedPageBreak/>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lastRenderedPageBreak/>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lastRenderedPageBreak/>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lastRenderedPageBreak/>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lastRenderedPageBreak/>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lastRenderedPageBreak/>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lastRenderedPageBreak/>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lastRenderedPageBreak/>
        <w:t>1. CLINICAL QUESTIONS AND EVIDENCE</w:t>
      </w:r>
      <w:bookmarkEnd w:id="6"/>
    </w:p>
    <w:p w14:paraId="0286D6C1" w14:textId="5242C6DB" w:rsidR="00A60D29" w:rsidRDefault="00D72E45">
      <w:pPr>
        <w:pStyle w:val="Heading2"/>
        <w:ind w:left="10"/>
      </w:pPr>
      <w:bookmarkStart w:id="7" w:name="_Toc421412242"/>
      <w:r>
        <w:t>Cushing’s syndrome</w:t>
      </w:r>
      <w:bookmarkEnd w:id="7"/>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 xml:space="preserve">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w:t>
      </w:r>
      <w:r>
        <w:lastRenderedPageBreak/>
        <w:t>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 xml:space="preserve">Today, we know that the truth was more nuanced. Hypersecretion of the adrenal cortex hormones cortisol and / or corticosterone is termed </w:t>
      </w:r>
      <w:r w:rsidRPr="0038065B">
        <w:lastRenderedPageBreak/>
        <w:t>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 xml:space="preserve">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w:t>
      </w:r>
      <w:r w:rsidRPr="0038065B">
        <w:lastRenderedPageBreak/>
        <w:t>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8" w:name="_Toc421412243"/>
      <w:r w:rsidRPr="00200ACB">
        <w:t>Glucocorticoid</w:t>
      </w:r>
      <w:r w:rsidRPr="0038065B">
        <w:t xml:space="preserve"> therapy</w:t>
      </w:r>
      <w:bookmarkEnd w:id="8"/>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w:t>
      </w:r>
      <w:r w:rsidRPr="0038065B">
        <w:lastRenderedPageBreak/>
        <w:t>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 xml:space="preserve">17], a decoy inhibitor for the pro-inflammatory IL-1. In other </w:t>
      </w:r>
      <w:r w:rsidRPr="0038065B">
        <w:lastRenderedPageBreak/>
        <w:t>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 xml:space="preserve">22], thus lowering the price and creating the opportunity for large-scale trials. The Empire Rheumatism Council organized a randomized trial comparing </w:t>
      </w:r>
      <w:r w:rsidRPr="0038065B">
        <w:lastRenderedPageBreak/>
        <w:t>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 xml:space="preserve">30, 31]. Dexa is the most effective and specific therapeutic synthetic GC to date, with 170 times higher ability to inhibit </w:t>
      </w:r>
      <w:r w:rsidRPr="0038065B">
        <w:lastRenderedPageBreak/>
        <w:t>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w:t>
      </w:r>
      <w:r w:rsidRPr="0038065B">
        <w:lastRenderedPageBreak/>
        <w:t>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xml:space="preserve">. The list of Food and Drug Administration (FDA)-approved indications for cortisone, Dexa, and prednisone is often narrowed by additional precautions, and by newly discovered </w:t>
      </w:r>
      <w:r w:rsidRPr="0038065B">
        <w:lastRenderedPageBreak/>
        <w:t>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 xml:space="preserve">60]. Due to their widespread use, GCs are likely to cause covert iatrogenic CS in a large population, impairing muscle </w:t>
      </w:r>
      <w:r w:rsidRPr="0038065B">
        <w:lastRenderedPageBreak/>
        <w:t>mass and quality of life to a certain and understudied degree.</w:t>
      </w:r>
    </w:p>
    <w:p w14:paraId="4EC67E69" w14:textId="77777777"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4EC8006" w:rsidR="00A60D29" w:rsidRPr="0038065B" w:rsidRDefault="0075610A" w:rsidP="00200ACB">
      <w:r>
        <w:t>A</w:t>
      </w:r>
      <w:r w:rsidR="00D72E45" w:rsidRPr="0038065B">
        <w:t xml:space="preserve">bout two thirds of 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 xml:space="preserve">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w:t>
      </w:r>
      <w:r w:rsidRPr="0038065B">
        <w:lastRenderedPageBreak/>
        <w:t>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 xml:space="preserve">62]. The incidence of iatrogenic CS is difficult to estimate, because there is no reporting requirement. </w:t>
      </w:r>
      <w:r w:rsidRPr="0038065B">
        <w:lastRenderedPageBreak/>
        <w:t>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6D47FA7A"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w:t>
      </w:r>
      <w:r w:rsidRPr="0038065B">
        <w:lastRenderedPageBreak/>
        <w:t xml:space="preserve">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w:t>
      </w:r>
      <w:r w:rsidR="0075610A">
        <w:t>is typically</w:t>
      </w:r>
      <w:r w:rsidRPr="0038065B">
        <w:t xml:space="preserve"> caused by a reduction in the number of </w:t>
      </w:r>
      <w:r w:rsidR="0075610A">
        <w:t xml:space="preserve">muscle </w:t>
      </w:r>
      <w:r w:rsidRPr="0038065B">
        <w:t>fibers, or by fiber atrophy</w:t>
      </w:r>
      <w:r w:rsidR="00676457" w:rsidRPr="0038065B">
        <w:t xml:space="preserve"> [</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 xml:space="preserve">79, 86]. When GAML </w:t>
      </w:r>
      <w:r w:rsidRPr="0038065B">
        <w:lastRenderedPageBreak/>
        <w:t>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lastRenderedPageBreak/>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lastRenderedPageBreak/>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7E9B426D"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human muscle development </w:t>
      </w:r>
      <w:r w:rsidR="004C3D58">
        <w:t xml:space="preserve">in vitro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 xml:space="preserve">kg cortisol infused over </w:t>
      </w:r>
      <w:r w:rsidRPr="0038065B">
        <w:lastRenderedPageBreak/>
        <w:t>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lastRenderedPageBreak/>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 xml:space="preserve">112]. Interestingly, hydroxychloroquine is also </w:t>
      </w:r>
      <w:r w:rsidRPr="0038065B">
        <w:lastRenderedPageBreak/>
        <w:t>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129F996A"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Moreover, this finding was never replicated. Löfberg and colleagues</w:t>
      </w:r>
      <w:r w:rsidR="00676457" w:rsidRPr="0038065B">
        <w:t xml:space="preserve"> [</w:t>
      </w:r>
      <w:r w:rsidRPr="0038065B">
        <w:t xml:space="preserve">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w:t>
      </w:r>
      <w:r w:rsidRPr="0038065B">
        <w:lastRenderedPageBreak/>
        <w:t>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00676457" w:rsidRPr="0038065B">
        <w:lastRenderedPageBreak/>
        <w:t>[</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0" w:name="_Toc421412245"/>
      <w:r w:rsidRPr="00200ACB">
        <w:t>Muscle</w:t>
      </w:r>
      <w:r w:rsidRPr="0038065B">
        <w:t xml:space="preserve"> protection with </w:t>
      </w:r>
      <w:r w:rsidRPr="00200ACB">
        <w:t>androgen</w:t>
      </w:r>
      <w:r w:rsidRPr="0038065B">
        <w:t xml:space="preserve"> therapy</w:t>
      </w:r>
      <w:bookmarkEnd w:id="10"/>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 xml:space="preserve">Testis extract benefits received more attention starting around 1889, when </w:t>
      </w:r>
      <w:r w:rsidRPr="0038065B">
        <w:lastRenderedPageBreak/>
        <w:t>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w:t>
      </w:r>
      <w:r w:rsidRPr="0038065B">
        <w:lastRenderedPageBreak/>
        <w:t xml:space="preserve">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 xml:space="preserve">128]. With maintenance of secondary sex </w:t>
      </w:r>
      <w:r w:rsidRPr="0038065B">
        <w:lastRenderedPageBreak/>
        <w:t>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F5C781"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 an doubling in prostate and penis size</w:t>
      </w:r>
      <w:r w:rsidR="00676457" w:rsidRPr="0038065B">
        <w:t xml:space="preserve"> [</w:t>
      </w:r>
      <w:r w:rsidRPr="0038065B">
        <w:t xml:space="preserve">134] after less than two weeks, thus </w:t>
      </w:r>
      <w:r w:rsidRPr="0038065B">
        <w:lastRenderedPageBreak/>
        <w:t>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4EF3834B"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Pr="0038065B">
        <w:t>FDA gives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w:t>
      </w:r>
      <w:r w:rsidRPr="0038065B">
        <w:lastRenderedPageBreak/>
        <w:t xml:space="preserve">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 xml:space="preserve">150]. Similarly, in 1950, the Mayo Clinic team who discovered cortisone remarked that, </w:t>
      </w:r>
      <w:r w:rsidRPr="0038065B">
        <w:lastRenderedPageBreak/>
        <w:t>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w:lastRenderedPageBreak/>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 xml:space="preserve">155]. By the time modern trials with AAS began, the incidence of overt hypercortisolism decreased significantly. Despite a potential epidemic of covert hypercortisolism, with deleterious effects of life quality and expectancy, the interest for studies on hypercortisolism has largely </w:t>
      </w:r>
      <w:r w:rsidRPr="0038065B">
        <w:lastRenderedPageBreak/>
        <w:t>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1" w:name="_Toc421412246"/>
      <w:r w:rsidRPr="0038065B">
        <w:t xml:space="preserve">Hypercortisolism-induced changes in </w:t>
      </w:r>
      <w:r w:rsidRPr="00200ACB">
        <w:t>endogenous</w:t>
      </w:r>
      <w:r w:rsidRPr="0038065B">
        <w:t xml:space="preserve"> androgens levels</w:t>
      </w:r>
      <w:bookmarkEnd w:id="11"/>
    </w:p>
    <w:p w14:paraId="23FBA8B5" w14:textId="77777777" w:rsidR="00A60D29" w:rsidRPr="0038065B" w:rsidRDefault="00D72E45" w:rsidP="00200ACB">
      <w:r w:rsidRPr="0038065B">
        <w:t>AAS therapy does not change circulating cortisol levels</w:t>
      </w:r>
      <w:r w:rsidR="00676457" w:rsidRPr="0038065B">
        <w:t xml:space="preserve"> [</w:t>
      </w:r>
      <w:r w:rsidRPr="0038065B">
        <w:t xml:space="preserve">159]. However, the opposite interaction, where hypercortisolism interferes with endogenous AAS secretion, is a common finding, with a complex physiological basis. The </w:t>
      </w:r>
      <w:r w:rsidRPr="0038065B">
        <w:lastRenderedPageBreak/>
        <w:t>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w:t>
      </w:r>
      <w:r w:rsidRPr="0038065B">
        <w:lastRenderedPageBreak/>
        <w:t>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 xml:space="preserve">This sexual dimorphism differentiates male and female AAS response to </w:t>
      </w:r>
      <w:r w:rsidRPr="0038065B">
        <w:lastRenderedPageBreak/>
        <w:t>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 xml:space="preserve">that GCs interfere with Testo signals in a </w:t>
      </w:r>
      <w:r w:rsidRPr="0038065B">
        <w:lastRenderedPageBreak/>
        <w:t>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 xml:space="preserve">197]. At least in adult males, muscle loss in CS may be aggravated by the reductions in endogenous AAP and AAS. An AAS replacement strategy in hypoandrogenic hypercortisolism appears intuitively </w:t>
      </w:r>
      <w:r w:rsidRPr="0038065B">
        <w:lastRenderedPageBreak/>
        <w:t>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2" w:name="_Toc421412247"/>
      <w:r w:rsidRPr="0038065B">
        <w:t xml:space="preserve">Molecular mechanisms of </w:t>
      </w:r>
      <w:r w:rsidRPr="00200ACB">
        <w:t>androgenic</w:t>
      </w:r>
      <w:r w:rsidRPr="0038065B">
        <w:t xml:space="preserve"> myoprotection in humans</w:t>
      </w:r>
      <w:bookmarkEnd w:id="12"/>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 xml:space="preserve">Typical naturally-occurring male hypogonadism is usually associated with pleiotropic pathology, such as Klinefelter’s syndrome, where deficient androgen synthesis may be complicated by other peripheral defects. For this reason, some </w:t>
      </w:r>
      <w:r w:rsidRPr="0038065B">
        <w:lastRenderedPageBreak/>
        <w:t>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 xml:space="preserve">209]. No evidence of fiber type switching or fiber type-specific effects in response to AAS </w:t>
      </w:r>
      <w:r w:rsidRPr="0038065B">
        <w:lastRenderedPageBreak/>
        <w:t>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w:t>
      </w:r>
      <w:r w:rsidR="00D72E45" w:rsidRPr="0038065B">
        <w:lastRenderedPageBreak/>
        <w:t>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 xml:space="preserve">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w:t>
      </w:r>
      <w:r w:rsidRPr="0038065B">
        <w:lastRenderedPageBreak/>
        <w:t>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 xml:space="preserve">234, 235], which will discourage the use of Testo in heart failure and, in general, in populations at risk. In 2014, FDA required manufacturers to include on Testo labels a warning regarding increased </w:t>
      </w:r>
      <w:r w:rsidRPr="0038065B">
        <w:lastRenderedPageBreak/>
        <w:t>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3" w:name="_Toc421412248"/>
      <w:r w:rsidRPr="0038065B">
        <w:lastRenderedPageBreak/>
        <w:t>2. BIOLOGICAL PREMISES</w:t>
      </w:r>
      <w:bookmarkEnd w:id="13"/>
    </w:p>
    <w:p w14:paraId="4076F393" w14:textId="77777777" w:rsidR="00A60D29" w:rsidRPr="0038065B" w:rsidRDefault="00D72E45" w:rsidP="00200ACB">
      <w:pPr>
        <w:pStyle w:val="Heading2"/>
      </w:pPr>
      <w:bookmarkStart w:id="14" w:name="_Toc421412249"/>
      <w:r w:rsidRPr="0038065B">
        <w:t xml:space="preserve">Skeletal muscle </w:t>
      </w:r>
      <w:r w:rsidRPr="00200ACB">
        <w:t>histology</w:t>
      </w:r>
      <w:bookmarkEnd w:id="14"/>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 xml:space="preserve">239]. Intramuscular connective structures carry terminal branches of the nervous, circulatory and lymphatic </w:t>
      </w:r>
      <w:r w:rsidRPr="0038065B">
        <w:lastRenderedPageBreak/>
        <w:t>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lastRenderedPageBreak/>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00676457" w:rsidRPr="0038065B">
        <w:lastRenderedPageBreak/>
        <w:t>[</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5" w:name="_Toc421412250"/>
      <w:r w:rsidRPr="0038065B">
        <w:t>Pre</w:t>
      </w:r>
      <w:r w:rsidR="002C626A">
        <w:t>-</w:t>
      </w:r>
      <w:r w:rsidRPr="0038065B">
        <w:t xml:space="preserve">adult muscle </w:t>
      </w:r>
      <w:r w:rsidRPr="00200ACB">
        <w:t>development</w:t>
      </w:r>
      <w:bookmarkEnd w:id="15"/>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 xml:space="preserve">Even earlier, de novo muscle development is remarkable for its accretion of new nuclei to the myofiber. Pre-adulthood muscle growth appears reliant on hyperplasia, that is, cell proliferation. Cell proliferation regulators are crucial in </w:t>
      </w:r>
      <w:r w:rsidRPr="0038065B">
        <w:lastRenderedPageBreak/>
        <w:t>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 xml:space="preserve">261]. Subsequent changes include expression of </w:t>
      </w:r>
      <w:r w:rsidRPr="0038065B">
        <w:lastRenderedPageBreak/>
        <w:t>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 xml:space="preserve">270]. Defects in IGF-1R </w:t>
      </w:r>
      <w:r w:rsidRPr="0038065B">
        <w:lastRenderedPageBreak/>
        <w:t>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6" w:name="_Toc421412251"/>
      <w:r w:rsidRPr="0038065B">
        <w:t xml:space="preserve">Physiological </w:t>
      </w:r>
      <w:r w:rsidRPr="00200ACB">
        <w:t>muscle</w:t>
      </w:r>
      <w:r w:rsidRPr="0038065B">
        <w:t xml:space="preserve"> metabolism</w:t>
      </w:r>
      <w:bookmarkEnd w:id="16"/>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 xml:space="preserve">278, 279]). Because its capacity to synthesize fatty acid is negligible, muscle is a consumer and a minor store, but not a generator, of fatty acids. During fast, more than half of infused non-esterified fatty acids (NEFA) are taken up by muscle, with a higher rate of </w:t>
      </w:r>
      <w:r w:rsidRPr="0038065B">
        <w:lastRenderedPageBreak/>
        <w:t>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w:t>
      </w:r>
      <w:r w:rsidRPr="0038065B">
        <w:lastRenderedPageBreak/>
        <w:t>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 xml:space="preserve">292]. Glutamine is synthesized in muscle in order to release the excess nitrogen yielded by amino acid release during protein degradation. Muscle’s glutamine is then converted by the liver to urea and excreted. The aforementioned amino acids, with important </w:t>
      </w:r>
      <w:r w:rsidRPr="0038065B">
        <w:lastRenderedPageBreak/>
        <w:t>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w:t>
      </w:r>
      <w:r w:rsidRPr="0038065B">
        <w:lastRenderedPageBreak/>
        <w:t>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7" w:name="_Toc421412252"/>
      <w:r w:rsidRPr="0038065B">
        <w:t>Adult muscle remodeling</w:t>
      </w:r>
      <w:bookmarkEnd w:id="17"/>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 xml:space="preserve">301, 302, 303]. These </w:t>
      </w:r>
      <w:r w:rsidRPr="0038065B">
        <w:lastRenderedPageBreak/>
        <w:t>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lastRenderedPageBreak/>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8" w:name="_Toc421412253"/>
      <w:r w:rsidRPr="00200ACB">
        <w:t>Hormonal</w:t>
      </w:r>
      <w:r w:rsidRPr="0038065B">
        <w:t xml:space="preserve"> control of muscle mass</w:t>
      </w:r>
      <w:bookmarkEnd w:id="18"/>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 xml:space="preserve">mechanisms. </w:t>
      </w:r>
      <w:r w:rsidRPr="0038065B">
        <w:lastRenderedPageBreak/>
        <w:t>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3E5EF7C1"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00523A25">
        <w:t>n EC50 of</w:t>
      </w:r>
      <w:bookmarkStart w:id="19" w:name="_GoBack"/>
      <w:bookmarkEnd w:id="19"/>
      <w:r w:rsidRPr="0038065B">
        <w:t xml:space="preserve">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lastRenderedPageBreak/>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 xml:space="preserve">Hypothyroidism is often associated with muscle weakness and </w:t>
      </w:r>
      <w:r w:rsidRPr="0038065B">
        <w:lastRenderedPageBreak/>
        <w:t>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20" w:name="_Toc421412254"/>
      <w:r w:rsidRPr="0038065B">
        <w:t xml:space="preserve">Interaction of muscle mass and </w:t>
      </w:r>
      <w:r w:rsidRPr="00200ACB">
        <w:t>vascularization</w:t>
      </w:r>
      <w:bookmarkEnd w:id="20"/>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lastRenderedPageBreak/>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 xml:space="preserve">347]. </w:t>
      </w:r>
      <w:r w:rsidRPr="0038065B">
        <w:lastRenderedPageBreak/>
        <w:t>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1" w:name="_Toc421412255"/>
      <w:r w:rsidRPr="0038065B">
        <w:t xml:space="preserve">Control of muscle mass through </w:t>
      </w:r>
      <w:r w:rsidRPr="00200ACB">
        <w:t>innervation</w:t>
      </w:r>
      <w:bookmarkEnd w:id="21"/>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w:t>
      </w:r>
      <w:r w:rsidRPr="0038065B">
        <w:lastRenderedPageBreak/>
        <w:t xml:space="preserve">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w:t>
      </w:r>
      <w:r w:rsidRPr="0038065B">
        <w:lastRenderedPageBreak/>
        <w:t>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 xml:space="preserve">372]. After the </w:t>
      </w:r>
      <w:r w:rsidRPr="0038065B">
        <w:lastRenderedPageBreak/>
        <w:t>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w:t>
      </w:r>
      <w:r w:rsidRPr="0038065B">
        <w:lastRenderedPageBreak/>
        <w:t>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w:t>
      </w:r>
      <w:r w:rsidRPr="0038065B">
        <w:lastRenderedPageBreak/>
        <w:t xml:space="preserve">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2" w:name="_Toc421412256"/>
      <w:r w:rsidRPr="0038065B">
        <w:t xml:space="preserve">Animal models of </w:t>
      </w:r>
      <w:r w:rsidRPr="00200ACB">
        <w:t>glucocorticoid</w:t>
      </w:r>
      <w:r w:rsidRPr="0038065B">
        <w:t xml:space="preserve"> myopathy</w:t>
      </w:r>
      <w:bookmarkEnd w:id="22"/>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 xml:space="preserve">myopathy, </w:t>
      </w:r>
      <w:r w:rsidRPr="0038065B">
        <w:lastRenderedPageBreak/>
        <w:t>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 xml:space="preserve">225]. To my knowledge, at the start of this work, there was no published account of muscle </w:t>
      </w:r>
      <w:r w:rsidRPr="0038065B">
        <w:lastRenderedPageBreak/>
        <w:t>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 xml:space="preserve">Moreover, Dexa has hyperplastic and hypertrophic effects on myogenic cell lines. Commonly tested doses of Dexa, in the range of tens of nM, have been </w:t>
      </w:r>
      <w:r w:rsidRPr="0038065B">
        <w:lastRenderedPageBreak/>
        <w:t>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 xml:space="preserve">396]. Members of the short-acting subset, including </w:t>
      </w:r>
      <w:r w:rsidRPr="0038065B">
        <w:lastRenderedPageBreak/>
        <w:t>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lastRenderedPageBreak/>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 xml:space="preserve">410], or depleted of ATP by a combination of the mitochondrial decoupling agent </w:t>
      </w:r>
      <w:r w:rsidRPr="0038065B">
        <w:lastRenderedPageBreak/>
        <w:t>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 xml:space="preserve">n contradiction to such parallels, Dexa </w:t>
      </w:r>
      <w:r w:rsidRPr="0038065B">
        <w:lastRenderedPageBreak/>
        <w:t>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 xml:space="preserve">429]. It is possible that GAML represses regeneration to a higher degree, </w:t>
      </w:r>
      <w:r w:rsidRPr="0038065B">
        <w:lastRenderedPageBreak/>
        <w:t>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w:t>
      </w:r>
      <w:r w:rsidRPr="0038065B">
        <w:lastRenderedPageBreak/>
        <w:t>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 xml:space="preserve">107]. Next sections will describe the various pathways that are hypothesized to upregulate the ubiquitin-proteasome system. Each of them has proteasome-unrelated side </w:t>
      </w:r>
      <w:r w:rsidRPr="0038065B">
        <w:lastRenderedPageBreak/>
        <w:t>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w:t>
      </w:r>
      <w:r w:rsidRPr="0038065B">
        <w:lastRenderedPageBreak/>
        <w:t>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 xml:space="preserve">446]. The mechanism by </w:t>
      </w:r>
      <w:r w:rsidRPr="0038065B">
        <w:lastRenderedPageBreak/>
        <w:t>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 xml:space="preserve">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w:t>
      </w:r>
      <w:r w:rsidRPr="0038065B">
        <w:lastRenderedPageBreak/>
        <w:t>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w:t>
      </w:r>
      <w:r w:rsidRPr="0038065B">
        <w:lastRenderedPageBreak/>
        <w:t>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 xml:space="preserve">467]. Such </w:t>
      </w:r>
      <w:r w:rsidRPr="0038065B">
        <w:lastRenderedPageBreak/>
        <w:t>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w:t>
      </w:r>
      <w:r w:rsidRPr="0038065B">
        <w:lastRenderedPageBreak/>
        <w:t xml:space="preserve">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 xml:space="preserve">Akt-mediated Dexa effect on mTORC1 would be subtle, with sizable amplitude only during hyperinsulinemia. Alternative Akt-independent pathways have been </w:t>
      </w:r>
      <w:r w:rsidRPr="0038065B">
        <w:lastRenderedPageBreak/>
        <w:t>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 xml:space="preserve">Another way to gauge the role of mTORC1 is to use its inhibitor, rapamycin. </w:t>
      </w:r>
      <w:r w:rsidRPr="0038065B">
        <w:lastRenderedPageBreak/>
        <w:t>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 xml:space="preserve">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w:t>
      </w:r>
      <w:r w:rsidR="007F521C">
        <w:lastRenderedPageBreak/>
        <w:t>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 xml:space="preserve">paradigm, </w:t>
      </w:r>
      <w:r w:rsidR="00CF7242" w:rsidRPr="0038065B">
        <w:lastRenderedPageBreak/>
        <w:t>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 xml:space="preserve">502]). When active, Akt phosphorylates Foxo1 at Tyr 32 and Ser </w:t>
      </w:r>
      <w:r w:rsidRPr="0038065B">
        <w:lastRenderedPageBreak/>
        <w:t>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 xml:space="preserve">509]. PPARβ/δ inhibition reduces GAML and, at the same time, prevents Dexa-stimulated acetylation of Foxo1. While the direct effects of this post-transcriptional </w:t>
      </w:r>
      <w:r w:rsidRPr="0038065B">
        <w:lastRenderedPageBreak/>
        <w:t>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 xml:space="preserve">In both atrogenes’ promoter, a Klf15 response element is located, near the </w:t>
      </w:r>
      <w:r w:rsidRPr="0038065B">
        <w:lastRenderedPageBreak/>
        <w:t>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 xml:space="preserve">525]. The stability of the myostatin transcript is improved by Dexa-exerted repression </w:t>
      </w:r>
      <w:r w:rsidRPr="0038065B">
        <w:lastRenderedPageBreak/>
        <w:t>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 xml:space="preserve">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w:t>
      </w:r>
      <w:r w:rsidRPr="0038065B">
        <w:lastRenderedPageBreak/>
        <w:t>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lastRenderedPageBreak/>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 xml:space="preserve">Variability in the time from feeding and treatment to biopsy is a significant source of experimental noise, which must contribute to inconsistencies in literature. For example, some of the most exhaustive studies of protein </w:t>
      </w:r>
      <w:r w:rsidRPr="0038065B">
        <w:lastRenderedPageBreak/>
        <w:t>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 xml:space="preserve">545]. The proportion of polysomes recovers to basal level in less than 24 hours, when the </w:t>
      </w:r>
      <w:r w:rsidRPr="0038065B">
        <w:lastRenderedPageBreak/>
        <w:t>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lastRenderedPageBreak/>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 xml:space="preserve">The study of translational derepression in mammalians is still in its </w:t>
      </w:r>
      <w:r w:rsidRPr="0038065B">
        <w:lastRenderedPageBreak/>
        <w:t>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lastRenderedPageBreak/>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 xml:space="preserve">Similar to the microscopy experiments, these reports use acute Dexa treatments. Moreover, a time course reveals that in L6 myotubes, LC3-II peaks at </w:t>
      </w:r>
      <w:r w:rsidRPr="0038065B">
        <w:lastRenderedPageBreak/>
        <w:t>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 xml:space="preserve">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w:t>
      </w:r>
      <w:r w:rsidRPr="0038065B">
        <w:lastRenderedPageBreak/>
        <w:t>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 xml:space="preserve">It has been speculated that activations of calpains is an initial step in GAML, </w:t>
      </w:r>
      <w:r w:rsidRPr="0038065B">
        <w:lastRenderedPageBreak/>
        <w:t>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w:t>
      </w:r>
      <w:r w:rsidRPr="0038065B">
        <w:lastRenderedPageBreak/>
        <w:t>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00676457" w:rsidRPr="0038065B">
        <w:lastRenderedPageBreak/>
        <w:t>[</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 xml:space="preserve">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w:t>
      </w:r>
      <w:r w:rsidRPr="0038065B">
        <w:lastRenderedPageBreak/>
        <w:t>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 xml:space="preserve">592]. While the referenced report </w:t>
      </w:r>
      <w:r w:rsidRPr="0038065B">
        <w:lastRenderedPageBreak/>
        <w:t>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 xml:space="preserve">599, 600], suggesting a way by which castration </w:t>
      </w:r>
      <w:r w:rsidRPr="0038065B">
        <w:lastRenderedPageBreak/>
        <w:t>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 xml:space="preserve">604] on rat gastrocnemius. With these regimen, Testo reliably, but incompletely, reverses losses in body weight, </w:t>
      </w:r>
      <w:r w:rsidRPr="0038065B">
        <w:lastRenderedPageBreak/>
        <w:t>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 xml:space="preserve">Testo reverses losses in rat </w:t>
      </w:r>
      <w:r w:rsidRPr="0038065B">
        <w:lastRenderedPageBreak/>
        <w:t>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lastRenderedPageBreak/>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lastRenderedPageBreak/>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 xml:space="preserve">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w:t>
      </w:r>
      <w:r w:rsidRPr="0038065B">
        <w:lastRenderedPageBreak/>
        <w:t>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lastRenderedPageBreak/>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 xml:space="preserve">(Solon, Ohio). Unless specified, chemical reagents used in this </w:t>
      </w:r>
      <w:r w:rsidRPr="0038065B">
        <w:lastRenderedPageBreak/>
        <w:t>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 xml:space="preserve">Chymotrypsin-like proteasome enzymatic activity was measured using the 20S Proteasome Activity Assay kit (Chemicon International, Temecula, </w:t>
      </w:r>
      <w:r w:rsidRPr="0038065B">
        <w:lastRenderedPageBreak/>
        <w:t>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 xml:space="preserve">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w:t>
      </w:r>
      <w:r w:rsidRPr="0038065B">
        <w:lastRenderedPageBreak/>
        <w:t>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lastRenderedPageBreak/>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 xml:space="preserve">L pepstatin, </w:t>
      </w:r>
      <w:r w:rsidRPr="0038065B">
        <w:lastRenderedPageBreak/>
        <w:t>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 xml:space="preserve">4 ‰ v/v tetramethylethylenediamine. In order to settle and migrate, lysates were </w:t>
      </w:r>
      <w:r w:rsidRPr="0038065B">
        <w:lastRenderedPageBreak/>
        <w:t>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 xml:space="preserve">L BSA and primary antibodies of choice (listed later). Next day, the membranes were washed in TBST, twice briefly and three times with 5 min shaking at room temperature. The washed membranes were then probed by shaking at room </w:t>
      </w:r>
      <w:r w:rsidRPr="0038065B">
        <w:lastRenderedPageBreak/>
        <w:t>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 xml:space="preserve">MF20 hybridoma cells), anti-GAPDH (Pierce), anti-calpain 1 (Abcam), anti-eIF3f </w:t>
      </w:r>
      <w:r w:rsidRPr="0038065B">
        <w:lastRenderedPageBreak/>
        <w:t>(Rockland),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lastRenderedPageBreak/>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 xml:space="preserve">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w:t>
      </w:r>
      <w:r w:rsidRPr="0038065B">
        <w:lastRenderedPageBreak/>
        <w:t>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w:lastRenderedPageBreak/>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 xml:space="preserve">500 </w:t>
      </w:r>
      <w:r w:rsidRPr="0038065B">
        <w:lastRenderedPageBreak/>
        <w:t>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lastRenderedPageBreak/>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lastRenderedPageBreak/>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 xml:space="preserve">For chase experiments, PBS was then replaced with non-radioactive differentiation medium, for the durations specified at each experiment. Chase experiments ended with a double rinse with PBS. Preliminary studies revealed </w:t>
      </w:r>
      <w:r w:rsidRPr="0038065B">
        <w:lastRenderedPageBreak/>
        <w:t>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lastRenderedPageBreak/>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 xml:space="preserve">PubMed. Search expressions included ‘testosterone OR androgens‘, ‘dexamethasone OR betamethasone OR triamcinolone OR prednisone OR prednisolone OR hydrocortisone OR cortisone OR triamcinolone OR </w:t>
      </w:r>
      <w:r w:rsidRPr="0038065B">
        <w:lastRenderedPageBreak/>
        <w:t>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lastRenderedPageBreak/>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 xml:space="preserve">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w:t>
      </w:r>
      <w:r w:rsidRPr="0038065B">
        <w:lastRenderedPageBreak/>
        <w:t>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lastRenderedPageBreak/>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 xml:space="preserve">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w:t>
      </w:r>
      <w:r w:rsidRPr="0038065B">
        <w:lastRenderedPageBreak/>
        <w:t>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w:lastRenderedPageBreak/>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 xml:space="preserve">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w:t>
      </w:r>
      <w:r w:rsidRPr="0038065B">
        <w:lastRenderedPageBreak/>
        <w:t>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w:lastRenderedPageBreak/>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 xml:space="preserve">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w:t>
      </w:r>
      <w:r w:rsidRPr="0038065B">
        <w:lastRenderedPageBreak/>
        <w:t>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w:lastRenderedPageBreak/>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lastRenderedPageBreak/>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w:lastRenderedPageBreak/>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lastRenderedPageBreak/>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 xml:space="preserve">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w:t>
      </w:r>
      <w:r w:rsidRPr="0038065B">
        <w:lastRenderedPageBreak/>
        <w:t>(18.7%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w:lastRenderedPageBreak/>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w:lastRenderedPageBreak/>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w:t>
      </w:r>
      <w:r w:rsidRPr="0038065B">
        <w:lastRenderedPageBreak/>
        <w:t>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lastRenderedPageBreak/>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w:t>
      </w:r>
      <w:r w:rsidRPr="0003722B">
        <w:lastRenderedPageBreak/>
        <w:t xml:space="preserve">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 xml:space="preserve">Finally, Dexa was hypothesized to achieve protein synthesis inhibition by stimulating the negative regulator 4E-BP. In Dexa-treated mice, gastrocnemius </w:t>
      </w:r>
      <w:r w:rsidRPr="0038065B">
        <w:lastRenderedPageBreak/>
        <w:t>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 xml:space="preserve">amplitude of Testo-induced changes in 4E-BP is small, and the direction opposite to what would be required to upregulate protein synthesis and facilitate muscle </w:t>
      </w:r>
      <w:r w:rsidRPr="0038065B">
        <w:lastRenderedPageBreak/>
        <w:t>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 xml:space="preserve">othetical means by which Dexa is thought to stimulate Foxo transcriptional program. Most of them converge on upregulation of Foxo </w:t>
      </w:r>
      <w:r w:rsidRPr="0038065B">
        <w:lastRenderedPageBreak/>
        <w:t>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w:lastRenderedPageBreak/>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 xml:space="preserve">The changes in Foxo transcription factors were mirrored by similar changes </w:t>
      </w:r>
      <w:r w:rsidRPr="0038065B">
        <w:lastRenderedPageBreak/>
        <w:t>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w:lastRenderedPageBreak/>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lastRenderedPageBreak/>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 xml:space="preserve">In gastrocnemius, Dexa downregulated IGF-I expression in samples collected </w:t>
      </w:r>
      <w:r w:rsidRPr="0038065B">
        <w:lastRenderedPageBreak/>
        <w:t>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w:lastRenderedPageBreak/>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lastRenderedPageBreak/>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 xml:space="preserve">In mouse explanted myofibers and C2C12 cultured myotubes, muscle atrophy is a cell-autonomous phenomenon, with all its essential manifestations present in </w:t>
      </w:r>
      <w:r w:rsidRPr="0038065B">
        <w:lastRenderedPageBreak/>
        <w:t>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 xml:space="preserve">In another experiment, I tested the ability of Testo to preserve protein content in C2C12 cells. In order to determine the time course of protein content, </w:t>
      </w:r>
      <w:r w:rsidRPr="0038065B">
        <w:lastRenderedPageBreak/>
        <w:t>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lastRenderedPageBreak/>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lastRenderedPageBreak/>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 xml:space="preserve">point. The amplest difference in translation rate between treatments is in day 4, when, in Dexa cells, protein synthesis rate is higher than in all other conditions (specific activity 10.6% higher than vehicle, and 13.5% higher than the </w:t>
      </w:r>
      <w:r w:rsidRPr="0038065B">
        <w:lastRenderedPageBreak/>
        <w:t>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 xml:space="preserve">addition of non-additive data, protein degradation rate was estimated from the </w:t>
      </w:r>
      <w:r w:rsidR="005618F4" w:rsidRPr="0038065B">
        <w:lastRenderedPageBreak/>
        <w:t>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w:t>
      </w:r>
      <w:r w:rsidRPr="0038065B">
        <w:lastRenderedPageBreak/>
        <w:t>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w:lastRenderedPageBreak/>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 xml:space="preserve">Overall, Dexa myotube atrophy is correlated with an increase in tracer release, indicating an upregulation of protein degradation. Testo protection of </w:t>
      </w:r>
      <w:r w:rsidRPr="0038065B">
        <w:lastRenderedPageBreak/>
        <w:t>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w:lastRenderedPageBreak/>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 xml:space="preserve">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w:t>
      </w:r>
      <w:r w:rsidRPr="0038065B">
        <w:lastRenderedPageBreak/>
        <w:t>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lastRenderedPageBreak/>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 xml:space="preserve">body weight (Fig. 3), rather </w:t>
      </w:r>
      <w:r w:rsidRPr="0038065B">
        <w:lastRenderedPageBreak/>
        <w:t>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w:t>
      </w:r>
      <w:r w:rsidRPr="0038065B">
        <w:lastRenderedPageBreak/>
        <w:t xml:space="preserve">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w:t>
      </w:r>
      <w:r w:rsidRPr="0038065B">
        <w:lastRenderedPageBreak/>
        <w:t xml:space="preserv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w:t>
      </w:r>
      <w:r w:rsidR="00193FE7">
        <w:lastRenderedPageBreak/>
        <w:t>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 xml:space="preserve">small sample size. Upregulation of MuRF-1 was confirmed at early stages in gastrocnemius, quadriceps, and triceps (Fig. 6; the latter not shown). In agreement with published studies, the more specific ligase, MAFbx, was upregulated by a lesser percentage than MuRF-1. In combination with the </w:t>
      </w:r>
      <w:r w:rsidRPr="0038065B">
        <w:lastRenderedPageBreak/>
        <w:t>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lastRenderedPageBreak/>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lastRenderedPageBreak/>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 xml:space="preserve">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w:t>
      </w:r>
      <w:r w:rsidRPr="0038065B">
        <w:lastRenderedPageBreak/>
        <w:t>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w:t>
      </w:r>
      <w:r w:rsidRPr="0038065B">
        <w:lastRenderedPageBreak/>
        <w:t xml:space="preserve">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w:t>
      </w:r>
      <w:r w:rsidR="002D0425">
        <w:lastRenderedPageBreak/>
        <w:t>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w:t>
      </w:r>
      <w:r w:rsidRPr="0038065B">
        <w:lastRenderedPageBreak/>
        <w:t>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w:t>
      </w:r>
      <w:r w:rsidRPr="0038065B">
        <w:lastRenderedPageBreak/>
        <w:t>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w:t>
      </w:r>
      <w:r w:rsidRPr="0038065B">
        <w:lastRenderedPageBreak/>
        <w:t xml:space="preserve">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 xml:space="preserve">exerted through an inhibition of the proteasome, mediated by Foxo and REDD1. Changes in these, as well as in IGF-I intramuscular expression, </w:t>
      </w:r>
      <w:r w:rsidRPr="005618F4">
        <w:lastRenderedPageBreak/>
        <w:t>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lastRenderedPageBreak/>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61620A">
        <w:rPr>
          <w:lang w:val="it-IT"/>
        </w:rPr>
        <w:t>[augusto2004</w:t>
      </w:r>
      <w:r>
        <w:rPr>
          <w:lang w:val="it-IT"/>
        </w:rPr>
        <w:t>]</w:t>
      </w:r>
      <w:r w:rsidRPr="0061620A">
        <w:rPr>
          <w:lang w:val="it-IT"/>
        </w:rPr>
        <w:t xml:space="preserve">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w:t>
      </w:r>
      <w:r>
        <w:lastRenderedPageBreak/>
        <w:t xml:space="preserve">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w:t>
      </w:r>
      <w:r>
        <w:lastRenderedPageBreak/>
        <w:t xml:space="preserve">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w:t>
      </w:r>
      <w:r>
        <w:lastRenderedPageBreak/>
        <w:t xml:space="preserve">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w:t>
      </w:r>
      <w:r>
        <w:lastRenderedPageBreak/>
        <w:t xml:space="preserve">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w:t>
      </w:r>
      <w:r>
        <w:lastRenderedPageBreak/>
        <w:t xml:space="preserve">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lastRenderedPageBreak/>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w:t>
      </w:r>
      <w:r>
        <w:lastRenderedPageBreak/>
        <w:t xml:space="preserve">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w:t>
      </w:r>
      <w:r>
        <w:lastRenderedPageBreak/>
        <w:t xml:space="preserve">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w:t>
      </w:r>
      <w:r>
        <w:lastRenderedPageBreak/>
        <w:t xml:space="preserve">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w:t>
      </w:r>
      <w:r>
        <w:lastRenderedPageBreak/>
        <w:t xml:space="preserve">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w:t>
      </w:r>
      <w:r>
        <w:lastRenderedPageBreak/>
        <w:t xml:space="preserve">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lastRenderedPageBreak/>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w:t>
      </w:r>
      <w:r>
        <w:lastRenderedPageBreak/>
        <w:t xml:space="preserve">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w:t>
      </w:r>
      <w:r>
        <w:lastRenderedPageBreak/>
        <w:t xml:space="preserve">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w:t>
      </w:r>
      <w:r>
        <w:lastRenderedPageBreak/>
        <w:t xml:space="preserve">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I. G. Brodsky, P. Balagopal, and K. S. Nair. Effects of testosterone replacement on muscle mass and muscle protein synthesis in hypogonadal men–</w:t>
      </w:r>
      <w:r>
        <w:lastRenderedPageBreak/>
        <w:t xml:space="preserve">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lastRenderedPageBreak/>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lastRenderedPageBreak/>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w:t>
      </w:r>
      <w:r>
        <w:lastRenderedPageBreak/>
        <w:t xml:space="preserve">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lastRenderedPageBreak/>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w:t>
      </w:r>
      <w:r>
        <w:lastRenderedPageBreak/>
        <w:t xml:space="preserve">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w:t>
      </w:r>
      <w:r>
        <w:lastRenderedPageBreak/>
        <w:t xml:space="preserve">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w:t>
      </w:r>
      <w:r>
        <w:lastRenderedPageBreak/>
        <w:t xml:space="preserve">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w:t>
      </w:r>
      <w:r>
        <w:lastRenderedPageBreak/>
        <w:t xml:space="preserve">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w:t>
      </w:r>
      <w:r>
        <w:lastRenderedPageBreak/>
        <w:t xml:space="preserve">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w:t>
      </w:r>
      <w:r>
        <w:lastRenderedPageBreak/>
        <w:t xml:space="preserve">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w:t>
      </w:r>
      <w:r>
        <w:lastRenderedPageBreak/>
        <w:t xml:space="preserve">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w:t>
      </w:r>
      <w:r>
        <w:lastRenderedPageBreak/>
        <w:t xml:space="preserve">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lastRenderedPageBreak/>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w:t>
      </w:r>
      <w:r>
        <w:lastRenderedPageBreak/>
        <w:t xml:space="preserve">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w:t>
      </w:r>
      <w:r>
        <w:lastRenderedPageBreak/>
        <w:t xml:space="preserve">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w:t>
      </w:r>
      <w:r>
        <w:lastRenderedPageBreak/>
        <w:t xml:space="preserve">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w:t>
      </w:r>
      <w:r>
        <w:lastRenderedPageBreak/>
        <w:t xml:space="preserve">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w:t>
      </w:r>
      <w:r>
        <w:lastRenderedPageBreak/>
        <w:t xml:space="preserve">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lastRenderedPageBreak/>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w:t>
      </w:r>
      <w:r>
        <w:lastRenderedPageBreak/>
        <w:t xml:space="preserve">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w:t>
      </w:r>
      <w:r>
        <w:lastRenderedPageBreak/>
        <w:t xml:space="preserve">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w:t>
      </w:r>
      <w:r>
        <w:lastRenderedPageBreak/>
        <w:t xml:space="preserve">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w:t>
      </w:r>
      <w:r>
        <w:lastRenderedPageBreak/>
        <w:t xml:space="preserve">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w:t>
      </w:r>
      <w:r>
        <w:lastRenderedPageBreak/>
        <w:t xml:space="preserve">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lastRenderedPageBreak/>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w:t>
      </w:r>
      <w:r>
        <w:lastRenderedPageBreak/>
        <w:t xml:space="preserve">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w:t>
      </w:r>
      <w:r>
        <w:lastRenderedPageBreak/>
        <w:t xml:space="preserve">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w:t>
      </w:r>
      <w:r>
        <w:lastRenderedPageBreak/>
        <w:t xml:space="preserve">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w:t>
      </w:r>
      <w:r>
        <w:lastRenderedPageBreak/>
        <w:t xml:space="preserve">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w:t>
      </w:r>
      <w:r>
        <w:lastRenderedPageBreak/>
        <w:t xml:space="preserve">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C. Hauser, and P.-O. Hasselgren. Dexamethasone stimulates store-</w:t>
      </w:r>
      <w:r>
        <w:lastRenderedPageBreak/>
        <w:t xml:space="preserv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w:t>
      </w:r>
      <w:r>
        <w:lastRenderedPageBreak/>
        <w:t xml:space="preserve">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w:t>
      </w:r>
      <w:r>
        <w:lastRenderedPageBreak/>
        <w:t xml:space="preserve">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w:t>
      </w:r>
      <w:r>
        <w:lastRenderedPageBreak/>
        <w:t xml:space="preserve">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lastRenderedPageBreak/>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lastRenderedPageBreak/>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 xml:space="preserve">Interplay between intra- and intermolecular interactions </w:t>
      </w:r>
      <w:r>
        <w:rPr>
          <w:i/>
        </w:rPr>
        <w:lastRenderedPageBreak/>
        <w:t>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A4479A" w:rsidRDefault="00A4479A">
      <w:pPr>
        <w:spacing w:line="240" w:lineRule="auto"/>
      </w:pPr>
      <w:r>
        <w:separator/>
      </w:r>
    </w:p>
    <w:p w14:paraId="4E67628C" w14:textId="77777777" w:rsidR="00A4479A" w:rsidRDefault="00A4479A"/>
    <w:p w14:paraId="6F3C610F" w14:textId="77777777" w:rsidR="00A4479A" w:rsidRDefault="00A4479A" w:rsidP="00B8332B"/>
  </w:endnote>
  <w:endnote w:type="continuationSeparator" w:id="0">
    <w:p w14:paraId="7A7F5650" w14:textId="77777777" w:rsidR="00A4479A" w:rsidRDefault="00A4479A">
      <w:pPr>
        <w:spacing w:line="240" w:lineRule="auto"/>
      </w:pPr>
      <w:r>
        <w:continuationSeparator/>
      </w:r>
    </w:p>
    <w:p w14:paraId="021F3846" w14:textId="77777777" w:rsidR="00A4479A" w:rsidRDefault="00A4479A"/>
    <w:p w14:paraId="02BE76A1" w14:textId="77777777" w:rsidR="00A4479A" w:rsidRDefault="00A4479A"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523A25">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A4479A" w:rsidRDefault="00A4479A">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A4479A" w:rsidRDefault="00A4479A">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A4479A" w:rsidRDefault="00A4479A">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A4479A" w:rsidRDefault="00A4479A">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A4479A" w:rsidRDefault="00A4479A">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A4479A" w:rsidRDefault="00A4479A">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A4479A" w:rsidRDefault="00A4479A">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A4479A" w:rsidRDefault="00A4479A">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A4479A" w:rsidRDefault="00A4479A">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A4479A" w:rsidRDefault="00A4479A">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523A25">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A4479A" w:rsidRDefault="00A4479A">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A4479A" w:rsidRDefault="00A4479A">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A4479A" w:rsidRDefault="00A4479A">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A4479A" w:rsidRDefault="00A4479A">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A4479A" w:rsidRDefault="00A4479A">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A4479A" w:rsidRDefault="00A4479A">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A4479A" w:rsidRDefault="00A4479A">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A4479A" w:rsidRDefault="00A4479A">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A4479A" w:rsidRDefault="00A4479A">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A4479A" w:rsidRDefault="00A4479A">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A4479A" w:rsidRDefault="00A4479A">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A4479A" w:rsidRDefault="00A4479A">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A4479A" w:rsidRDefault="00A4479A">
      <w:pPr>
        <w:spacing w:line="240" w:lineRule="auto"/>
      </w:pPr>
      <w:r>
        <w:separator/>
      </w:r>
    </w:p>
    <w:p w14:paraId="0CE7E7CB" w14:textId="77777777" w:rsidR="00A4479A" w:rsidRDefault="00A4479A"/>
    <w:p w14:paraId="37B41683" w14:textId="77777777" w:rsidR="00A4479A" w:rsidRDefault="00A4479A" w:rsidP="00B8332B"/>
  </w:footnote>
  <w:footnote w:type="continuationSeparator" w:id="0">
    <w:p w14:paraId="605F7EB2" w14:textId="77777777" w:rsidR="00A4479A" w:rsidRDefault="00A4479A">
      <w:pPr>
        <w:spacing w:line="240" w:lineRule="auto"/>
      </w:pPr>
      <w:r>
        <w:continuationSeparator/>
      </w:r>
    </w:p>
    <w:p w14:paraId="4A8C57F7" w14:textId="77777777" w:rsidR="00A4479A" w:rsidRDefault="00A4479A"/>
    <w:p w14:paraId="05178EC1" w14:textId="77777777" w:rsidR="00A4479A" w:rsidRDefault="00A4479A"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A4479A" w:rsidRDefault="00A4479A">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A4479A" w:rsidRDefault="00A4479A">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154</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155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A4479A" w:rsidRDefault="00A4479A">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166</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167</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A4479A" w:rsidRDefault="00A4479A">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A4479A" w:rsidRDefault="00A4479A">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A4479A" w:rsidRDefault="00A4479A">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236</w:t>
    </w:r>
    <w:r>
      <w:fldChar w:fldCharType="end"/>
    </w:r>
  </w:p>
  <w:p w14:paraId="06813B2C" w14:textId="77777777" w:rsidR="00A4479A" w:rsidRDefault="00A4479A"/>
  <w:p w14:paraId="26C7CADF" w14:textId="77777777" w:rsidR="00A4479A" w:rsidRDefault="00A4479A"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A4479A" w:rsidRDefault="00A4479A">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A4479A" w:rsidRDefault="00A4479A">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A4479A" w:rsidRDefault="00A4479A">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A4479A" w:rsidRDefault="00A4479A">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54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A4479A" w:rsidRDefault="00A4479A">
    <w:pPr>
      <w:spacing w:line="259" w:lineRule="auto"/>
      <w:ind w:firstLine="0"/>
      <w:jc w:val="right"/>
    </w:pPr>
    <w:r>
      <w:fldChar w:fldCharType="begin"/>
    </w:r>
    <w:r>
      <w:instrText xml:space="preserve"> PAGE   \* MERGEFORMAT </w:instrText>
    </w:r>
    <w:r>
      <w:fldChar w:fldCharType="separate"/>
    </w:r>
    <w:r w:rsidR="00523A25">
      <w:rPr>
        <w:noProof/>
      </w:rPr>
      <w:t>55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A4479A" w:rsidRDefault="00A4479A">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23A25"/>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37948"/>
    <w:rsid w:val="00C668FC"/>
    <w:rsid w:val="00CC1E00"/>
    <w:rsid w:val="00CF2C53"/>
    <w:rsid w:val="00CF49B1"/>
    <w:rsid w:val="00CF7242"/>
    <w:rsid w:val="00D069F3"/>
    <w:rsid w:val="00D7134E"/>
    <w:rsid w:val="00D72E45"/>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256</Pages>
  <Words>67295</Words>
  <Characters>383588</Characters>
  <Application>Microsoft Office Word</Application>
  <DocSecurity>0</DocSecurity>
  <Lines>3196</Lines>
  <Paragraphs>899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2015-06-24T21:54:00Z</dcterms:modified>
</cp:coreProperties>
</file>