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0" w:name="_Toc421412235"/>
      <w:r>
        <w:lastRenderedPageBreak/>
        <w:t>Acknowledgments</w:t>
      </w:r>
      <w:bookmarkEnd w:id="0"/>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5F362F96" w:rsidR="00A60D29" w:rsidRDefault="00D72E45" w:rsidP="00200ACB">
      <w:r>
        <w:t>I am dedicating this work</w:t>
      </w:r>
      <w:r w:rsidR="00C37948">
        <w:t xml:space="preserve"> to</w:t>
      </w:r>
      <w:r>
        <w:t xml:space="preserve">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bookmarkStart w:id="1" w:name="_GoBack"/>
      <w:bookmarkEnd w:id="1"/>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lastRenderedPageBreak/>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2" w:name="_Toc421412236"/>
      <w:r>
        <w:t>Abstract</w:t>
      </w:r>
      <w:bookmarkEnd w:id="2"/>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w:t>
      </w:r>
      <w:r>
        <w:lastRenderedPageBreak/>
        <w:t>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3" w:name="_Toc421412237"/>
      <w:r>
        <w:lastRenderedPageBreak/>
        <w:t>Contents</w:t>
      </w:r>
      <w:bookmarkEnd w:id="3"/>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C37948">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C37948">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C37948">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C37948">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C37948">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C37948">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C37948">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C37948">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C37948">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C37948">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C37948">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C37948">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C37948">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C37948">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C37948">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C37948">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C37948">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C37948">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C37948">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C37948">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C37948">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C37948">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C37948">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C37948">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C37948">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C37948">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C37948">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C37948">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C37948">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C37948">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C37948">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C37948">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C37948">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C37948">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C37948">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C37948">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C37948">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C37948">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C37948">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C37948">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C37948">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C37948">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C37948">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C37948">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C37948">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C37948">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C37948">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C37948">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C37948">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C37948">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C37948">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C37948">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C37948">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C37948">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C37948">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C37948">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C37948">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C37948">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C37948">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C37948">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C37948">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C37948">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C37948">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4" w:name="_Toc421412238"/>
      <w:r>
        <w:lastRenderedPageBreak/>
        <w:t>List of Tables</w:t>
      </w:r>
      <w:bookmarkEnd w:id="4"/>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5" w:name="_Toc421412239"/>
      <w:r>
        <w:lastRenderedPageBreak/>
        <w:t>List of Figures</w:t>
      </w:r>
      <w:bookmarkEnd w:id="5"/>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lastRenderedPageBreak/>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6" w:name="_Toc421412240"/>
      <w:r>
        <w:lastRenderedPageBreak/>
        <w:t>Abbreviations</w:t>
      </w:r>
      <w:bookmarkEnd w:id="6"/>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lastRenderedPageBreak/>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lastRenderedPageBreak/>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lastRenderedPageBreak/>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lastRenderedPageBreak/>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lastRenderedPageBreak/>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lastRenderedPageBreak/>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lastRenderedPageBreak/>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7" w:name="_Toc421412241"/>
      <w:r w:rsidRPr="00B8332B">
        <w:rPr>
          <w:rFonts w:ascii="Times New Roman" w:eastAsiaTheme="majorEastAsia" w:hAnsi="Times New Roman" w:cs="Times New Roman"/>
          <w:bCs/>
          <w:color w:val="auto"/>
          <w:szCs w:val="24"/>
        </w:rPr>
        <w:lastRenderedPageBreak/>
        <w:t>1. CLINICAL QUESTIONS AND EVIDENCE</w:t>
      </w:r>
      <w:bookmarkEnd w:id="7"/>
    </w:p>
    <w:p w14:paraId="0286D6C1" w14:textId="5242C6DB" w:rsidR="00A60D29" w:rsidRDefault="00D72E45">
      <w:pPr>
        <w:pStyle w:val="Heading2"/>
        <w:ind w:left="10"/>
      </w:pPr>
      <w:bookmarkStart w:id="8" w:name="_Toc421412242"/>
      <w:r>
        <w:t>Cushing’s syndrome</w:t>
      </w:r>
      <w:bookmarkEnd w:id="8"/>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 xml:space="preserve">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w:t>
      </w:r>
      <w:r>
        <w:lastRenderedPageBreak/>
        <w:t>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 xml:space="preserve">Today, we know that the truth was more nuanced. Hypersecretion of the adrenal cortex hormones cortisol and / or corticosterone is termed </w:t>
      </w:r>
      <w:r w:rsidRPr="0038065B">
        <w:lastRenderedPageBreak/>
        <w:t>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 xml:space="preserve">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w:t>
      </w:r>
      <w:r w:rsidRPr="0038065B">
        <w:lastRenderedPageBreak/>
        <w:t>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9" w:name="_Toc421412243"/>
      <w:r w:rsidRPr="00200ACB">
        <w:t>Glucocorticoid</w:t>
      </w:r>
      <w:r w:rsidRPr="0038065B">
        <w:t xml:space="preserve"> therapy</w:t>
      </w:r>
      <w:bookmarkEnd w:id="9"/>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w:t>
      </w:r>
      <w:r w:rsidRPr="0038065B">
        <w:lastRenderedPageBreak/>
        <w:t>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 xml:space="preserve">17], a decoy inhibitor for the pro-inflammatory IL-1. In other </w:t>
      </w:r>
      <w:r w:rsidRPr="0038065B">
        <w:lastRenderedPageBreak/>
        <w:t>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 xml:space="preserve">22], thus lowering the price and creating the opportunity for large-scale trials. The Empire Rheumatism Council organized a randomized trial comparing </w:t>
      </w:r>
      <w:r w:rsidRPr="0038065B">
        <w:lastRenderedPageBreak/>
        <w:t>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 xml:space="preserve">30, 31]. Dexa is the most effective and specific therapeutic synthetic GC to date, with 170 times higher ability to inhibit </w:t>
      </w:r>
      <w:r w:rsidRPr="0038065B">
        <w:lastRenderedPageBreak/>
        <w:t>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w:t>
      </w:r>
      <w:r w:rsidRPr="0038065B">
        <w:lastRenderedPageBreak/>
        <w:t>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xml:space="preserve">. The list of Food and Drug Administration (FDA)-approved indications for cortisone, Dexa, and prednisone is often narrowed by additional precautions, and by newly discovered </w:t>
      </w:r>
      <w:r w:rsidRPr="0038065B">
        <w:lastRenderedPageBreak/>
        <w:t>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 xml:space="preserve">60]. Due to their widespread use, GCs are likely to cause covert iatrogenic CS in a large population, impairing muscle </w:t>
      </w:r>
      <w:r w:rsidRPr="0038065B">
        <w:lastRenderedPageBreak/>
        <w:t>mass and quality of life to a certain and understudied degree.</w:t>
      </w:r>
    </w:p>
    <w:p w14:paraId="4EC67E69" w14:textId="77777777" w:rsidR="00A60D29" w:rsidRPr="0038065B" w:rsidRDefault="00D72E45" w:rsidP="00200ACB">
      <w:pPr>
        <w:pStyle w:val="Heading2"/>
      </w:pPr>
      <w:bookmarkStart w:id="10" w:name="_Toc421412244"/>
      <w:r w:rsidRPr="0038065B">
        <w:t>Hypercortisolism-</w:t>
      </w:r>
      <w:r w:rsidRPr="00200ACB">
        <w:t>induced</w:t>
      </w:r>
      <w:r w:rsidRPr="0038065B">
        <w:t xml:space="preserve"> muscle loss</w:t>
      </w:r>
      <w:bookmarkEnd w:id="10"/>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4EC8006" w:rsidR="00A60D29" w:rsidRPr="0038065B" w:rsidRDefault="0075610A" w:rsidP="00200ACB">
      <w:r>
        <w:t>A</w:t>
      </w:r>
      <w:r w:rsidR="00D72E45" w:rsidRPr="0038065B">
        <w:t xml:space="preserve">bout two thirds of 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 xml:space="preserve">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w:t>
      </w:r>
      <w:r w:rsidRPr="0038065B">
        <w:lastRenderedPageBreak/>
        <w:t>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 xml:space="preserve">62]. The incidence of iatrogenic CS is difficult to estimate, because there is no reporting requirement. </w:t>
      </w:r>
      <w:r w:rsidRPr="0038065B">
        <w:lastRenderedPageBreak/>
        <w:t>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6D47FA7A"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w:t>
      </w:r>
      <w:r w:rsidRPr="0038065B">
        <w:lastRenderedPageBreak/>
        <w:t xml:space="preserve">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w:t>
      </w:r>
      <w:r w:rsidR="0075610A">
        <w:t>is typically</w:t>
      </w:r>
      <w:r w:rsidRPr="0038065B">
        <w:t xml:space="preserve"> caused by a reduction in the number of </w:t>
      </w:r>
      <w:r w:rsidR="0075610A">
        <w:t xml:space="preserve">muscle </w:t>
      </w:r>
      <w:r w:rsidRPr="0038065B">
        <w:t>fibers, or by fiber atrophy</w:t>
      </w:r>
      <w:r w:rsidR="00676457" w:rsidRPr="0038065B">
        <w:t xml:space="preserve"> [</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 xml:space="preserve">79, 86]. When GAML </w:t>
      </w:r>
      <w:r w:rsidRPr="0038065B">
        <w:lastRenderedPageBreak/>
        <w:t>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lastRenderedPageBreak/>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lastRenderedPageBreak/>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7E9B426D"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human muscle development </w:t>
      </w:r>
      <w:r w:rsidR="004C3D58">
        <w:t xml:space="preserve">in vitro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 xml:space="preserve">kg cortisol infused over </w:t>
      </w:r>
      <w:r w:rsidRPr="0038065B">
        <w:lastRenderedPageBreak/>
        <w:t>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lastRenderedPageBreak/>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 xml:space="preserve">112]. Interestingly, hydroxychloroquine is also </w:t>
      </w:r>
      <w:r w:rsidRPr="0038065B">
        <w:lastRenderedPageBreak/>
        <w:t>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129F996A"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Moreover, this finding was never replicated. Löfberg and colleagues</w:t>
      </w:r>
      <w:r w:rsidR="00676457" w:rsidRPr="0038065B">
        <w:t xml:space="preserve"> [</w:t>
      </w:r>
      <w:r w:rsidRPr="0038065B">
        <w:t xml:space="preserve">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w:t>
      </w:r>
      <w:r w:rsidRPr="0038065B">
        <w:lastRenderedPageBreak/>
        <w:t>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00676457" w:rsidRPr="0038065B">
        <w:lastRenderedPageBreak/>
        <w:t>[</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1" w:name="_Toc421412245"/>
      <w:r w:rsidRPr="00200ACB">
        <w:t>Muscle</w:t>
      </w:r>
      <w:r w:rsidRPr="0038065B">
        <w:t xml:space="preserve"> protection with </w:t>
      </w:r>
      <w:r w:rsidRPr="00200ACB">
        <w:t>androgen</w:t>
      </w:r>
      <w:r w:rsidRPr="0038065B">
        <w:t xml:space="preserve"> therapy</w:t>
      </w:r>
      <w:bookmarkEnd w:id="11"/>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 xml:space="preserve">Testis extract benefits received more attention starting around 1889, when </w:t>
      </w:r>
      <w:r w:rsidRPr="0038065B">
        <w:lastRenderedPageBreak/>
        <w:t>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w:t>
      </w:r>
      <w:r w:rsidRPr="0038065B">
        <w:lastRenderedPageBreak/>
        <w:t xml:space="preserve">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 xml:space="preserve">128]. With maintenance of secondary sex </w:t>
      </w:r>
      <w:r w:rsidRPr="0038065B">
        <w:lastRenderedPageBreak/>
        <w:t>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F5C781"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 an doubling in prostate and penis size</w:t>
      </w:r>
      <w:r w:rsidR="00676457" w:rsidRPr="0038065B">
        <w:t xml:space="preserve"> [</w:t>
      </w:r>
      <w:r w:rsidRPr="0038065B">
        <w:t xml:space="preserve">134] after less than two weeks, thus </w:t>
      </w:r>
      <w:r w:rsidRPr="0038065B">
        <w:lastRenderedPageBreak/>
        <w:t>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4EF3834B"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Pr="0038065B">
        <w:t>FDA gives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w:t>
      </w:r>
      <w:r w:rsidRPr="0038065B">
        <w:lastRenderedPageBreak/>
        <w:t xml:space="preserve">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 xml:space="preserve">150]. Similarly, in 1950, the Mayo Clinic team who discovered cortisone remarked that, </w:t>
      </w:r>
      <w:r w:rsidRPr="0038065B">
        <w:lastRenderedPageBreak/>
        <w:t>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w:lastRenderedPageBreak/>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 xml:space="preserve">155]. By the time modern trials with AAS began, the incidence of overt hypercortisolism decreased significantly. Despite a potential epidemic of covert hypercortisolism, with deleterious effects of life quality and expectancy, the interest for studies on hypercortisolism has largely </w:t>
      </w:r>
      <w:r w:rsidRPr="0038065B">
        <w:lastRenderedPageBreak/>
        <w:t>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2" w:name="_Toc421412246"/>
      <w:r w:rsidRPr="0038065B">
        <w:t xml:space="preserve">Hypercortisolism-induced changes in </w:t>
      </w:r>
      <w:r w:rsidRPr="00200ACB">
        <w:t>endogenous</w:t>
      </w:r>
      <w:r w:rsidRPr="0038065B">
        <w:t xml:space="preserve"> androgens levels</w:t>
      </w:r>
      <w:bookmarkEnd w:id="12"/>
    </w:p>
    <w:p w14:paraId="23FBA8B5" w14:textId="77777777" w:rsidR="00A60D29" w:rsidRPr="0038065B" w:rsidRDefault="00D72E45" w:rsidP="00200ACB">
      <w:r w:rsidRPr="0038065B">
        <w:t>AAS therapy does not change circulating cortisol levels</w:t>
      </w:r>
      <w:r w:rsidR="00676457" w:rsidRPr="0038065B">
        <w:t xml:space="preserve"> [</w:t>
      </w:r>
      <w:r w:rsidRPr="0038065B">
        <w:t xml:space="preserve">159]. However, the opposite interaction, where hypercortisolism interferes with endogenous AAS secretion, is a common finding, with a complex physiological basis. The </w:t>
      </w:r>
      <w:r w:rsidRPr="0038065B">
        <w:lastRenderedPageBreak/>
        <w:t>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w:t>
      </w:r>
      <w:r w:rsidRPr="0038065B">
        <w:lastRenderedPageBreak/>
        <w:t>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 xml:space="preserve">This sexual dimorphism differentiates male and female AAS response to </w:t>
      </w:r>
      <w:r w:rsidRPr="0038065B">
        <w:lastRenderedPageBreak/>
        <w:t>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 xml:space="preserve">that GCs interfere with Testo signals in a </w:t>
      </w:r>
      <w:r w:rsidRPr="0038065B">
        <w:lastRenderedPageBreak/>
        <w:t>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 xml:space="preserve">197]. At least in adult males, muscle loss in CS may be aggravated by the reductions in endogenous AAP and AAS. An AAS replacement strategy in hypoandrogenic hypercortisolism appears intuitively </w:t>
      </w:r>
      <w:r w:rsidRPr="0038065B">
        <w:lastRenderedPageBreak/>
        <w:t>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3" w:name="_Toc421412247"/>
      <w:r w:rsidRPr="0038065B">
        <w:t xml:space="preserve">Molecular mechanisms of </w:t>
      </w:r>
      <w:r w:rsidRPr="00200ACB">
        <w:t>androgenic</w:t>
      </w:r>
      <w:r w:rsidRPr="0038065B">
        <w:t xml:space="preserve"> myoprotection in humans</w:t>
      </w:r>
      <w:bookmarkEnd w:id="13"/>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 xml:space="preserve">Typical naturally-occurring male hypogonadism is usually associated with pleiotropic pathology, such as Klinefelter’s syndrome, where deficient androgen synthesis may be complicated by other peripheral defects. For this reason, some </w:t>
      </w:r>
      <w:r w:rsidRPr="0038065B">
        <w:lastRenderedPageBreak/>
        <w:t>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 xml:space="preserve">209]. No evidence of fiber type switching or fiber type-specific effects in response to AAS </w:t>
      </w:r>
      <w:r w:rsidRPr="0038065B">
        <w:lastRenderedPageBreak/>
        <w:t>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w:t>
      </w:r>
      <w:r w:rsidR="00D72E45" w:rsidRPr="0038065B">
        <w:lastRenderedPageBreak/>
        <w:t>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 xml:space="preserve">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w:t>
      </w:r>
      <w:r w:rsidRPr="0038065B">
        <w:lastRenderedPageBreak/>
        <w:t>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 xml:space="preserve">234, 235], which will discourage the use of Testo in heart failure and, in general, in populations at risk. In 2014, FDA required manufacturers to include on Testo labels a warning regarding increased </w:t>
      </w:r>
      <w:r w:rsidRPr="0038065B">
        <w:lastRenderedPageBreak/>
        <w:t>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4" w:name="_Toc421412248"/>
      <w:r w:rsidRPr="0038065B">
        <w:t>2. BIOLOGICAL PREMISES</w:t>
      </w:r>
      <w:bookmarkEnd w:id="14"/>
    </w:p>
    <w:p w14:paraId="4076F393" w14:textId="77777777" w:rsidR="00A60D29" w:rsidRPr="0038065B" w:rsidRDefault="00D72E45" w:rsidP="00200ACB">
      <w:pPr>
        <w:pStyle w:val="Heading2"/>
      </w:pPr>
      <w:bookmarkStart w:id="15" w:name="_Toc421412249"/>
      <w:r w:rsidRPr="0038065B">
        <w:t xml:space="preserve">Skeletal muscle </w:t>
      </w:r>
      <w:r w:rsidRPr="00200ACB">
        <w:t>histology</w:t>
      </w:r>
      <w:bookmarkEnd w:id="15"/>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239]. Intramuscular connective structures carry terminal branches of the nervous, circulatory and lymphatic 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6" w:name="_Toc421412250"/>
      <w:r w:rsidRPr="0038065B">
        <w:t>Pre</w:t>
      </w:r>
      <w:r w:rsidR="002C626A">
        <w:t>-</w:t>
      </w:r>
      <w:r w:rsidRPr="0038065B">
        <w:t xml:space="preserve">adult muscle </w:t>
      </w:r>
      <w:r w:rsidRPr="00200ACB">
        <w:t>development</w:t>
      </w:r>
      <w:bookmarkEnd w:id="16"/>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7" w:name="_Toc421412251"/>
      <w:r w:rsidRPr="0038065B">
        <w:t xml:space="preserve">Physiological </w:t>
      </w:r>
      <w:r w:rsidRPr="00200ACB">
        <w:t>muscle</w:t>
      </w:r>
      <w:r w:rsidRPr="0038065B">
        <w:t xml:space="preserve"> metabolism</w:t>
      </w:r>
      <w:bookmarkEnd w:id="17"/>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278, 279]).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8" w:name="_Toc421412252"/>
      <w:r w:rsidRPr="0038065B">
        <w:t>Adult muscle remodeling</w:t>
      </w:r>
      <w:bookmarkEnd w:id="18"/>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9" w:name="_Toc421412253"/>
      <w:r w:rsidRPr="00200ACB">
        <w:t>Hormonal</w:t>
      </w:r>
      <w:r w:rsidRPr="0038065B">
        <w:t xml:space="preserve"> control of muscle mass</w:t>
      </w:r>
      <w:bookmarkEnd w:id="19"/>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7F32096A"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Pr="0038065B">
        <w:t xml:space="preserve"> </w:t>
      </w:r>
      <w:r w:rsidR="00EA250B" w:rsidRPr="0038065B">
        <w:t>half-maximal</w:t>
      </w:r>
      <w:r w:rsidRPr="0038065B">
        <w:t xml:space="preserve"> effective concentration (EC50)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20" w:name="_Toc421412254"/>
      <w:r w:rsidRPr="0038065B">
        <w:t xml:space="preserve">Interaction of muscle mass and </w:t>
      </w:r>
      <w:r w:rsidRPr="00200ACB">
        <w:t>vascularization</w:t>
      </w:r>
      <w:bookmarkEnd w:id="20"/>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1" w:name="_Toc421412255"/>
      <w:r w:rsidRPr="0038065B">
        <w:t xml:space="preserve">Control of muscle mass through </w:t>
      </w:r>
      <w:r w:rsidRPr="00200ACB">
        <w:t>innervation</w:t>
      </w:r>
      <w:bookmarkEnd w:id="21"/>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2" w:name="_Toc421412256"/>
      <w:r w:rsidRPr="0038065B">
        <w:t xml:space="preserve">Animal models of </w:t>
      </w:r>
      <w:r w:rsidRPr="00200ACB">
        <w:t>glucocorticoid</w:t>
      </w:r>
      <w:r w:rsidRPr="0038065B">
        <w:t xml:space="preserve"> myopathy</w:t>
      </w:r>
      <w:bookmarkEnd w:id="22"/>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61620A">
        <w:rPr>
          <w:lang w:val="it-IT"/>
        </w:rPr>
        <w:t>[augusto2004</w:t>
      </w:r>
      <w:r>
        <w:rPr>
          <w:lang w:val="it-IT"/>
        </w:rPr>
        <w:t>]</w:t>
      </w:r>
      <w:r w:rsidRPr="0061620A">
        <w:rPr>
          <w:lang w:val="it-IT"/>
        </w:rPr>
        <w:t xml:space="preserve">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A4479A" w:rsidRDefault="00A4479A">
      <w:pPr>
        <w:spacing w:line="240" w:lineRule="auto"/>
      </w:pPr>
      <w:r>
        <w:separator/>
      </w:r>
    </w:p>
    <w:p w14:paraId="4E67628C" w14:textId="77777777" w:rsidR="00A4479A" w:rsidRDefault="00A4479A"/>
    <w:p w14:paraId="6F3C610F" w14:textId="77777777" w:rsidR="00A4479A" w:rsidRDefault="00A4479A" w:rsidP="00B8332B"/>
  </w:endnote>
  <w:endnote w:type="continuationSeparator" w:id="0">
    <w:p w14:paraId="7A7F5650" w14:textId="77777777" w:rsidR="00A4479A" w:rsidRDefault="00A4479A">
      <w:pPr>
        <w:spacing w:line="240" w:lineRule="auto"/>
      </w:pPr>
      <w:r>
        <w:continuationSeparator/>
      </w:r>
    </w:p>
    <w:p w14:paraId="021F3846" w14:textId="77777777" w:rsidR="00A4479A" w:rsidRDefault="00A4479A"/>
    <w:p w14:paraId="02BE76A1" w14:textId="77777777" w:rsidR="00A4479A" w:rsidRDefault="00A4479A"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C37948">
      <w:rPr>
        <w:noProof/>
      </w:rPr>
      <w:t>iv</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A4479A" w:rsidRDefault="00A4479A">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A4479A" w:rsidRDefault="00A4479A">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A4479A" w:rsidRDefault="00A4479A">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A4479A" w:rsidRDefault="00A4479A">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A4479A" w:rsidRDefault="00A4479A">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A4479A" w:rsidRDefault="00A4479A">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A4479A" w:rsidRDefault="00A4479A">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A4479A" w:rsidRDefault="00A4479A">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A4479A" w:rsidRDefault="00A4479A">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A4479A" w:rsidRDefault="00A4479A">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C37948">
      <w:rPr>
        <w:noProof/>
      </w:rPr>
      <w:t>iii</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A4479A" w:rsidRDefault="00A4479A">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A4479A" w:rsidRDefault="00A4479A">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A4479A" w:rsidRDefault="00A4479A">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A4479A" w:rsidRDefault="00A4479A">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A4479A" w:rsidRDefault="00A4479A">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A4479A" w:rsidRDefault="00A4479A">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A4479A" w:rsidRDefault="00A4479A">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A4479A" w:rsidRDefault="00A4479A">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A4479A" w:rsidRDefault="00A4479A">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A4479A" w:rsidRDefault="00A4479A">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A4479A" w:rsidRDefault="00A4479A">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A4479A" w:rsidRDefault="00A4479A">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A4479A" w:rsidRDefault="00A4479A">
      <w:pPr>
        <w:spacing w:line="240" w:lineRule="auto"/>
      </w:pPr>
      <w:r>
        <w:separator/>
      </w:r>
    </w:p>
    <w:p w14:paraId="0CE7E7CB" w14:textId="77777777" w:rsidR="00A4479A" w:rsidRDefault="00A4479A"/>
    <w:p w14:paraId="37B41683" w14:textId="77777777" w:rsidR="00A4479A" w:rsidRDefault="00A4479A" w:rsidP="00B8332B"/>
  </w:footnote>
  <w:footnote w:type="continuationSeparator" w:id="0">
    <w:p w14:paraId="605F7EB2" w14:textId="77777777" w:rsidR="00A4479A" w:rsidRDefault="00A4479A">
      <w:pPr>
        <w:spacing w:line="240" w:lineRule="auto"/>
      </w:pPr>
      <w:r>
        <w:continuationSeparator/>
      </w:r>
    </w:p>
    <w:p w14:paraId="4A8C57F7" w14:textId="77777777" w:rsidR="00A4479A" w:rsidRDefault="00A4479A"/>
    <w:p w14:paraId="05178EC1" w14:textId="77777777" w:rsidR="00A4479A" w:rsidRDefault="00A4479A"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A4479A" w:rsidRDefault="00A4479A">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A4479A" w:rsidRDefault="00A4479A">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A4479A" w:rsidRDefault="00A4479A">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165</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A4479A" w:rsidRDefault="00A4479A">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A4479A" w:rsidRDefault="00A4479A">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A4479A" w:rsidRDefault="00A4479A">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236</w:t>
    </w:r>
    <w:r>
      <w:fldChar w:fldCharType="end"/>
    </w:r>
  </w:p>
  <w:p w14:paraId="06813B2C" w14:textId="77777777" w:rsidR="00A4479A" w:rsidRDefault="00A4479A"/>
  <w:p w14:paraId="26C7CADF" w14:textId="77777777" w:rsidR="00A4479A" w:rsidRDefault="00A4479A"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A4479A" w:rsidRDefault="00A4479A">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A4479A" w:rsidRDefault="00A4479A">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A4479A" w:rsidRDefault="00A4479A">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A4479A" w:rsidRDefault="00A4479A">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104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A4479A" w:rsidRDefault="00A4479A">
    <w:pPr>
      <w:spacing w:line="259" w:lineRule="auto"/>
      <w:ind w:firstLine="0"/>
      <w:jc w:val="right"/>
    </w:pPr>
    <w:r>
      <w:fldChar w:fldCharType="begin"/>
    </w:r>
    <w:r>
      <w:instrText xml:space="preserve"> PAGE   \* MERGEFORMAT </w:instrText>
    </w:r>
    <w:r>
      <w:fldChar w:fldCharType="separate"/>
    </w:r>
    <w:r w:rsidR="00C37948">
      <w:rPr>
        <w:noProof/>
      </w:rPr>
      <w:t>105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A4479A" w:rsidRDefault="00A4479A">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37948"/>
    <w:rsid w:val="00C668FC"/>
    <w:rsid w:val="00CC1E00"/>
    <w:rsid w:val="00CF2C53"/>
    <w:rsid w:val="00CF49B1"/>
    <w:rsid w:val="00CF7242"/>
    <w:rsid w:val="00D069F3"/>
    <w:rsid w:val="00D7134E"/>
    <w:rsid w:val="00D72E45"/>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256</Pages>
  <Words>67301</Words>
  <Characters>383617</Characters>
  <Application>Microsoft Office Word</Application>
  <DocSecurity>0</DocSecurity>
  <Lines>3196</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2015-06-23T23:44:00Z</dcterms:modified>
</cp:coreProperties>
</file>