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Poppins" w:cs="Poppins" w:eastAsia="Poppins" w:hAnsi="Poppins"/>
          <w:b w:val="1"/>
          <w:bCs w:val="1"/>
        </w:rPr>
      </w:pPr>
      <w:bookmarkStart w:colFirst="0" w:colLast="0" w:name="_brv2jl4gyxfw" w:id="0"/>
      <w:bookmarkEnd w:id="0"/>
      <w:r w:rsidDel="00000000" w:rsidR="00000000" w:rsidRPr="00000000">
        <w:rPr>
          <w:rFonts w:ascii="Poppins" w:cs="Poppins" w:eastAsia="Poppins" w:hAnsi="Poppins"/>
          <w:b w:val="1"/>
          <w:bCs w:val="1"/>
          <w:rtl w:val="0"/>
        </w:rPr>
        <w:t xml:space="preserve">Problem &amp; Context</w:t>
      </w:r>
    </w:p>
    <w:p w:rsidR="00000000" w:rsidDel="00000000" w:rsidP="00000000" w:rsidRDefault="00000000" w:rsidRPr="00000000" w14:paraId="0000000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Pantawid Pamilyang Pilipino Program (4Ps) program has helped reduce poverty nationwide, but its impact is not the same across regions. Some areas show strong improvements, while others continue to struggle despite having many beneficiaries.</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Business Question:</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How can we identify which regions struggle the most across critical 4Ps outcome areas, and what targeted, region-specific interventions can complement the program to improve its impact?</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Intended Customer:</w:t>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Government and policymaking stakeholders:</w:t>
      </w:r>
    </w:p>
    <w:p w:rsidR="00000000" w:rsidDel="00000000" w:rsidP="00000000" w:rsidRDefault="00000000" w:rsidRPr="00000000" w14:paraId="0000000B">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Department of Social Welfare and Development (DSWD)</w:t>
      </w:r>
    </w:p>
    <w:p w:rsidR="00000000" w:rsidDel="00000000" w:rsidP="00000000" w:rsidRDefault="00000000" w:rsidRPr="00000000" w14:paraId="0000000C">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Local Government Units (LGUs)</w:t>
      </w:r>
    </w:p>
    <w:p w:rsidR="00000000" w:rsidDel="00000000" w:rsidP="00000000" w:rsidRDefault="00000000" w:rsidRPr="00000000" w14:paraId="0000000D">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Development Planning Officers and Social Welfare Analysts</w:t>
      </w:r>
    </w:p>
    <w:p w:rsidR="00000000" w:rsidDel="00000000" w:rsidP="00000000" w:rsidRDefault="00000000" w:rsidRPr="00000000" w14:paraId="0000000E">
      <w:pPr>
        <w:ind w:left="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These users need clear diagnostics of regional gaps and actionable guidance on where support is most urgently needed.</w:t>
      </w:r>
    </w:p>
    <w:p w:rsidR="00000000" w:rsidDel="00000000" w:rsidP="00000000" w:rsidRDefault="00000000" w:rsidRPr="00000000" w14:paraId="0000001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1">
      <w:pPr>
        <w:pStyle w:val="Heading3"/>
        <w:rPr>
          <w:rFonts w:ascii="Poppins" w:cs="Poppins" w:eastAsia="Poppins" w:hAnsi="Poppins"/>
          <w:b w:val="1"/>
          <w:bCs w:val="1"/>
        </w:rPr>
      </w:pPr>
      <w:bookmarkStart w:colFirst="0" w:colLast="0" w:name="_f1nhssdp8zqy" w:id="1"/>
      <w:bookmarkEnd w:id="1"/>
      <w:r w:rsidDel="00000000" w:rsidR="00000000" w:rsidRPr="00000000">
        <w:rPr>
          <w:rFonts w:ascii="Poppins" w:cs="Poppins" w:eastAsia="Poppins" w:hAnsi="Poppins"/>
          <w:b w:val="1"/>
          <w:bCs w:val="1"/>
          <w:rtl w:val="0"/>
        </w:rPr>
        <w:t xml:space="preserve">Data &amp; Approach</w:t>
      </w:r>
    </w:p>
    <w:p w:rsidR="00000000" w:rsidDel="00000000" w:rsidP="00000000" w:rsidRDefault="00000000" w:rsidRPr="00000000" w14:paraId="00000012">
      <w:pPr>
        <w:pStyle w:val="Heading3"/>
        <w:spacing w:after="240" w:before="0" w:lineRule="auto"/>
        <w:jc w:val="both"/>
        <w:rPr>
          <w:rFonts w:ascii="Poppins" w:cs="Poppins" w:eastAsia="Poppins" w:hAnsi="Poppins"/>
          <w:color w:val="000000"/>
          <w:sz w:val="24"/>
          <w:szCs w:val="24"/>
        </w:rPr>
      </w:pPr>
      <w:bookmarkStart w:colFirst="0" w:colLast="0" w:name="_snyuqmdvvwgi" w:id="2"/>
      <w:bookmarkEnd w:id="2"/>
      <w:r w:rsidDel="00000000" w:rsidR="00000000" w:rsidRPr="00000000">
        <w:rPr>
          <w:rFonts w:ascii="Poppins" w:cs="Poppins" w:eastAsia="Poppins" w:hAnsi="Poppins"/>
          <w:color w:val="000000"/>
          <w:sz w:val="24"/>
          <w:szCs w:val="24"/>
          <w:rtl w:val="0"/>
        </w:rPr>
        <w:t xml:space="preserve">The analysis draws on multiple datasets from government sources, including PSA surveys, DSWD quarterly reports, and DepEd enrollment statistics. Key data points cover Health and Nutrition indicators (e.g., immunization rates, prenatal visits), Education outcomes (net enrollment rates by grade level), Child Labor measures (total working children, proportion of working children), and Community Participation metrics (FDS attendance compliance). These datasets vary in format, including CSV, XLSX, and PDF files, and span different years, which requires careful alignment and preprocessing before analysis.</w:t>
      </w:r>
    </w:p>
    <w:p w:rsidR="00000000" w:rsidDel="00000000" w:rsidP="00000000" w:rsidRDefault="00000000" w:rsidRPr="00000000" w14:paraId="00000013">
      <w:pPr>
        <w:pStyle w:val="Heading3"/>
        <w:spacing w:after="240" w:before="240" w:lineRule="auto"/>
        <w:jc w:val="both"/>
        <w:rPr>
          <w:rFonts w:ascii="Poppins" w:cs="Poppins" w:eastAsia="Poppins" w:hAnsi="Poppins"/>
          <w:b w:val="1"/>
          <w:bCs w:val="1"/>
        </w:rPr>
      </w:pPr>
      <w:bookmarkStart w:colFirst="0" w:colLast="0" w:name="_l0gctupjtfax" w:id="3"/>
      <w:bookmarkEnd w:id="3"/>
      <w:r w:rsidDel="00000000" w:rsidR="00000000" w:rsidRPr="00000000">
        <w:rPr>
          <w:rFonts w:ascii="Poppins" w:cs="Poppins" w:eastAsia="Poppins" w:hAnsi="Poppins"/>
          <w:color w:val="000000"/>
          <w:sz w:val="24"/>
          <w:szCs w:val="24"/>
          <w:rtl w:val="0"/>
        </w:rPr>
        <w:t xml:space="preserve">Our data pipeline is designed to streamline collection, transformation, and visualization. Raw data is first ingested from source files and scraped PDFs using automated Python scripts. The data is then transformed and cleaned using dbt to create structured tables. The processed tables are stored centrally in ClickHouse and can be accessed in Google Sheets via App Script. This workflow ensures that our analysts can explore trends, compare regional performance across 4Ps indicators, and generate evidence-based recommendations.</w:t>
      </w:r>
      <w:r w:rsidDel="00000000" w:rsidR="00000000" w:rsidRPr="00000000">
        <w:rPr>
          <w:rtl w:val="0"/>
        </w:rPr>
      </w:r>
    </w:p>
    <w:p w:rsidR="00000000" w:rsidDel="00000000" w:rsidP="00000000" w:rsidRDefault="00000000" w:rsidRPr="00000000" w14:paraId="00000014">
      <w:pPr>
        <w:pStyle w:val="Heading3"/>
        <w:rPr>
          <w:rFonts w:ascii="Poppins" w:cs="Poppins" w:eastAsia="Poppins" w:hAnsi="Poppins"/>
          <w:b w:val="1"/>
          <w:bCs w:val="1"/>
        </w:rPr>
      </w:pPr>
      <w:bookmarkStart w:colFirst="0" w:colLast="0" w:name="_izslbw38efc4" w:id="4"/>
      <w:bookmarkEnd w:id="4"/>
      <w:r w:rsidDel="00000000" w:rsidR="00000000" w:rsidRPr="00000000">
        <w:rPr>
          <w:rFonts w:ascii="Poppins" w:cs="Poppins" w:eastAsia="Poppins" w:hAnsi="Poppins"/>
          <w:b w:val="1"/>
          <w:bCs w:val="1"/>
          <w:rtl w:val="0"/>
        </w:rPr>
        <w:t xml:space="preserve">Key Insights</w:t>
      </w:r>
    </w:p>
    <w:p w:rsidR="00000000" w:rsidDel="00000000" w:rsidP="00000000" w:rsidRDefault="00000000" w:rsidRPr="00000000" w14:paraId="0000001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Health and nutrition problems are mostly seen in BARMM and nearby regions, where immunization and prenatal care are lowest, even though many families are beneficiaries of 4Ps.</w:t>
      </w:r>
    </w:p>
    <w:p w:rsidR="00000000" w:rsidDel="00000000" w:rsidP="00000000" w:rsidRDefault="00000000" w:rsidRPr="00000000" w14:paraId="00000017">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Education shows big differences across regions. Most fall within the 70-80% enrollment rate, but BARMM is still the lowest, and some regions with many 4Ps beneficiaries still have a low enrollment rate.</w:t>
      </w:r>
    </w:p>
    <w:p w:rsidR="00000000" w:rsidDel="00000000" w:rsidP="00000000" w:rsidRDefault="00000000" w:rsidRPr="00000000" w14:paraId="00000018">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Child labor continues in vulnerable areas. Region X has the highest number of working children, mostly in farming, showing that families still struggle with livelihood needs.</w:t>
      </w:r>
    </w:p>
    <w:p w:rsidR="00000000" w:rsidDel="00000000" w:rsidP="00000000" w:rsidRDefault="00000000" w:rsidRPr="00000000" w14:paraId="00000019">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Community participation is uneven. Several regions still do not meet the 95% FDS attendance target, especially Regions III, IV-A, and V.</w:t>
      </w:r>
    </w:p>
    <w:p w:rsidR="00000000" w:rsidDel="00000000" w:rsidP="00000000" w:rsidRDefault="00000000" w:rsidRPr="00000000" w14:paraId="0000001A">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same regions appear as low performers across all areas, suggesting that local barriers are affecting the region’s progress even with the presence of 4Ps.</w:t>
      </w:r>
      <w:r w:rsidDel="00000000" w:rsidR="00000000" w:rsidRPr="00000000">
        <w:rPr>
          <w:rtl w:val="0"/>
        </w:rPr>
      </w:r>
    </w:p>
    <w:p w:rsidR="00000000" w:rsidDel="00000000" w:rsidP="00000000" w:rsidRDefault="00000000" w:rsidRPr="00000000" w14:paraId="0000001B">
      <w:pPr>
        <w:pStyle w:val="Heading3"/>
        <w:rPr>
          <w:rFonts w:ascii="Poppins" w:cs="Poppins" w:eastAsia="Poppins" w:hAnsi="Poppins"/>
          <w:b w:val="1"/>
          <w:bCs w:val="1"/>
        </w:rPr>
      </w:pPr>
      <w:bookmarkStart w:colFirst="0" w:colLast="0" w:name="_21oh5c9np7he" w:id="5"/>
      <w:bookmarkEnd w:id="5"/>
      <w:r w:rsidDel="00000000" w:rsidR="00000000" w:rsidRPr="00000000">
        <w:rPr>
          <w:rFonts w:ascii="Poppins" w:cs="Poppins" w:eastAsia="Poppins" w:hAnsi="Poppins"/>
          <w:b w:val="1"/>
          <w:bCs w:val="1"/>
          <w:rtl w:val="0"/>
        </w:rPr>
        <w:t xml:space="preserve">Key Recommendations</w:t>
      </w:r>
    </w:p>
    <w:p w:rsidR="00000000" w:rsidDel="00000000" w:rsidP="00000000" w:rsidRDefault="00000000" w:rsidRPr="00000000" w14:paraId="0000001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Focus support on the regions facing the heaviest challenges, especially those that struggle across multiple outcome areas.</w:t>
      </w:r>
    </w:p>
    <w:p w:rsidR="00000000" w:rsidDel="00000000" w:rsidP="00000000" w:rsidRDefault="00000000" w:rsidRPr="00000000" w14:paraId="0000001E">
      <w:pPr>
        <w:numPr>
          <w:ilvl w:val="0"/>
          <w:numId w:val="1"/>
        </w:numPr>
        <w:ind w:left="720" w:hanging="360"/>
        <w:jc w:val="both"/>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Based on the regional patterns we identified across health, education, child labor, and community participation, the following recommendations highlight where additional support may be most beneficial. These are not final recommendations, but evidence-based and backed-up research guidance designed to inform agencies and decision-makers.</w:t>
      </w:r>
    </w:p>
    <w:p w:rsidR="00000000" w:rsidDel="00000000" w:rsidP="00000000" w:rsidRDefault="00000000" w:rsidRPr="00000000" w14:paraId="0000001F">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Table 1. Summary of recommendations across critical regions</w:t>
      </w:r>
    </w:p>
    <w:p w:rsidR="00000000" w:rsidDel="00000000" w:rsidP="00000000" w:rsidRDefault="00000000" w:rsidRPr="00000000" w14:paraId="00000021">
      <w:pPr>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864332" cy="2509838"/>
            <wp:effectExtent b="0" l="0" r="0" t="0"/>
            <wp:docPr id="2" name="image2.png"/>
            <a:graphic>
              <a:graphicData uri="http://schemas.openxmlformats.org/drawingml/2006/picture">
                <pic:pic>
                  <pic:nvPicPr>
                    <pic:cNvPr id="0" name="image2.png"/>
                    <pic:cNvPicPr preferRelativeResize="0"/>
                  </pic:nvPicPr>
                  <pic:blipFill>
                    <a:blip r:embed="rId6"/>
                    <a:srcRect b="20886" l="7532" r="14583" t="13291"/>
                    <a:stretch>
                      <a:fillRect/>
                    </a:stretch>
                  </pic:blipFill>
                  <pic:spPr>
                    <a:xfrm>
                      <a:off x="0" y="0"/>
                      <a:ext cx="5864332"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866890" cy="3174683"/>
            <wp:effectExtent b="0" l="0" r="0" t="0"/>
            <wp:docPr id="1" name="image1.png"/>
            <a:graphic>
              <a:graphicData uri="http://schemas.openxmlformats.org/drawingml/2006/picture">
                <pic:pic>
                  <pic:nvPicPr>
                    <pic:cNvPr id="0" name="image1.png"/>
                    <pic:cNvPicPr preferRelativeResize="0"/>
                  </pic:nvPicPr>
                  <pic:blipFill>
                    <a:blip r:embed="rId7"/>
                    <a:srcRect b="3544" l="7692" r="14583" t="13219"/>
                    <a:stretch>
                      <a:fillRect/>
                    </a:stretch>
                  </pic:blipFill>
                  <pic:spPr>
                    <a:xfrm>
                      <a:off x="0" y="0"/>
                      <a:ext cx="5866890" cy="317468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