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886A09" w14:textId="77777777" w:rsidR="008E698B" w:rsidRDefault="008E698B" w:rsidP="008E698B">
      <w:pPr>
        <w:ind w:left="720" w:hanging="360"/>
      </w:pPr>
    </w:p>
    <w:p w14:paraId="247F9657" w14:textId="1E56485D" w:rsidR="008E698B" w:rsidRDefault="008E698B" w:rsidP="008E698B">
      <w:pPr>
        <w:jc w:val="center"/>
      </w:pPr>
      <w:bookmarkStart w:id="0" w:name="_Hlk123204129"/>
    </w:p>
    <w:p w14:paraId="7D403907" w14:textId="053F90E2" w:rsidR="008E698B" w:rsidRPr="006443A3" w:rsidRDefault="008E698B" w:rsidP="00160A6D">
      <w:pPr>
        <w:rPr>
          <w:b/>
          <w:bCs/>
        </w:rPr>
      </w:pPr>
      <w:r w:rsidRPr="006443A3">
        <w:rPr>
          <w:b/>
          <w:bCs/>
        </w:rPr>
        <w:t>Figure 1</w:t>
      </w:r>
    </w:p>
    <w:p w14:paraId="3D66C752" w14:textId="56774CCA" w:rsidR="00240D95" w:rsidRDefault="008E698B" w:rsidP="00160A6D">
      <w:pPr>
        <w:autoSpaceDE w:val="0"/>
        <w:autoSpaceDN w:val="0"/>
        <w:adjustRightInd w:val="0"/>
        <w:spacing w:after="0" w:line="240" w:lineRule="auto"/>
        <w:rPr>
          <w:rFonts w:ascii="CMR10" w:hAnsi="CMR10" w:cs="CMR10"/>
          <w:sz w:val="20"/>
          <w:szCs w:val="20"/>
        </w:rPr>
      </w:pPr>
      <w:r w:rsidRPr="00160A6D">
        <w:rPr>
          <w:rFonts w:ascii="CMR10" w:hAnsi="CMR10" w:cs="CMR10"/>
          <w:sz w:val="20"/>
          <w:szCs w:val="20"/>
        </w:rPr>
        <w:t xml:space="preserve">Figure </w:t>
      </w:r>
      <w:r w:rsidR="00BE3527">
        <w:rPr>
          <w:rFonts w:ascii="CMR10" w:hAnsi="CMR10" w:cs="CMR10"/>
          <w:sz w:val="20"/>
          <w:szCs w:val="20"/>
        </w:rPr>
        <w:t xml:space="preserve">1 </w:t>
      </w:r>
      <w:r w:rsidRPr="00160A6D">
        <w:rPr>
          <w:rFonts w:ascii="CMR10" w:hAnsi="CMR10" w:cs="CMR10"/>
          <w:sz w:val="20"/>
          <w:szCs w:val="20"/>
        </w:rPr>
        <w:t xml:space="preserve">displays box and whisker plots summarizing the extent to which </w:t>
      </w:r>
      <w:r w:rsidR="00776531">
        <w:rPr>
          <w:rFonts w:ascii="CMR10" w:hAnsi="CMR10" w:cs="CMR10"/>
          <w:sz w:val="20"/>
          <w:szCs w:val="20"/>
        </w:rPr>
        <w:t xml:space="preserve">the simulated </w:t>
      </w:r>
      <w:r w:rsidRPr="00160A6D">
        <w:rPr>
          <w:rFonts w:ascii="CMR10" w:hAnsi="CMR10" w:cs="CMR10"/>
          <w:sz w:val="20"/>
          <w:szCs w:val="20"/>
        </w:rPr>
        <w:t>mergers affect consumer, retailer, wholesaler, and total surplus. Whiskers depict the 5</w:t>
      </w:r>
      <w:r w:rsidRPr="00160A6D">
        <w:rPr>
          <w:rFonts w:ascii="CMMI7" w:hAnsi="CMMI7" w:cs="CMMI7"/>
          <w:sz w:val="14"/>
          <w:szCs w:val="14"/>
        </w:rPr>
        <w:t xml:space="preserve">th </w:t>
      </w:r>
      <w:r w:rsidRPr="00160A6D">
        <w:rPr>
          <w:rFonts w:ascii="CMR10" w:hAnsi="CMR10" w:cs="CMR10"/>
          <w:sz w:val="20"/>
          <w:szCs w:val="20"/>
        </w:rPr>
        <w:t>and 95</w:t>
      </w:r>
      <w:r w:rsidRPr="00160A6D">
        <w:rPr>
          <w:rFonts w:ascii="CMMI7" w:hAnsi="CMMI7" w:cs="CMMI7"/>
          <w:sz w:val="14"/>
          <w:szCs w:val="14"/>
        </w:rPr>
        <w:t xml:space="preserve">th </w:t>
      </w:r>
      <w:r w:rsidRPr="00160A6D">
        <w:rPr>
          <w:rFonts w:ascii="CMR10" w:hAnsi="CMR10" w:cs="CMR10"/>
          <w:sz w:val="20"/>
          <w:szCs w:val="20"/>
        </w:rPr>
        <w:t>percentiles of a particular outcome, boxes depict the 25</w:t>
      </w:r>
      <w:r w:rsidRPr="00160A6D">
        <w:rPr>
          <w:rFonts w:ascii="CMMI7" w:hAnsi="CMMI7" w:cs="CMMI7"/>
          <w:sz w:val="14"/>
          <w:szCs w:val="14"/>
        </w:rPr>
        <w:t xml:space="preserve">th </w:t>
      </w:r>
      <w:r w:rsidRPr="00160A6D">
        <w:rPr>
          <w:rFonts w:ascii="CMR10" w:hAnsi="CMR10" w:cs="CMR10"/>
          <w:sz w:val="20"/>
          <w:szCs w:val="20"/>
        </w:rPr>
        <w:t>and 75</w:t>
      </w:r>
      <w:r w:rsidRPr="00160A6D">
        <w:rPr>
          <w:rFonts w:ascii="CMMI7" w:hAnsi="CMMI7" w:cs="CMMI7"/>
          <w:sz w:val="14"/>
          <w:szCs w:val="14"/>
        </w:rPr>
        <w:t xml:space="preserve">th </w:t>
      </w:r>
      <w:r w:rsidRPr="00160A6D">
        <w:rPr>
          <w:rFonts w:ascii="CMR10" w:hAnsi="CMR10" w:cs="CMR10"/>
          <w:sz w:val="20"/>
          <w:szCs w:val="20"/>
        </w:rPr>
        <w:t>percentiles, and the solid horizontal line depicts the median. Surplus is reported as a percentage change of total pre-merger expenditures in the downstream market. Negative outcome values imply harm, and positive values imply benefits.</w:t>
      </w:r>
    </w:p>
    <w:p w14:paraId="65936DD2" w14:textId="62B10DAE" w:rsidR="00015A9B" w:rsidRPr="00160A6D" w:rsidRDefault="00015A9B" w:rsidP="00160A6D">
      <w:pPr>
        <w:autoSpaceDE w:val="0"/>
        <w:autoSpaceDN w:val="0"/>
        <w:adjustRightInd w:val="0"/>
        <w:spacing w:after="0" w:line="240" w:lineRule="auto"/>
        <w:rPr>
          <w:rFonts w:ascii="CMR10" w:hAnsi="CMR10" w:cs="CMR10"/>
          <w:sz w:val="20"/>
          <w:szCs w:val="20"/>
        </w:rPr>
      </w:pPr>
      <w:r w:rsidRPr="00160A6D">
        <w:rPr>
          <w:rFonts w:ascii="CMR10" w:hAnsi="CMR10" w:cs="CMR10"/>
          <w:sz w:val="20"/>
          <w:szCs w:val="20"/>
        </w:rPr>
        <w:t xml:space="preserve"> </w:t>
      </w:r>
    </w:p>
    <w:p w14:paraId="5D97BACA" w14:textId="6CA62391" w:rsidR="001A597E" w:rsidRDefault="005F4EBF" w:rsidP="00FD79DA">
      <w:pPr>
        <w:autoSpaceDE w:val="0"/>
        <w:autoSpaceDN w:val="0"/>
        <w:adjustRightInd w:val="0"/>
        <w:spacing w:after="0" w:line="240" w:lineRule="auto"/>
        <w:rPr>
          <w:rFonts w:ascii="CMR10" w:hAnsi="CMR10" w:cs="CMR10"/>
          <w:sz w:val="20"/>
          <w:szCs w:val="20"/>
        </w:rPr>
      </w:pPr>
      <w:r>
        <w:rPr>
          <w:rFonts w:ascii="CMR10" w:hAnsi="CMR10" w:cs="CMR10"/>
          <w:sz w:val="20"/>
          <w:szCs w:val="20"/>
        </w:rPr>
        <w:t>The l</w:t>
      </w:r>
      <w:r w:rsidR="008E698B" w:rsidRPr="00160A6D">
        <w:rPr>
          <w:rFonts w:ascii="CMR10" w:hAnsi="CMR10" w:cs="CMR10"/>
          <w:sz w:val="20"/>
          <w:szCs w:val="20"/>
        </w:rPr>
        <w:t>eft-most panel of Figure 1</w:t>
      </w:r>
      <w:r>
        <w:rPr>
          <w:rFonts w:ascii="CMR10" w:hAnsi="CMR10" w:cs="CMR10"/>
          <w:sz w:val="20"/>
          <w:szCs w:val="20"/>
        </w:rPr>
        <w:t xml:space="preserve"> depicts</w:t>
      </w:r>
      <w:r w:rsidR="00FD79DA">
        <w:rPr>
          <w:rFonts w:ascii="CMR10" w:hAnsi="CMR10" w:cs="CMR10"/>
          <w:sz w:val="20"/>
          <w:szCs w:val="20"/>
        </w:rPr>
        <w:t xml:space="preserve"> </w:t>
      </w:r>
      <w:r>
        <w:rPr>
          <w:rFonts w:ascii="CMR10" w:hAnsi="CMR10" w:cs="CMR10"/>
          <w:sz w:val="20"/>
          <w:szCs w:val="20"/>
        </w:rPr>
        <w:t xml:space="preserve">consumer harm from the different types of </w:t>
      </w:r>
      <w:r w:rsidR="00776531">
        <w:rPr>
          <w:rFonts w:ascii="CMR10" w:hAnsi="CMR10" w:cs="CMR10"/>
          <w:sz w:val="20"/>
          <w:szCs w:val="20"/>
        </w:rPr>
        <w:t xml:space="preserve">simulated </w:t>
      </w:r>
      <w:r>
        <w:rPr>
          <w:rFonts w:ascii="CMR10" w:hAnsi="CMR10" w:cs="CMR10"/>
          <w:sz w:val="20"/>
          <w:szCs w:val="20"/>
        </w:rPr>
        <w:t>mergers</w:t>
      </w:r>
      <w:r w:rsidR="008E698B" w:rsidRPr="00160A6D">
        <w:rPr>
          <w:rFonts w:ascii="CMR10" w:hAnsi="CMR10" w:cs="CMR10"/>
          <w:sz w:val="20"/>
          <w:szCs w:val="20"/>
        </w:rPr>
        <w:t>. Less than</w:t>
      </w:r>
      <w:r w:rsidR="00FD79DA">
        <w:rPr>
          <w:rFonts w:ascii="CMR10" w:hAnsi="CMR10" w:cs="CMR10"/>
          <w:sz w:val="20"/>
          <w:szCs w:val="20"/>
        </w:rPr>
        <w:t xml:space="preserve"> </w:t>
      </w:r>
      <w:r w:rsidR="008E698B" w:rsidRPr="00160A6D">
        <w:rPr>
          <w:rFonts w:ascii="CMR10" w:hAnsi="CMR10" w:cs="CMR10"/>
          <w:sz w:val="20"/>
          <w:szCs w:val="20"/>
        </w:rPr>
        <w:t>half of all simulated vertical mergers are harmful, while the majority of upstream, down-</w:t>
      </w:r>
      <w:r w:rsidR="00FC7FD6" w:rsidRPr="00160A6D">
        <w:rPr>
          <w:rFonts w:ascii="CMR10" w:hAnsi="CMR10" w:cs="CMR10"/>
          <w:sz w:val="20"/>
          <w:szCs w:val="20"/>
        </w:rPr>
        <w:t>stream, and integrated mergers show harm.</w:t>
      </w:r>
      <w:r w:rsidR="00511BC9" w:rsidRPr="00160A6D">
        <w:rPr>
          <w:rFonts w:ascii="CMR10" w:hAnsi="CMR10" w:cs="CMR10"/>
          <w:sz w:val="20"/>
          <w:szCs w:val="20"/>
        </w:rPr>
        <w:t xml:space="preserve"> </w:t>
      </w:r>
      <w:r w:rsidR="00FD79DA" w:rsidRPr="00160A6D">
        <w:rPr>
          <w:rFonts w:ascii="CMR10" w:hAnsi="CMR10" w:cs="CMR10"/>
          <w:sz w:val="20"/>
          <w:szCs w:val="20"/>
        </w:rPr>
        <w:t>There</w:t>
      </w:r>
      <w:r w:rsidR="001A597E" w:rsidRPr="00160A6D">
        <w:rPr>
          <w:rFonts w:ascii="CMR10" w:hAnsi="CMR10" w:cs="CMR10"/>
          <w:sz w:val="20"/>
          <w:szCs w:val="20"/>
        </w:rPr>
        <w:t xml:space="preserve"> is a partial rank-ordering of consumer </w:t>
      </w:r>
      <w:r w:rsidR="00A41333" w:rsidRPr="00160A6D">
        <w:rPr>
          <w:rFonts w:ascii="CMR10" w:hAnsi="CMR10" w:cs="CMR10"/>
          <w:sz w:val="20"/>
          <w:szCs w:val="20"/>
        </w:rPr>
        <w:t>surplus</w:t>
      </w:r>
      <w:r w:rsidR="001A597E" w:rsidRPr="00160A6D">
        <w:rPr>
          <w:rFonts w:ascii="CMR10" w:hAnsi="CMR10" w:cs="CMR10"/>
          <w:sz w:val="20"/>
          <w:szCs w:val="20"/>
        </w:rPr>
        <w:t xml:space="preserve"> across types of mergers: </w:t>
      </w:r>
      <w:r w:rsidR="00FD79DA">
        <w:rPr>
          <w:rFonts w:ascii="CMR10" w:hAnsi="CMR10" w:cs="CMR10"/>
          <w:sz w:val="20"/>
          <w:szCs w:val="20"/>
        </w:rPr>
        <w:t>first v</w:t>
      </w:r>
      <w:r w:rsidR="00A41333" w:rsidRPr="00FD79DA">
        <w:rPr>
          <w:rFonts w:ascii="CMR10" w:hAnsi="CMR10" w:cs="CMR10"/>
          <w:sz w:val="20"/>
          <w:szCs w:val="20"/>
        </w:rPr>
        <w:t>ertical</w:t>
      </w:r>
      <w:r w:rsidR="001A597E" w:rsidRPr="00FD79DA">
        <w:rPr>
          <w:rFonts w:ascii="CMR10" w:hAnsi="CMR10" w:cs="CMR10"/>
          <w:sz w:val="20"/>
          <w:szCs w:val="20"/>
        </w:rPr>
        <w:t xml:space="preserve"> mergers</w:t>
      </w:r>
      <w:r w:rsidR="00FD79DA">
        <w:rPr>
          <w:rFonts w:ascii="CMR10" w:hAnsi="CMR10" w:cs="CMR10"/>
          <w:sz w:val="20"/>
          <w:szCs w:val="20"/>
        </w:rPr>
        <w:t>, second u</w:t>
      </w:r>
      <w:r w:rsidR="00A41333">
        <w:rPr>
          <w:rFonts w:ascii="CMR10" w:hAnsi="CMR10" w:cs="CMR10"/>
          <w:sz w:val="20"/>
          <w:szCs w:val="20"/>
        </w:rPr>
        <w:t>pstream</w:t>
      </w:r>
      <w:r w:rsidR="001A597E">
        <w:rPr>
          <w:rFonts w:ascii="CMR10" w:hAnsi="CMR10" w:cs="CMR10"/>
          <w:sz w:val="20"/>
          <w:szCs w:val="20"/>
        </w:rPr>
        <w:t xml:space="preserve"> mergers</w:t>
      </w:r>
      <w:r w:rsidR="00FD79DA">
        <w:rPr>
          <w:rFonts w:ascii="CMR10" w:hAnsi="CMR10" w:cs="CMR10"/>
          <w:sz w:val="20"/>
          <w:szCs w:val="20"/>
        </w:rPr>
        <w:t>, third d</w:t>
      </w:r>
      <w:r w:rsidR="00A41333">
        <w:rPr>
          <w:rFonts w:ascii="CMR10" w:hAnsi="CMR10" w:cs="CMR10"/>
          <w:sz w:val="20"/>
          <w:szCs w:val="20"/>
        </w:rPr>
        <w:t>ownstream</w:t>
      </w:r>
      <w:r w:rsidR="00FF1702">
        <w:rPr>
          <w:rFonts w:ascii="CMR10" w:hAnsi="CMR10" w:cs="CMR10"/>
          <w:sz w:val="20"/>
          <w:szCs w:val="20"/>
        </w:rPr>
        <w:t xml:space="preserve"> mergers</w:t>
      </w:r>
      <w:r w:rsidR="00FD79DA">
        <w:rPr>
          <w:rFonts w:ascii="CMR10" w:hAnsi="CMR10" w:cs="CMR10"/>
          <w:sz w:val="20"/>
          <w:szCs w:val="20"/>
        </w:rPr>
        <w:t xml:space="preserve"> and fourth i</w:t>
      </w:r>
      <w:r w:rsidR="00A41333">
        <w:rPr>
          <w:rFonts w:ascii="CMR10" w:hAnsi="CMR10" w:cs="CMR10"/>
          <w:sz w:val="20"/>
          <w:szCs w:val="20"/>
        </w:rPr>
        <w:t>ntegrated</w:t>
      </w:r>
      <w:r w:rsidR="00FF1702">
        <w:rPr>
          <w:rFonts w:ascii="CMR10" w:hAnsi="CMR10" w:cs="CMR10"/>
          <w:sz w:val="20"/>
          <w:szCs w:val="20"/>
        </w:rPr>
        <w:t xml:space="preserve"> mergers</w:t>
      </w:r>
      <w:r w:rsidR="00FD79DA">
        <w:rPr>
          <w:rFonts w:ascii="CMR10" w:hAnsi="CMR10" w:cs="CMR10"/>
          <w:sz w:val="20"/>
          <w:szCs w:val="20"/>
        </w:rPr>
        <w:t>.</w:t>
      </w:r>
    </w:p>
    <w:p w14:paraId="3AD72D89" w14:textId="77777777" w:rsidR="00240D95" w:rsidRDefault="00240D95" w:rsidP="00FD79DA">
      <w:pPr>
        <w:autoSpaceDE w:val="0"/>
        <w:autoSpaceDN w:val="0"/>
        <w:adjustRightInd w:val="0"/>
        <w:spacing w:after="0" w:line="240" w:lineRule="auto"/>
        <w:rPr>
          <w:rFonts w:ascii="CMR10" w:hAnsi="CMR10" w:cs="CMR10"/>
          <w:sz w:val="20"/>
          <w:szCs w:val="20"/>
        </w:rPr>
      </w:pPr>
    </w:p>
    <w:p w14:paraId="18943E02" w14:textId="0232AF2D" w:rsidR="00A41333" w:rsidRDefault="005F4EBF" w:rsidP="00FD79DA">
      <w:pPr>
        <w:autoSpaceDE w:val="0"/>
        <w:autoSpaceDN w:val="0"/>
        <w:adjustRightInd w:val="0"/>
        <w:spacing w:after="0" w:line="240" w:lineRule="auto"/>
        <w:rPr>
          <w:rFonts w:ascii="CMR10" w:hAnsi="CMR10" w:cs="CMR10"/>
          <w:sz w:val="20"/>
          <w:szCs w:val="20"/>
        </w:rPr>
      </w:pPr>
      <w:r>
        <w:rPr>
          <w:rFonts w:ascii="CMR10" w:hAnsi="CMR10" w:cs="CMR10"/>
          <w:sz w:val="20"/>
          <w:szCs w:val="20"/>
        </w:rPr>
        <w:t xml:space="preserve">The second panel from the left depicts retailer harm from the different types of </w:t>
      </w:r>
      <w:r w:rsidR="00776531">
        <w:rPr>
          <w:rFonts w:ascii="CMR10" w:hAnsi="CMR10" w:cs="CMR10"/>
          <w:sz w:val="20"/>
          <w:szCs w:val="20"/>
        </w:rPr>
        <w:t xml:space="preserve">simulated </w:t>
      </w:r>
      <w:r>
        <w:rPr>
          <w:rFonts w:ascii="CMR10" w:hAnsi="CMR10" w:cs="CMR10"/>
          <w:sz w:val="20"/>
          <w:szCs w:val="20"/>
        </w:rPr>
        <w:t>mergers</w:t>
      </w:r>
      <w:r w:rsidRPr="00160A6D">
        <w:rPr>
          <w:rFonts w:ascii="CMR10" w:hAnsi="CMR10" w:cs="CMR10"/>
          <w:sz w:val="20"/>
          <w:szCs w:val="20"/>
        </w:rPr>
        <w:t>.</w:t>
      </w:r>
      <w:r w:rsidR="00461BEA">
        <w:rPr>
          <w:rFonts w:ascii="CMR10" w:hAnsi="CMR10" w:cs="CMR10"/>
          <w:sz w:val="20"/>
          <w:szCs w:val="20"/>
        </w:rPr>
        <w:t xml:space="preserve"> W</w:t>
      </w:r>
      <w:r w:rsidR="00511BC9" w:rsidRPr="00160A6D">
        <w:rPr>
          <w:rFonts w:ascii="CMR10" w:hAnsi="CMR10" w:cs="CMR10"/>
          <w:sz w:val="20"/>
          <w:szCs w:val="20"/>
        </w:rPr>
        <w:t xml:space="preserve">hereas vertical mergers, downstream mergers, and integrated mergers almost always benefit retailers, upstream mergers harm retailers in about 60% of all simulations. Moreover, there is a partial rank-ordering </w:t>
      </w:r>
      <w:r w:rsidR="00FF1702" w:rsidRPr="00160A6D">
        <w:rPr>
          <w:rFonts w:ascii="CMR10" w:hAnsi="CMR10" w:cs="CMR10"/>
          <w:sz w:val="20"/>
          <w:szCs w:val="20"/>
        </w:rPr>
        <w:t xml:space="preserve">of retailer surplus </w:t>
      </w:r>
      <w:r w:rsidR="00511BC9" w:rsidRPr="00160A6D">
        <w:rPr>
          <w:rFonts w:ascii="CMR10" w:hAnsi="CMR10" w:cs="CMR10"/>
          <w:sz w:val="20"/>
          <w:szCs w:val="20"/>
        </w:rPr>
        <w:t>across mergers that is distinct from the consumer rank-ordering:</w:t>
      </w:r>
      <w:r w:rsidR="00FD79DA">
        <w:rPr>
          <w:rFonts w:ascii="CMR10" w:hAnsi="CMR10" w:cs="CMR10"/>
          <w:sz w:val="20"/>
          <w:szCs w:val="20"/>
        </w:rPr>
        <w:t xml:space="preserve"> first i</w:t>
      </w:r>
      <w:r w:rsidR="00A41333">
        <w:rPr>
          <w:rFonts w:ascii="CMR10" w:hAnsi="CMR10" w:cs="CMR10"/>
          <w:sz w:val="20"/>
          <w:szCs w:val="20"/>
        </w:rPr>
        <w:t>ntegrated</w:t>
      </w:r>
      <w:r w:rsidR="00FF1702">
        <w:rPr>
          <w:rFonts w:ascii="CMR10" w:hAnsi="CMR10" w:cs="CMR10"/>
          <w:sz w:val="20"/>
          <w:szCs w:val="20"/>
        </w:rPr>
        <w:t xml:space="preserve"> mergers</w:t>
      </w:r>
      <w:r w:rsidR="00FD79DA">
        <w:rPr>
          <w:rFonts w:ascii="CMR10" w:hAnsi="CMR10" w:cs="CMR10"/>
          <w:sz w:val="20"/>
          <w:szCs w:val="20"/>
        </w:rPr>
        <w:t>, second v</w:t>
      </w:r>
      <w:r w:rsidR="00A41333">
        <w:rPr>
          <w:rFonts w:ascii="CMR10" w:hAnsi="CMR10" w:cs="CMR10"/>
          <w:sz w:val="20"/>
          <w:szCs w:val="20"/>
        </w:rPr>
        <w:t>ertical</w:t>
      </w:r>
      <w:r w:rsidR="00FF1702">
        <w:rPr>
          <w:rFonts w:ascii="CMR10" w:hAnsi="CMR10" w:cs="CMR10"/>
          <w:sz w:val="20"/>
          <w:szCs w:val="20"/>
        </w:rPr>
        <w:t xml:space="preserve"> mergers</w:t>
      </w:r>
      <w:r w:rsidR="00FD79DA">
        <w:rPr>
          <w:rFonts w:ascii="CMR10" w:hAnsi="CMR10" w:cs="CMR10"/>
          <w:sz w:val="20"/>
          <w:szCs w:val="20"/>
        </w:rPr>
        <w:t>, third d</w:t>
      </w:r>
      <w:r w:rsidR="00A41333">
        <w:rPr>
          <w:rFonts w:ascii="CMR10" w:hAnsi="CMR10" w:cs="CMR10"/>
          <w:sz w:val="20"/>
          <w:szCs w:val="20"/>
        </w:rPr>
        <w:t>ownstream</w:t>
      </w:r>
      <w:r w:rsidR="00FF1702">
        <w:rPr>
          <w:rFonts w:ascii="CMR10" w:hAnsi="CMR10" w:cs="CMR10"/>
          <w:sz w:val="20"/>
          <w:szCs w:val="20"/>
        </w:rPr>
        <w:t xml:space="preserve"> mergers</w:t>
      </w:r>
      <w:r w:rsidR="00FD79DA">
        <w:rPr>
          <w:rFonts w:ascii="CMR10" w:hAnsi="CMR10" w:cs="CMR10"/>
          <w:sz w:val="20"/>
          <w:szCs w:val="20"/>
        </w:rPr>
        <w:t>, and fourth u</w:t>
      </w:r>
      <w:r w:rsidR="00A41333">
        <w:rPr>
          <w:rFonts w:ascii="CMR10" w:hAnsi="CMR10" w:cs="CMR10"/>
          <w:sz w:val="20"/>
          <w:szCs w:val="20"/>
        </w:rPr>
        <w:t>pstream</w:t>
      </w:r>
      <w:r w:rsidR="00FF1702">
        <w:rPr>
          <w:rFonts w:ascii="CMR10" w:hAnsi="CMR10" w:cs="CMR10"/>
          <w:sz w:val="20"/>
          <w:szCs w:val="20"/>
        </w:rPr>
        <w:t xml:space="preserve"> mergers</w:t>
      </w:r>
      <w:r w:rsidR="00FD79DA">
        <w:rPr>
          <w:rFonts w:ascii="CMR10" w:hAnsi="CMR10" w:cs="CMR10"/>
          <w:sz w:val="20"/>
          <w:szCs w:val="20"/>
        </w:rPr>
        <w:t>.</w:t>
      </w:r>
    </w:p>
    <w:p w14:paraId="0D06A226" w14:textId="77777777" w:rsidR="00240D95" w:rsidRDefault="00240D95" w:rsidP="00FD79DA">
      <w:pPr>
        <w:autoSpaceDE w:val="0"/>
        <w:autoSpaceDN w:val="0"/>
        <w:adjustRightInd w:val="0"/>
        <w:spacing w:after="0" w:line="240" w:lineRule="auto"/>
        <w:rPr>
          <w:rFonts w:ascii="CMR10" w:hAnsi="CMR10" w:cs="CMR10"/>
          <w:sz w:val="20"/>
          <w:szCs w:val="20"/>
        </w:rPr>
      </w:pPr>
    </w:p>
    <w:p w14:paraId="71ECCB3C" w14:textId="6926C5F3" w:rsidR="00A41333" w:rsidRDefault="00461BEA" w:rsidP="00FD79DA">
      <w:pPr>
        <w:autoSpaceDE w:val="0"/>
        <w:autoSpaceDN w:val="0"/>
        <w:adjustRightInd w:val="0"/>
        <w:spacing w:after="0" w:line="240" w:lineRule="auto"/>
        <w:rPr>
          <w:rFonts w:ascii="CMR10" w:hAnsi="CMR10" w:cs="CMR10"/>
          <w:sz w:val="20"/>
          <w:szCs w:val="20"/>
        </w:rPr>
      </w:pPr>
      <w:r>
        <w:rPr>
          <w:rFonts w:ascii="CMR10" w:hAnsi="CMR10" w:cs="CMR10"/>
          <w:sz w:val="20"/>
          <w:szCs w:val="20"/>
        </w:rPr>
        <w:t xml:space="preserve">The third panel from the left depicts wholesaler harm from the different types of </w:t>
      </w:r>
      <w:r w:rsidR="00776531">
        <w:rPr>
          <w:rFonts w:ascii="CMR10" w:hAnsi="CMR10" w:cs="CMR10"/>
          <w:sz w:val="20"/>
          <w:szCs w:val="20"/>
        </w:rPr>
        <w:t xml:space="preserve">simulated </w:t>
      </w:r>
      <w:r>
        <w:rPr>
          <w:rFonts w:ascii="CMR10" w:hAnsi="CMR10" w:cs="CMR10"/>
          <w:sz w:val="20"/>
          <w:szCs w:val="20"/>
        </w:rPr>
        <w:t>mergers. Here, t</w:t>
      </w:r>
      <w:r w:rsidR="00511BC9" w:rsidRPr="00160A6D">
        <w:rPr>
          <w:rFonts w:ascii="CMR10" w:hAnsi="CMR10" w:cs="CMR10"/>
          <w:sz w:val="20"/>
          <w:szCs w:val="20"/>
        </w:rPr>
        <w:t xml:space="preserve">he </w:t>
      </w:r>
      <w:r>
        <w:rPr>
          <w:rFonts w:ascii="CMR10" w:hAnsi="CMR10" w:cs="CMR10"/>
          <w:sz w:val="20"/>
          <w:szCs w:val="20"/>
        </w:rPr>
        <w:t xml:space="preserve">effects </w:t>
      </w:r>
      <w:r w:rsidR="00511BC9" w:rsidRPr="00160A6D">
        <w:rPr>
          <w:rFonts w:ascii="CMR10" w:hAnsi="CMR10" w:cs="CMR10"/>
          <w:sz w:val="20"/>
          <w:szCs w:val="20"/>
        </w:rPr>
        <w:t>are</w:t>
      </w:r>
      <w:r w:rsidR="001A597E" w:rsidRPr="00160A6D">
        <w:rPr>
          <w:rFonts w:ascii="CMR10" w:hAnsi="CMR10" w:cs="CMR10"/>
          <w:sz w:val="20"/>
          <w:szCs w:val="20"/>
        </w:rPr>
        <w:t xml:space="preserve"> </w:t>
      </w:r>
      <w:r w:rsidR="00511BC9" w:rsidRPr="00160A6D">
        <w:rPr>
          <w:rFonts w:ascii="CMR10" w:hAnsi="CMR10" w:cs="CMR10"/>
          <w:sz w:val="20"/>
          <w:szCs w:val="20"/>
        </w:rPr>
        <w:t>largely reversed from those for retailers: wholesaler surplus increases in about 64% of all</w:t>
      </w:r>
      <w:r w:rsidR="001A597E" w:rsidRPr="00160A6D">
        <w:rPr>
          <w:rFonts w:ascii="CMR10" w:hAnsi="CMR10" w:cs="CMR10"/>
          <w:sz w:val="20"/>
          <w:szCs w:val="20"/>
        </w:rPr>
        <w:t xml:space="preserve"> </w:t>
      </w:r>
      <w:r w:rsidR="00511BC9" w:rsidRPr="00160A6D">
        <w:rPr>
          <w:rFonts w:ascii="CMR10" w:hAnsi="CMR10" w:cs="CMR10"/>
          <w:sz w:val="20"/>
          <w:szCs w:val="20"/>
        </w:rPr>
        <w:t xml:space="preserve">upstream mergers, 11% of vertical mergers, and </w:t>
      </w:r>
      <w:r w:rsidR="00FD79DA">
        <w:rPr>
          <w:rFonts w:ascii="CMR10" w:hAnsi="CMR10" w:cs="CMR10"/>
          <w:sz w:val="20"/>
          <w:szCs w:val="20"/>
        </w:rPr>
        <w:t>a</w:t>
      </w:r>
      <w:r w:rsidR="00511BC9" w:rsidRPr="00160A6D">
        <w:rPr>
          <w:rFonts w:ascii="CMR10" w:hAnsi="CMR10" w:cs="CMR10"/>
          <w:sz w:val="20"/>
          <w:szCs w:val="20"/>
        </w:rPr>
        <w:t>bout 16% of downstream and integrated</w:t>
      </w:r>
      <w:r w:rsidR="001A597E" w:rsidRPr="00160A6D">
        <w:rPr>
          <w:rFonts w:ascii="CMR10" w:hAnsi="CMR10" w:cs="CMR10"/>
          <w:sz w:val="20"/>
          <w:szCs w:val="20"/>
        </w:rPr>
        <w:t xml:space="preserve"> </w:t>
      </w:r>
      <w:r w:rsidR="00511BC9" w:rsidRPr="00160A6D">
        <w:rPr>
          <w:rFonts w:ascii="CMR10" w:hAnsi="CMR10" w:cs="CMR10"/>
          <w:sz w:val="20"/>
          <w:szCs w:val="20"/>
        </w:rPr>
        <w:t xml:space="preserve">mergers. </w:t>
      </w:r>
      <w:r>
        <w:rPr>
          <w:rFonts w:ascii="CMR10" w:hAnsi="CMR10" w:cs="CMR10"/>
          <w:sz w:val="20"/>
          <w:szCs w:val="20"/>
        </w:rPr>
        <w:t>The</w:t>
      </w:r>
      <w:r w:rsidR="00A41333" w:rsidRPr="00160A6D">
        <w:rPr>
          <w:rFonts w:ascii="CMR10" w:hAnsi="CMR10" w:cs="CMR10"/>
          <w:sz w:val="20"/>
          <w:szCs w:val="20"/>
        </w:rPr>
        <w:t xml:space="preserve"> partial rank order</w:t>
      </w:r>
      <w:r w:rsidR="00FF1702" w:rsidRPr="00160A6D">
        <w:rPr>
          <w:rFonts w:ascii="CMR10" w:hAnsi="CMR10" w:cs="CMR10"/>
          <w:sz w:val="20"/>
          <w:szCs w:val="20"/>
        </w:rPr>
        <w:t xml:space="preserve"> of wholesaler surplus</w:t>
      </w:r>
      <w:r w:rsidR="00A41333" w:rsidRPr="00160A6D">
        <w:rPr>
          <w:rFonts w:ascii="CMR10" w:hAnsi="CMR10" w:cs="CMR10"/>
          <w:sz w:val="20"/>
          <w:szCs w:val="20"/>
        </w:rPr>
        <w:t xml:space="preserve"> is:</w:t>
      </w:r>
      <w:r w:rsidR="00FD79DA">
        <w:rPr>
          <w:rFonts w:ascii="CMR10" w:hAnsi="CMR10" w:cs="CMR10"/>
          <w:sz w:val="20"/>
          <w:szCs w:val="20"/>
        </w:rPr>
        <w:t xml:space="preserve"> first u</w:t>
      </w:r>
      <w:r w:rsidR="00A41333">
        <w:rPr>
          <w:rFonts w:ascii="CMR10" w:hAnsi="CMR10" w:cs="CMR10"/>
          <w:sz w:val="20"/>
          <w:szCs w:val="20"/>
        </w:rPr>
        <w:t>pstream</w:t>
      </w:r>
      <w:r w:rsidR="00FF1702">
        <w:rPr>
          <w:rFonts w:ascii="CMR10" w:hAnsi="CMR10" w:cs="CMR10"/>
          <w:sz w:val="20"/>
          <w:szCs w:val="20"/>
        </w:rPr>
        <w:t xml:space="preserve"> mergers</w:t>
      </w:r>
      <w:r w:rsidR="00FD79DA">
        <w:rPr>
          <w:rFonts w:ascii="CMR10" w:hAnsi="CMR10" w:cs="CMR10"/>
          <w:sz w:val="20"/>
          <w:szCs w:val="20"/>
        </w:rPr>
        <w:t>, second d</w:t>
      </w:r>
      <w:r w:rsidR="00A41333">
        <w:rPr>
          <w:rFonts w:ascii="CMR10" w:hAnsi="CMR10" w:cs="CMR10"/>
          <w:sz w:val="20"/>
          <w:szCs w:val="20"/>
        </w:rPr>
        <w:t>ownstream</w:t>
      </w:r>
      <w:r w:rsidR="00FF1702">
        <w:rPr>
          <w:rFonts w:ascii="CMR10" w:hAnsi="CMR10" w:cs="CMR10"/>
          <w:sz w:val="20"/>
          <w:szCs w:val="20"/>
        </w:rPr>
        <w:t xml:space="preserve"> mergers</w:t>
      </w:r>
      <w:r w:rsidR="00FD79DA">
        <w:rPr>
          <w:rFonts w:ascii="CMR10" w:hAnsi="CMR10" w:cs="CMR10"/>
          <w:sz w:val="20"/>
          <w:szCs w:val="20"/>
        </w:rPr>
        <w:t>, third i</w:t>
      </w:r>
      <w:r w:rsidR="00A41333">
        <w:rPr>
          <w:rFonts w:ascii="CMR10" w:hAnsi="CMR10" w:cs="CMR10"/>
          <w:sz w:val="20"/>
          <w:szCs w:val="20"/>
        </w:rPr>
        <w:t>ntegrated</w:t>
      </w:r>
      <w:r w:rsidR="00FF1702">
        <w:rPr>
          <w:rFonts w:ascii="CMR10" w:hAnsi="CMR10" w:cs="CMR10"/>
          <w:sz w:val="20"/>
          <w:szCs w:val="20"/>
        </w:rPr>
        <w:t xml:space="preserve"> mergers</w:t>
      </w:r>
      <w:r w:rsidR="00FD79DA">
        <w:rPr>
          <w:rFonts w:ascii="CMR10" w:hAnsi="CMR10" w:cs="CMR10"/>
          <w:sz w:val="20"/>
          <w:szCs w:val="20"/>
        </w:rPr>
        <w:t xml:space="preserve"> and fourth v</w:t>
      </w:r>
      <w:r w:rsidR="00A41333">
        <w:rPr>
          <w:rFonts w:ascii="CMR10" w:hAnsi="CMR10" w:cs="CMR10"/>
          <w:sz w:val="20"/>
          <w:szCs w:val="20"/>
        </w:rPr>
        <w:t>ertical</w:t>
      </w:r>
      <w:r w:rsidR="00FF1702">
        <w:rPr>
          <w:rFonts w:ascii="CMR10" w:hAnsi="CMR10" w:cs="CMR10"/>
          <w:sz w:val="20"/>
          <w:szCs w:val="20"/>
        </w:rPr>
        <w:t xml:space="preserve"> mergers</w:t>
      </w:r>
      <w:r w:rsidR="00FD79DA">
        <w:rPr>
          <w:rFonts w:ascii="CMR10" w:hAnsi="CMR10" w:cs="CMR10"/>
          <w:sz w:val="20"/>
          <w:szCs w:val="20"/>
        </w:rPr>
        <w:t>.</w:t>
      </w:r>
    </w:p>
    <w:p w14:paraId="2A84F3F7" w14:textId="77777777" w:rsidR="00240D95" w:rsidRDefault="00240D95" w:rsidP="00FD79DA">
      <w:pPr>
        <w:autoSpaceDE w:val="0"/>
        <w:autoSpaceDN w:val="0"/>
        <w:adjustRightInd w:val="0"/>
        <w:spacing w:after="0" w:line="240" w:lineRule="auto"/>
        <w:rPr>
          <w:rFonts w:ascii="CMR10" w:hAnsi="CMR10" w:cs="CMR10"/>
          <w:sz w:val="20"/>
          <w:szCs w:val="20"/>
        </w:rPr>
      </w:pPr>
    </w:p>
    <w:p w14:paraId="269DDE91" w14:textId="2E497D98" w:rsidR="001A597E" w:rsidRDefault="00461BEA" w:rsidP="00FD79DA">
      <w:pPr>
        <w:autoSpaceDE w:val="0"/>
        <w:autoSpaceDN w:val="0"/>
        <w:adjustRightInd w:val="0"/>
        <w:spacing w:after="0" w:line="240" w:lineRule="auto"/>
        <w:rPr>
          <w:rFonts w:ascii="CMR10" w:hAnsi="CMR10" w:cs="CMR10"/>
          <w:sz w:val="20"/>
          <w:szCs w:val="20"/>
        </w:rPr>
      </w:pPr>
      <w:r>
        <w:rPr>
          <w:rFonts w:ascii="CMR10" w:hAnsi="CMR10" w:cs="CMR10"/>
          <w:sz w:val="20"/>
          <w:szCs w:val="20"/>
        </w:rPr>
        <w:t xml:space="preserve">The right-most panel depicts total welfare harm from the different types of </w:t>
      </w:r>
      <w:r w:rsidR="00776531">
        <w:rPr>
          <w:rFonts w:ascii="CMR10" w:hAnsi="CMR10" w:cs="CMR10"/>
          <w:sz w:val="20"/>
          <w:szCs w:val="20"/>
        </w:rPr>
        <w:t xml:space="preserve">simulated </w:t>
      </w:r>
      <w:r>
        <w:rPr>
          <w:rFonts w:ascii="CMR10" w:hAnsi="CMR10" w:cs="CMR10"/>
          <w:sz w:val="20"/>
          <w:szCs w:val="20"/>
        </w:rPr>
        <w:t>mergers. Here,</w:t>
      </w:r>
      <w:r w:rsidR="001A597E" w:rsidRPr="00160A6D">
        <w:rPr>
          <w:rFonts w:ascii="CMR10" w:hAnsi="CMR10" w:cs="CMR10"/>
          <w:sz w:val="20"/>
          <w:szCs w:val="20"/>
        </w:rPr>
        <w:t xml:space="preserve"> approximately 29% of vertical mergers and 17% of integrated mergers are beneficial, whereas only 9% of upstream mergers and 2% of downstream mergers are beneficial. Moreover, there is a partial rank ordering of mergers</w:t>
      </w:r>
      <w:r w:rsidR="00A41333" w:rsidRPr="00160A6D">
        <w:rPr>
          <w:rFonts w:ascii="CMR10" w:hAnsi="CMR10" w:cs="CMR10"/>
          <w:sz w:val="20"/>
          <w:szCs w:val="20"/>
        </w:rPr>
        <w:t xml:space="preserve">: </w:t>
      </w:r>
      <w:r w:rsidR="00FD79DA">
        <w:rPr>
          <w:rFonts w:ascii="CMR10" w:hAnsi="CMR10" w:cs="CMR10"/>
          <w:sz w:val="20"/>
          <w:szCs w:val="20"/>
        </w:rPr>
        <w:t>first v</w:t>
      </w:r>
      <w:r w:rsidR="00A41333">
        <w:rPr>
          <w:rFonts w:ascii="CMR10" w:hAnsi="CMR10" w:cs="CMR10"/>
          <w:sz w:val="20"/>
          <w:szCs w:val="20"/>
        </w:rPr>
        <w:t>ertical</w:t>
      </w:r>
      <w:r w:rsidR="00FF1702">
        <w:rPr>
          <w:rFonts w:ascii="CMR10" w:hAnsi="CMR10" w:cs="CMR10"/>
          <w:sz w:val="20"/>
          <w:szCs w:val="20"/>
        </w:rPr>
        <w:t xml:space="preserve"> mergers</w:t>
      </w:r>
      <w:r w:rsidR="00FD79DA">
        <w:rPr>
          <w:rFonts w:ascii="CMR10" w:hAnsi="CMR10" w:cs="CMR10"/>
          <w:sz w:val="20"/>
          <w:szCs w:val="20"/>
        </w:rPr>
        <w:t>, second u</w:t>
      </w:r>
      <w:r w:rsidR="00A41333">
        <w:rPr>
          <w:rFonts w:ascii="CMR10" w:hAnsi="CMR10" w:cs="CMR10"/>
          <w:sz w:val="20"/>
          <w:szCs w:val="20"/>
        </w:rPr>
        <w:t>pstream</w:t>
      </w:r>
      <w:r w:rsidR="00FF1702">
        <w:rPr>
          <w:rFonts w:ascii="CMR10" w:hAnsi="CMR10" w:cs="CMR10"/>
          <w:sz w:val="20"/>
          <w:szCs w:val="20"/>
        </w:rPr>
        <w:t xml:space="preserve"> mergers</w:t>
      </w:r>
      <w:r w:rsidR="00FD79DA">
        <w:rPr>
          <w:rFonts w:ascii="CMR10" w:hAnsi="CMR10" w:cs="CMR10"/>
          <w:sz w:val="20"/>
          <w:szCs w:val="20"/>
        </w:rPr>
        <w:t>, third d</w:t>
      </w:r>
      <w:r w:rsidR="00A41333">
        <w:rPr>
          <w:rFonts w:ascii="CMR10" w:hAnsi="CMR10" w:cs="CMR10"/>
          <w:sz w:val="20"/>
          <w:szCs w:val="20"/>
        </w:rPr>
        <w:t>ownstream</w:t>
      </w:r>
      <w:r w:rsidR="00FF1702">
        <w:rPr>
          <w:rFonts w:ascii="CMR10" w:hAnsi="CMR10" w:cs="CMR10"/>
          <w:sz w:val="20"/>
          <w:szCs w:val="20"/>
        </w:rPr>
        <w:t xml:space="preserve"> mergers</w:t>
      </w:r>
      <w:r w:rsidR="00FD79DA">
        <w:rPr>
          <w:rFonts w:ascii="CMR10" w:hAnsi="CMR10" w:cs="CMR10"/>
          <w:sz w:val="20"/>
          <w:szCs w:val="20"/>
        </w:rPr>
        <w:t xml:space="preserve"> and fourth i</w:t>
      </w:r>
      <w:r w:rsidR="00A41333">
        <w:rPr>
          <w:rFonts w:ascii="CMR10" w:hAnsi="CMR10" w:cs="CMR10"/>
          <w:sz w:val="20"/>
          <w:szCs w:val="20"/>
        </w:rPr>
        <w:t>ntegrated</w:t>
      </w:r>
      <w:r w:rsidR="00FF1702">
        <w:rPr>
          <w:rFonts w:ascii="CMR10" w:hAnsi="CMR10" w:cs="CMR10"/>
          <w:sz w:val="20"/>
          <w:szCs w:val="20"/>
        </w:rPr>
        <w:t xml:space="preserve"> mergers</w:t>
      </w:r>
      <w:r w:rsidR="00FD79DA">
        <w:rPr>
          <w:rFonts w:ascii="CMR10" w:hAnsi="CMR10" w:cs="CMR10"/>
          <w:sz w:val="20"/>
          <w:szCs w:val="20"/>
        </w:rPr>
        <w:t>.</w:t>
      </w:r>
    </w:p>
    <w:p w14:paraId="6AA7C414" w14:textId="46A60155" w:rsidR="006443A3" w:rsidRDefault="006443A3" w:rsidP="006443A3"/>
    <w:p w14:paraId="698DFEF4" w14:textId="077AD81F" w:rsidR="00461BEA" w:rsidRDefault="00461BEA" w:rsidP="006443A3"/>
    <w:p w14:paraId="0EC1CBF2" w14:textId="3BB9BC9C" w:rsidR="00461BEA" w:rsidRDefault="00461BEA" w:rsidP="006443A3"/>
    <w:p w14:paraId="5F5AF0D1" w14:textId="287471A1" w:rsidR="00461BEA" w:rsidRDefault="00461BEA" w:rsidP="006443A3"/>
    <w:p w14:paraId="1637F8A5" w14:textId="7ECD9892" w:rsidR="00E30A0E" w:rsidRDefault="00E30A0E" w:rsidP="006443A3"/>
    <w:p w14:paraId="306311D3" w14:textId="63AF9DFF" w:rsidR="00E30A0E" w:rsidRDefault="00E30A0E" w:rsidP="006443A3"/>
    <w:p w14:paraId="634D3160" w14:textId="236C25BD" w:rsidR="00E30A0E" w:rsidRDefault="00E30A0E" w:rsidP="006443A3"/>
    <w:p w14:paraId="06F092CA" w14:textId="563BFBAA" w:rsidR="00E30A0E" w:rsidRDefault="00E30A0E" w:rsidP="006443A3"/>
    <w:p w14:paraId="56329002" w14:textId="6CCB821A" w:rsidR="00E30A0E" w:rsidRDefault="00E30A0E" w:rsidP="006443A3"/>
    <w:p w14:paraId="564B166E" w14:textId="77777777" w:rsidR="00E30A0E" w:rsidRDefault="00E30A0E" w:rsidP="006443A3"/>
    <w:p w14:paraId="1B8A103B" w14:textId="6F22E33C" w:rsidR="00461BEA" w:rsidRDefault="00461BEA" w:rsidP="00461BEA">
      <w:pPr>
        <w:jc w:val="center"/>
      </w:pPr>
    </w:p>
    <w:p w14:paraId="21A70EF7" w14:textId="5FD76884" w:rsidR="00461BEA" w:rsidRPr="00461BEA" w:rsidRDefault="00461BEA" w:rsidP="00E032C8">
      <w:pPr>
        <w:rPr>
          <w:b/>
          <w:bCs/>
        </w:rPr>
      </w:pPr>
      <w:r w:rsidRPr="00461BEA">
        <w:rPr>
          <w:b/>
          <w:bCs/>
        </w:rPr>
        <w:t>Figure 2</w:t>
      </w:r>
    </w:p>
    <w:p w14:paraId="13D37924" w14:textId="657E7A09" w:rsidR="00461BEA" w:rsidRDefault="009876F2" w:rsidP="006443A3">
      <w:r>
        <w:t>Figure 2</w:t>
      </w:r>
      <w:r w:rsidR="00461BEA" w:rsidRPr="00461BEA">
        <w:t xml:space="preserve"> displays box and whisker plots summarizing the extent to which </w:t>
      </w:r>
      <w:r w:rsidR="00776531">
        <w:t xml:space="preserve">the simulated </w:t>
      </w:r>
      <w:r w:rsidR="00461BEA" w:rsidRPr="00461BEA">
        <w:t xml:space="preserve">mergers aﬀect consumer </w:t>
      </w:r>
      <w:r w:rsidR="00244B5E">
        <w:t>s</w:t>
      </w:r>
      <w:r w:rsidR="00461BEA" w:rsidRPr="00461BEA">
        <w:t xml:space="preserve">urplus as the number of vertically integrated ﬁrms present in a market changes. Whiskers depict the </w:t>
      </w:r>
      <w:r w:rsidR="00244B5E">
        <w:t>5</w:t>
      </w:r>
      <w:r w:rsidR="00461BEA" w:rsidRPr="00461BEA">
        <w:t xml:space="preserve">th and 95th percentiles of a particular outcome, boxes depict the 25th and 75th percentiles, and the </w:t>
      </w:r>
      <w:r w:rsidR="00244B5E">
        <w:t>s</w:t>
      </w:r>
      <w:r w:rsidR="00461BEA" w:rsidRPr="00461BEA">
        <w:t>olid horizontal line depicts the median.</w:t>
      </w:r>
    </w:p>
    <w:p w14:paraId="3C2B7A86" w14:textId="0C62461A" w:rsidR="00244B5E" w:rsidRDefault="00244B5E" w:rsidP="006443A3">
      <w:r>
        <w:t xml:space="preserve">The leftmost panel in Figure 2 depicts consumer harm from </w:t>
      </w:r>
      <w:r w:rsidR="00776531">
        <w:t xml:space="preserve">simulated </w:t>
      </w:r>
      <w:r>
        <w:t xml:space="preserve">vertical mergers. </w:t>
      </w:r>
      <w:r w:rsidRPr="00244B5E">
        <w:t>Absent incumbent</w:t>
      </w:r>
      <w:r>
        <w:t xml:space="preserve"> </w:t>
      </w:r>
      <w:r w:rsidRPr="00244B5E">
        <w:t>integration by rivals (denoted by 0 integrated ﬁrms in Figure 2), about half of vertical mergers beneﬁt</w:t>
      </w:r>
      <w:r>
        <w:t xml:space="preserve"> </w:t>
      </w:r>
      <w:r w:rsidRPr="00244B5E">
        <w:t>consumers.</w:t>
      </w:r>
      <w:r>
        <w:t xml:space="preserve"> </w:t>
      </w:r>
      <w:r w:rsidRPr="00244B5E">
        <w:t xml:space="preserve">The addition of a single rival integrated ﬁrm (denoted by 1 integrated ﬁrm in the ﬁgure) </w:t>
      </w:r>
      <w:r>
        <w:t>m</w:t>
      </w:r>
      <w:r w:rsidRPr="00244B5E">
        <w:t>oves median consumer welfare from about 0% of pre-merger revenues to a positive 2% and widens</w:t>
      </w:r>
      <w:r>
        <w:t xml:space="preserve"> </w:t>
      </w:r>
      <w:r w:rsidRPr="00244B5E">
        <w:t>the distribution of outcomes slightly. Adding more integrated rivals does not have much additional</w:t>
      </w:r>
      <w:r>
        <w:t xml:space="preserve"> </w:t>
      </w:r>
      <w:r w:rsidRPr="00244B5E">
        <w:t>eﬀect.</w:t>
      </w:r>
      <w:r w:rsidR="00E032C8">
        <w:t xml:space="preserve"> </w:t>
      </w:r>
    </w:p>
    <w:p w14:paraId="14EC8289" w14:textId="3DF65DF6" w:rsidR="00244B5E" w:rsidRDefault="00244B5E" w:rsidP="00244B5E">
      <w:pPr>
        <w:autoSpaceDE w:val="0"/>
        <w:autoSpaceDN w:val="0"/>
        <w:adjustRightInd w:val="0"/>
        <w:spacing w:after="0" w:line="240" w:lineRule="auto"/>
      </w:pPr>
      <w:r w:rsidRPr="00244B5E">
        <w:t xml:space="preserve">The second panel from the left depicts </w:t>
      </w:r>
      <w:r>
        <w:t>consumer</w:t>
      </w:r>
      <w:r w:rsidRPr="00244B5E">
        <w:t xml:space="preserve"> harm from </w:t>
      </w:r>
      <w:r w:rsidR="00776531">
        <w:t xml:space="preserve">simulated </w:t>
      </w:r>
      <w:r>
        <w:t>upstream mergers</w:t>
      </w:r>
      <w:r w:rsidRPr="00244B5E">
        <w:t xml:space="preserve">. </w:t>
      </w:r>
      <w:r>
        <w:t xml:space="preserve">Here, </w:t>
      </w:r>
      <w:r w:rsidRPr="00244B5E">
        <w:t>upstream</w:t>
      </w:r>
      <w:r w:rsidR="00E032C8">
        <w:t xml:space="preserve"> </w:t>
      </w:r>
      <w:r w:rsidRPr="00244B5E">
        <w:t>mergers absent any incumbent vertical integration (0 integrated ﬁrms) are never beneﬁcial in the range</w:t>
      </w:r>
      <w:r w:rsidR="00E032C8">
        <w:t xml:space="preserve"> </w:t>
      </w:r>
      <w:r w:rsidR="003F3F6A">
        <w:t>studied</w:t>
      </w:r>
      <w:r w:rsidRPr="00244B5E">
        <w:t>, with median consumer harm at about 6% of pre-merger revenues.</w:t>
      </w:r>
      <w:r>
        <w:t xml:space="preserve"> </w:t>
      </w:r>
      <w:r w:rsidRPr="00244B5E">
        <w:t xml:space="preserve">Once one of the merging </w:t>
      </w:r>
      <w:r w:rsidR="00E032C8">
        <w:t>fi</w:t>
      </w:r>
      <w:r w:rsidRPr="00244B5E">
        <w:t>rms is allowed to be integrated (1 integrated ﬁrm in the ﬁgure) beneﬁcial mergers appear. Consumer</w:t>
      </w:r>
      <w:r w:rsidR="00E032C8">
        <w:t xml:space="preserve"> </w:t>
      </w:r>
      <w:r w:rsidRPr="00244B5E">
        <w:t>welfare increases in almost 30% of mergers, though median consumer harm is roughly steady at</w:t>
      </w:r>
      <w:r w:rsidR="00E032C8">
        <w:t xml:space="preserve"> </w:t>
      </w:r>
      <w:r w:rsidRPr="00244B5E">
        <w:t>approximately 4% of pre-merger revenues.</w:t>
      </w:r>
      <w:r w:rsidR="00E032C8">
        <w:t xml:space="preserve"> </w:t>
      </w:r>
      <w:r w:rsidR="00E032C8" w:rsidRPr="00E032C8">
        <w:t>Adding in integration by rival ﬁrms (2-4 integrated ﬁrms in the ﬁgure) narrows the inter-quartile range and somewhat trims the whiskers while having little impact on median harm.</w:t>
      </w:r>
    </w:p>
    <w:p w14:paraId="03E126CC" w14:textId="77777777" w:rsidR="00244B5E" w:rsidRPr="00244B5E" w:rsidRDefault="00244B5E" w:rsidP="00244B5E">
      <w:pPr>
        <w:autoSpaceDE w:val="0"/>
        <w:autoSpaceDN w:val="0"/>
        <w:adjustRightInd w:val="0"/>
        <w:spacing w:after="0" w:line="240" w:lineRule="auto"/>
      </w:pPr>
    </w:p>
    <w:p w14:paraId="5058856E" w14:textId="4301F188" w:rsidR="00244B5E" w:rsidRDefault="00244B5E" w:rsidP="00E032C8">
      <w:pPr>
        <w:autoSpaceDE w:val="0"/>
        <w:autoSpaceDN w:val="0"/>
        <w:adjustRightInd w:val="0"/>
        <w:spacing w:after="0" w:line="240" w:lineRule="auto"/>
      </w:pPr>
      <w:r w:rsidRPr="00244B5E">
        <w:t xml:space="preserve">The third panel from the left depicts </w:t>
      </w:r>
      <w:r>
        <w:t>consumer</w:t>
      </w:r>
      <w:r w:rsidRPr="00244B5E">
        <w:t xml:space="preserve"> harm from </w:t>
      </w:r>
      <w:r w:rsidR="00776531">
        <w:t xml:space="preserve">simulated </w:t>
      </w:r>
      <w:r>
        <w:t>downstream</w:t>
      </w:r>
      <w:r w:rsidRPr="00244B5E">
        <w:t xml:space="preserve"> mergers. </w:t>
      </w:r>
      <w:r w:rsidR="00E032C8">
        <w:t xml:space="preserve">As with upstream mergers, downstream mergers absent incumbent vertical integration (0 integrated ﬁrms in </w:t>
      </w:r>
      <w:r w:rsidR="00E032C8">
        <w:lastRenderedPageBreak/>
        <w:t xml:space="preserve">the ﬁgure) are never beneﬁcial in the 5th to 95th percentile range, with median consumer harm from downstream mergers equal to about 9% of pre-merger revenues. </w:t>
      </w:r>
      <w:r w:rsidR="00E032C8" w:rsidRPr="00E032C8">
        <w:t>Allowing one of the merging ﬁrms to be vertically</w:t>
      </w:r>
      <w:r w:rsidR="00E032C8">
        <w:t xml:space="preserve"> </w:t>
      </w:r>
      <w:r w:rsidR="00E032C8" w:rsidRPr="00E032C8">
        <w:t>integrated when all other market participants are unintegrated (1 integrated ﬁrm in the ﬁgure) increases</w:t>
      </w:r>
      <w:r w:rsidR="00E032C8">
        <w:t xml:space="preserve"> </w:t>
      </w:r>
      <w:r w:rsidR="00E032C8" w:rsidRPr="00E032C8">
        <w:t>the range of outcomes while also leading to more median harm: consumer welfare increases in about</w:t>
      </w:r>
      <w:r w:rsidR="00E032C8">
        <w:t xml:space="preserve"> </w:t>
      </w:r>
      <w:r w:rsidR="00E032C8" w:rsidRPr="00E032C8">
        <w:t>20% of mergers, but median consumer harm grows to about 12% of pre-merger revenues.</w:t>
      </w:r>
      <w:r w:rsidR="00E032C8">
        <w:t xml:space="preserve"> </w:t>
      </w:r>
      <w:r w:rsidR="00E032C8" w:rsidRPr="00E032C8">
        <w:t>Adding</w:t>
      </w:r>
      <w:r w:rsidR="00E032C8">
        <w:t xml:space="preserve"> </w:t>
      </w:r>
      <w:r w:rsidR="00E032C8" w:rsidRPr="00E032C8">
        <w:t>integrated third-party rivals (2-4 integrated ﬁrms in the ﬁgure) somewhat moves the distribution</w:t>
      </w:r>
      <w:r w:rsidR="00E032C8">
        <w:t xml:space="preserve"> </w:t>
      </w:r>
      <w:r w:rsidR="00E032C8" w:rsidRPr="00E032C8">
        <w:t>towards less harm. With 3 integrated third parties (denoted by 4 integrated ﬁrms in the ﬁgure), the</w:t>
      </w:r>
      <w:r w:rsidR="00E032C8">
        <w:t xml:space="preserve"> </w:t>
      </w:r>
      <w:r w:rsidR="00E032C8" w:rsidRPr="00E032C8">
        <w:t>merger beneﬁts consumers in about 34% of markets and shrinks median consumer harm to about 5% of</w:t>
      </w:r>
      <w:r w:rsidR="00E032C8">
        <w:t xml:space="preserve"> </w:t>
      </w:r>
      <w:r w:rsidR="00E032C8" w:rsidRPr="00E032C8">
        <w:t>pre-merger revenues.</w:t>
      </w:r>
    </w:p>
    <w:p w14:paraId="23D3D15B" w14:textId="77777777" w:rsidR="00244B5E" w:rsidRPr="00244B5E" w:rsidRDefault="00244B5E" w:rsidP="00244B5E">
      <w:pPr>
        <w:autoSpaceDE w:val="0"/>
        <w:autoSpaceDN w:val="0"/>
        <w:adjustRightInd w:val="0"/>
        <w:spacing w:after="0" w:line="240" w:lineRule="auto"/>
      </w:pPr>
    </w:p>
    <w:p w14:paraId="141A0A31" w14:textId="1E83C334" w:rsidR="00244B5E" w:rsidRDefault="00244B5E" w:rsidP="00244B5E">
      <w:pPr>
        <w:autoSpaceDE w:val="0"/>
        <w:autoSpaceDN w:val="0"/>
        <w:adjustRightInd w:val="0"/>
        <w:spacing w:after="0" w:line="240" w:lineRule="auto"/>
      </w:pPr>
      <w:r w:rsidRPr="00244B5E">
        <w:t xml:space="preserve">The right-most panel depicts </w:t>
      </w:r>
      <w:r>
        <w:t xml:space="preserve">consumer harm from </w:t>
      </w:r>
      <w:r w:rsidR="00776531">
        <w:t xml:space="preserve">simulated </w:t>
      </w:r>
      <w:r>
        <w:t>integrated mergers</w:t>
      </w:r>
      <w:r w:rsidRPr="00244B5E">
        <w:t xml:space="preserve">. </w:t>
      </w:r>
      <w:r w:rsidR="00E032C8" w:rsidRPr="00E032C8">
        <w:t>Absent the presence of rival incumbent integrated ﬁrms (0 integrated ﬁrms in the ﬁgure), mergers between two integrated ﬁrms beneﬁt consumers in about 6% of simulated markets.</w:t>
      </w:r>
      <w:r w:rsidR="0016778F">
        <w:t xml:space="preserve"> </w:t>
      </w:r>
      <w:r w:rsidR="0016778F" w:rsidRPr="0016778F">
        <w:t>Adding one additional rival incumbent integrated ﬁrm (1 integrated ﬁrm in the ﬁgure) does not have a signiﬁcant impact on the median or on the range of outcomes. Adding more integrated rivals (2-4 integrated ﬁrms in the ﬁgure) moves median consumer welfare to be slightly more negative.</w:t>
      </w:r>
    </w:p>
    <w:p w14:paraId="192AEC2F" w14:textId="1EB3783B" w:rsidR="00461BEA" w:rsidRDefault="00461BEA" w:rsidP="006443A3"/>
    <w:p w14:paraId="661828E7" w14:textId="47E60BF8" w:rsidR="00461BEA" w:rsidRDefault="00461BEA" w:rsidP="006443A3"/>
    <w:p w14:paraId="5F661211" w14:textId="69D0025F" w:rsidR="00461BEA" w:rsidRDefault="00461BEA" w:rsidP="006443A3"/>
    <w:p w14:paraId="7E8600E6" w14:textId="77777777" w:rsidR="00E30A0E" w:rsidRDefault="00E30A0E" w:rsidP="006443A3"/>
    <w:p w14:paraId="0BAECE37" w14:textId="6C3313A8" w:rsidR="00BE3527" w:rsidRPr="006443A3" w:rsidRDefault="00160A6D" w:rsidP="006443A3">
      <w:pPr>
        <w:rPr>
          <w:b/>
          <w:bCs/>
        </w:rPr>
      </w:pPr>
      <w:r w:rsidRPr="006443A3">
        <w:rPr>
          <w:b/>
          <w:bCs/>
        </w:rPr>
        <w:t xml:space="preserve">Figure </w:t>
      </w:r>
      <w:r w:rsidR="00BE3527" w:rsidRPr="006443A3">
        <w:rPr>
          <w:b/>
          <w:bCs/>
        </w:rPr>
        <w:t>3</w:t>
      </w:r>
    </w:p>
    <w:p w14:paraId="6B8A09BE" w14:textId="4F6C0851" w:rsidR="005F4EBF" w:rsidRDefault="005F4EBF" w:rsidP="005F4EBF">
      <w:r>
        <w:t xml:space="preserve">Figure 3 depicts box and whisker plots summarizing consumer welfare effects (ordinate) for </w:t>
      </w:r>
      <w:r w:rsidR="00776531">
        <w:t xml:space="preserve">simulated </w:t>
      </w:r>
      <w:r>
        <w:t xml:space="preserve">vertical, upstream, downstream, and integrated mergers as the relative bargaining power parameter (abscissa) goes from 9 (wholesalers have the advantage) to 1/9 (retailers have the advantage). Positive consumer welfare values denote consumer benefit, while negative values denote harm. Also </w:t>
      </w:r>
      <w:r>
        <w:lastRenderedPageBreak/>
        <w:t>depicted for each bargaining power parameter are three sets of box and whisker plots that correspond to the number of incumbent vertically integrated firms included in the simulated markets: 0 (light blue), 1 (darker blue), and 4 (darkest blue) firms.</w:t>
      </w:r>
    </w:p>
    <w:p w14:paraId="29A4AE45" w14:textId="15B78F76" w:rsidR="005F4EBF" w:rsidRDefault="005F4EBF" w:rsidP="005F4EBF">
      <w:r>
        <w:t xml:space="preserve">The leftmost panel of Figure 3 depicts the effects of </w:t>
      </w:r>
      <w:r w:rsidR="00776531">
        <w:t xml:space="preserve">simulated </w:t>
      </w:r>
      <w:r>
        <w:t xml:space="preserve">vertical mergers. The light blue plots depict consume welfare effects when there are no incumbent integrated firms. Here, mergers tend to benefit consumers when wholesalers have relatively more power, and harm consumers when retailers have relatively more power. When bargaining power goes below 1 (more power to retailers), most simulations resulting in harm to consumers. As we add 1 and then 4 integrated rival firms (shown by the darker and darkest blue box plots, respectively), the range of welfare outcomes narrows and shifts upwards, though we still see the negative relationship between consumer welfare and relative retailer bargaining power. Across all three integrated incumbent scenarios, median consumer harm moves from about 24% of pre-merger expenditures when wholesalers have the advantage to 7% when retailers have the advantage. </w:t>
      </w:r>
    </w:p>
    <w:p w14:paraId="2DBE4471" w14:textId="3E249640" w:rsidR="005F4EBF" w:rsidRDefault="005F4EBF" w:rsidP="005F4EBF">
      <w:r>
        <w:t xml:space="preserve">The second panel from the left depicts consumer harm from </w:t>
      </w:r>
      <w:r w:rsidR="00776531">
        <w:t xml:space="preserve">simulated </w:t>
      </w:r>
      <w:r>
        <w:t xml:space="preserve">upstream mergers. Without incumbent integrated firms in the market (the light blue plots), the relationship between harm and bargaining power is unlike that for downstream and vertical mergers, as it is not monotonic in bargaining power. By contrast, for mergers between an integrated firm and an unintegrated upstream supplier (the darker blue plots), the relationship between harm and bargaining power is more in line with that for downstream and vertical mergers. Median consumer harm goes from roughly -21% of pre-merger expenditures when wholesalers have relatively more bargaining power to almost 8% of pre-merger expenditures when retailers have relatively more bargaining power. Adding 3 incumbent integrated rivals (the darkest blue plots) preserves the relationship between bargaining power and harm, though the spread of outcomes narrows and the medians shift up slightly. </w:t>
      </w:r>
    </w:p>
    <w:p w14:paraId="77545F71" w14:textId="44EA920D" w:rsidR="005F4EBF" w:rsidRDefault="005F4EBF" w:rsidP="005F4EBF">
      <w:r>
        <w:t xml:space="preserve">The third panel from the left depicts consumer harm from </w:t>
      </w:r>
      <w:r w:rsidR="00A52752">
        <w:t xml:space="preserve">simulated </w:t>
      </w:r>
      <w:r>
        <w:t>downstream mergers</w:t>
      </w:r>
      <w:r w:rsidR="00A52752">
        <w:t>. W</w:t>
      </w:r>
      <w:r>
        <w:t xml:space="preserve">e find that higher retailer relative bargaining power leads to more negative impacts on welfare. </w:t>
      </w:r>
      <w:r w:rsidRPr="00242A66">
        <w:t>Absent any incumbent integration (the light blue plots), all the outcomes shown in Figure 3 harm consumers.</w:t>
      </w:r>
      <w:r>
        <w:t xml:space="preserve"> Median consumer harm goes from about 1% of pre-merger expenditures when wholesalers have relatively more bargaining power to 19% of pre-merger expenditures when retailers have relatively more bargaining power. Once we allow one of the merging firms to be integrated (the darker blue plots), some beneficial mergers appear, particularly when wholesalers have relatively more bargaining power.  Median consumer harm goes from approximately -28% of pre-merger revenues when wholesalers have the advantage to 24% of pre-merger revenues when retailers have the advantage.</w:t>
      </w:r>
    </w:p>
    <w:p w14:paraId="7ADE5B52" w14:textId="5965A7F6" w:rsidR="005F4EBF" w:rsidRDefault="005F4EBF" w:rsidP="005F4EBF">
      <w:r>
        <w:lastRenderedPageBreak/>
        <w:t xml:space="preserve">The right-most panel in Figure 3 depicts consumer harm from </w:t>
      </w:r>
      <w:r w:rsidR="00A52752">
        <w:t xml:space="preserve">simulated </w:t>
      </w:r>
      <w:r>
        <w:t xml:space="preserve">integrated mergers. In terms of bargaining power and resulting harm, integrated mergers are perhaps most similar to vertical mergers. Like vertical mergers, there is a strong monotonic relationship between bargaining power and harm. Median consumer harm moves from about 0% of pre-merger expenditures when wholesalers have relatively more bargaining power to about 26% of pre-merger expenditures when retailers have relatively more bargaining power. A second similarity between vertical and integrated mergers is that the presence of rival integrated incumbents (see the darker and darkest blue plots) tends to narrow the range of outcomes and somewhat shift the distribution upwards. However, a key difference between vertical and integrated mergers is that while vertical mergers are often beneficial when wholesalers have relatively more bargaining power, integrated mergers are often harmful unless wholesaler relative bargaining power is roughly 4 times or more. The crossing at zero harm is shifted to the left. </w:t>
      </w:r>
    </w:p>
    <w:bookmarkEnd w:id="0"/>
    <w:p w14:paraId="276EF64C" w14:textId="66EB8472" w:rsidR="00E30A0E" w:rsidRDefault="00E30A0E">
      <w:pPr>
        <w:rPr>
          <w:rFonts w:ascii="CMR10" w:hAnsi="CMR10" w:cs="CMR10"/>
          <w:b/>
          <w:bCs/>
          <w:sz w:val="20"/>
          <w:szCs w:val="20"/>
        </w:rPr>
      </w:pPr>
      <w:r>
        <w:rPr>
          <w:rFonts w:ascii="CMR10" w:hAnsi="CMR10" w:cs="CMR10"/>
          <w:b/>
          <w:bCs/>
          <w:sz w:val="20"/>
          <w:szCs w:val="20"/>
        </w:rPr>
        <w:br w:type="page"/>
      </w:r>
    </w:p>
    <w:p w14:paraId="7444E426" w14:textId="77777777" w:rsidR="00E30A0E" w:rsidRDefault="00E30A0E" w:rsidP="002C5710">
      <w:pPr>
        <w:autoSpaceDE w:val="0"/>
        <w:autoSpaceDN w:val="0"/>
        <w:adjustRightInd w:val="0"/>
        <w:spacing w:after="0" w:line="240" w:lineRule="auto"/>
        <w:rPr>
          <w:rFonts w:ascii="CMR10" w:hAnsi="CMR10" w:cs="CMR10"/>
          <w:b/>
          <w:bCs/>
          <w:sz w:val="20"/>
          <w:szCs w:val="20"/>
        </w:rPr>
      </w:pPr>
    </w:p>
    <w:p w14:paraId="5552239F" w14:textId="4BDAE423" w:rsidR="00E52A83" w:rsidRDefault="00E52A83" w:rsidP="002C5710">
      <w:pPr>
        <w:autoSpaceDE w:val="0"/>
        <w:autoSpaceDN w:val="0"/>
        <w:adjustRightInd w:val="0"/>
        <w:spacing w:after="0" w:line="240" w:lineRule="auto"/>
        <w:rPr>
          <w:rFonts w:ascii="CMR10" w:hAnsi="CMR10" w:cs="CMR10"/>
          <w:b/>
          <w:bCs/>
          <w:sz w:val="20"/>
          <w:szCs w:val="20"/>
        </w:rPr>
      </w:pPr>
      <w:r>
        <w:rPr>
          <w:rFonts w:ascii="CMR10" w:hAnsi="CMR10" w:cs="CMR10"/>
          <w:b/>
          <w:bCs/>
          <w:sz w:val="20"/>
          <w:szCs w:val="20"/>
        </w:rPr>
        <w:t>Figure 4</w:t>
      </w:r>
    </w:p>
    <w:p w14:paraId="1D2BE827" w14:textId="3875DB10" w:rsidR="00E52A83" w:rsidRDefault="00E52A83" w:rsidP="002C5710">
      <w:pPr>
        <w:autoSpaceDE w:val="0"/>
        <w:autoSpaceDN w:val="0"/>
        <w:adjustRightInd w:val="0"/>
        <w:spacing w:after="0" w:line="240" w:lineRule="auto"/>
        <w:rPr>
          <w:rFonts w:ascii="CMR10" w:hAnsi="CMR10" w:cs="CMR10"/>
          <w:b/>
          <w:bCs/>
          <w:sz w:val="20"/>
          <w:szCs w:val="20"/>
        </w:rPr>
      </w:pPr>
    </w:p>
    <w:p w14:paraId="1C61C5D0" w14:textId="2D55964B" w:rsidR="00E52A83" w:rsidRDefault="00E52A83" w:rsidP="002C5710">
      <w:pPr>
        <w:autoSpaceDE w:val="0"/>
        <w:autoSpaceDN w:val="0"/>
        <w:adjustRightInd w:val="0"/>
        <w:spacing w:after="0" w:line="240" w:lineRule="auto"/>
        <w:rPr>
          <w:rFonts w:ascii="CMR10" w:hAnsi="CMR10" w:cs="CMR10"/>
          <w:sz w:val="20"/>
          <w:szCs w:val="20"/>
        </w:rPr>
      </w:pPr>
      <w:r w:rsidRPr="00E52A83">
        <w:rPr>
          <w:rFonts w:ascii="CMR10" w:hAnsi="CMR10" w:cs="CMR10"/>
          <w:sz w:val="20"/>
          <w:szCs w:val="20"/>
        </w:rPr>
        <w:t xml:space="preserve">Figure 4 </w:t>
      </w:r>
      <w:r w:rsidR="009876F2">
        <w:rPr>
          <w:rFonts w:ascii="CMR10" w:hAnsi="CMR10" w:cs="CMR10"/>
          <w:sz w:val="20"/>
          <w:szCs w:val="20"/>
        </w:rPr>
        <w:t>depicts the s</w:t>
      </w:r>
      <w:r w:rsidRPr="00E52A83">
        <w:rPr>
          <w:rFonts w:ascii="CMR10" w:hAnsi="CMR10" w:cs="CMR10"/>
          <w:sz w:val="20"/>
          <w:szCs w:val="20"/>
        </w:rPr>
        <w:t xml:space="preserve">tructure of the Chattanooga </w:t>
      </w:r>
      <w:r w:rsidR="009876F2">
        <w:rPr>
          <w:rFonts w:ascii="CMR10" w:hAnsi="CMR10" w:cs="CMR10"/>
          <w:sz w:val="20"/>
          <w:szCs w:val="20"/>
        </w:rPr>
        <w:t>a</w:t>
      </w:r>
      <w:r w:rsidRPr="00E52A83">
        <w:rPr>
          <w:rFonts w:ascii="CMR10" w:hAnsi="CMR10" w:cs="CMR10"/>
          <w:sz w:val="20"/>
          <w:szCs w:val="20"/>
        </w:rPr>
        <w:t xml:space="preserve">rea </w:t>
      </w:r>
      <w:r w:rsidR="009876F2">
        <w:rPr>
          <w:rFonts w:ascii="CMR10" w:hAnsi="CMR10" w:cs="CMR10"/>
          <w:sz w:val="20"/>
          <w:szCs w:val="20"/>
        </w:rPr>
        <w:t>d</w:t>
      </w:r>
      <w:r w:rsidRPr="00E52A83">
        <w:rPr>
          <w:rFonts w:ascii="CMR10" w:hAnsi="CMR10" w:cs="CMR10"/>
          <w:sz w:val="20"/>
          <w:szCs w:val="20"/>
        </w:rPr>
        <w:t xml:space="preserve">isposal and </w:t>
      </w:r>
      <w:r w:rsidR="009876F2">
        <w:rPr>
          <w:rFonts w:ascii="CMR10" w:hAnsi="CMR10" w:cs="CMR10"/>
          <w:sz w:val="20"/>
          <w:szCs w:val="20"/>
        </w:rPr>
        <w:t>c</w:t>
      </w:r>
      <w:r w:rsidRPr="00E52A83">
        <w:rPr>
          <w:rFonts w:ascii="CMR10" w:hAnsi="CMR10" w:cs="CMR10"/>
          <w:sz w:val="20"/>
          <w:szCs w:val="20"/>
        </w:rPr>
        <w:t xml:space="preserve">ollection </w:t>
      </w:r>
      <w:r w:rsidR="009876F2">
        <w:rPr>
          <w:rFonts w:ascii="CMR10" w:hAnsi="CMR10" w:cs="CMR10"/>
          <w:sz w:val="20"/>
          <w:szCs w:val="20"/>
        </w:rPr>
        <w:t>m</w:t>
      </w:r>
      <w:r w:rsidRPr="00E52A83">
        <w:rPr>
          <w:rFonts w:ascii="CMR10" w:hAnsi="CMR10" w:cs="CMR10"/>
          <w:sz w:val="20"/>
          <w:szCs w:val="20"/>
        </w:rPr>
        <w:t>arket</w:t>
      </w:r>
      <w:r w:rsidR="00A52752">
        <w:rPr>
          <w:rFonts w:ascii="CMR10" w:hAnsi="CMR10" w:cs="CMR10"/>
          <w:sz w:val="20"/>
          <w:szCs w:val="20"/>
        </w:rPr>
        <w:t>s</w:t>
      </w:r>
      <w:r w:rsidR="009876F2">
        <w:rPr>
          <w:rFonts w:ascii="CMR10" w:hAnsi="CMR10" w:cs="CMR10"/>
          <w:sz w:val="20"/>
          <w:szCs w:val="20"/>
        </w:rPr>
        <w:t>, by showing</w:t>
      </w:r>
      <w:r>
        <w:rPr>
          <w:rFonts w:ascii="CMR10" w:hAnsi="CMR10" w:cs="CMR10"/>
          <w:sz w:val="20"/>
          <w:szCs w:val="20"/>
        </w:rPr>
        <w:t xml:space="preserve"> the connections between the companies in the upstream disposal market and the downstream collection market. </w:t>
      </w:r>
      <w:r w:rsidR="009876F2">
        <w:rPr>
          <w:rFonts w:ascii="CMR10" w:hAnsi="CMR10" w:cs="CMR10"/>
          <w:sz w:val="20"/>
          <w:szCs w:val="20"/>
        </w:rPr>
        <w:t>The f</w:t>
      </w:r>
      <w:r w:rsidRPr="0032046C">
        <w:rPr>
          <w:rFonts w:ascii="CMR10" w:hAnsi="CMR10" w:cs="CMR10"/>
          <w:sz w:val="20"/>
          <w:szCs w:val="20"/>
        </w:rPr>
        <w:t>igure</w:t>
      </w:r>
      <w:r>
        <w:rPr>
          <w:rFonts w:ascii="CMR10" w:hAnsi="CMR10" w:cs="CMR10"/>
          <w:sz w:val="20"/>
          <w:szCs w:val="20"/>
        </w:rPr>
        <w:t xml:space="preserve"> depicts that Republic use</w:t>
      </w:r>
      <w:r w:rsidR="00A52752">
        <w:rPr>
          <w:rFonts w:ascii="CMR10" w:hAnsi="CMR10" w:cs="CMR10"/>
          <w:sz w:val="20"/>
          <w:szCs w:val="20"/>
        </w:rPr>
        <w:t>s</w:t>
      </w:r>
      <w:r>
        <w:rPr>
          <w:rFonts w:ascii="CMR10" w:hAnsi="CMR10" w:cs="CMR10"/>
          <w:sz w:val="20"/>
          <w:szCs w:val="20"/>
        </w:rPr>
        <w:t xml:space="preserve"> their own disposal, Santek’s disposal and Waste Connections’ disposal. WM-ADS</w:t>
      </w:r>
      <w:r w:rsidR="00686703">
        <w:rPr>
          <w:rFonts w:ascii="CMR10" w:hAnsi="CMR10" w:cs="CMR10"/>
          <w:sz w:val="20"/>
          <w:szCs w:val="20"/>
        </w:rPr>
        <w:t xml:space="preserve"> and Regional </w:t>
      </w:r>
      <w:r w:rsidR="00A52752">
        <w:rPr>
          <w:rFonts w:ascii="CMR10" w:hAnsi="CMR10" w:cs="CMR10"/>
          <w:sz w:val="20"/>
          <w:szCs w:val="20"/>
        </w:rPr>
        <w:t xml:space="preserve">use </w:t>
      </w:r>
      <w:r w:rsidR="00686703">
        <w:rPr>
          <w:rFonts w:ascii="CMR10" w:hAnsi="CMR10" w:cs="CMR10"/>
          <w:sz w:val="20"/>
          <w:szCs w:val="20"/>
        </w:rPr>
        <w:t xml:space="preserve">both </w:t>
      </w:r>
      <w:r>
        <w:rPr>
          <w:rFonts w:ascii="CMR10" w:hAnsi="CMR10" w:cs="CMR10"/>
          <w:sz w:val="20"/>
          <w:szCs w:val="20"/>
        </w:rPr>
        <w:t>Santek’s disposal and Waste Connections’ disposal. Santek</w:t>
      </w:r>
      <w:r w:rsidR="00686703">
        <w:rPr>
          <w:rFonts w:ascii="CMR10" w:hAnsi="CMR10" w:cs="CMR10"/>
          <w:sz w:val="20"/>
          <w:szCs w:val="20"/>
        </w:rPr>
        <w:t xml:space="preserve"> and Waste Connections</w:t>
      </w:r>
      <w:r>
        <w:rPr>
          <w:rFonts w:ascii="CMR10" w:hAnsi="CMR10" w:cs="CMR10"/>
          <w:sz w:val="20"/>
          <w:szCs w:val="20"/>
        </w:rPr>
        <w:t xml:space="preserve"> only use their own disposal</w:t>
      </w:r>
      <w:r w:rsidR="00686703">
        <w:rPr>
          <w:rFonts w:ascii="CMR10" w:hAnsi="CMR10" w:cs="CMR10"/>
          <w:sz w:val="20"/>
          <w:szCs w:val="20"/>
        </w:rPr>
        <w:t>s.</w:t>
      </w:r>
    </w:p>
    <w:p w14:paraId="72777EA2" w14:textId="6D42008A" w:rsidR="009C3E06" w:rsidRDefault="009C3E06" w:rsidP="002C5710">
      <w:pPr>
        <w:autoSpaceDE w:val="0"/>
        <w:autoSpaceDN w:val="0"/>
        <w:adjustRightInd w:val="0"/>
        <w:spacing w:after="0" w:line="240" w:lineRule="auto"/>
        <w:rPr>
          <w:rFonts w:ascii="CMR10" w:hAnsi="CMR10" w:cs="CMR10"/>
          <w:sz w:val="20"/>
          <w:szCs w:val="20"/>
        </w:rPr>
      </w:pPr>
    </w:p>
    <w:p w14:paraId="181B995C" w14:textId="75D70F32" w:rsidR="009C3E06" w:rsidRDefault="009C3E06" w:rsidP="002C5710">
      <w:pPr>
        <w:autoSpaceDE w:val="0"/>
        <w:autoSpaceDN w:val="0"/>
        <w:adjustRightInd w:val="0"/>
        <w:spacing w:after="0" w:line="240" w:lineRule="auto"/>
        <w:rPr>
          <w:rFonts w:ascii="CMR10" w:hAnsi="CMR10" w:cs="CMR10"/>
          <w:sz w:val="20"/>
          <w:szCs w:val="20"/>
        </w:rPr>
      </w:pPr>
    </w:p>
    <w:p w14:paraId="566EFAE2" w14:textId="7A9B848B" w:rsidR="009C3E06" w:rsidRDefault="009C3E06" w:rsidP="002C5710">
      <w:pPr>
        <w:autoSpaceDE w:val="0"/>
        <w:autoSpaceDN w:val="0"/>
        <w:adjustRightInd w:val="0"/>
        <w:spacing w:after="0" w:line="240" w:lineRule="auto"/>
        <w:rPr>
          <w:rFonts w:ascii="CMR10" w:hAnsi="CMR10" w:cs="CMR10"/>
          <w:sz w:val="20"/>
          <w:szCs w:val="20"/>
        </w:rPr>
      </w:pPr>
    </w:p>
    <w:p w14:paraId="3B38BD89" w14:textId="0ACC001F" w:rsidR="009C3E06" w:rsidRDefault="009C3E06" w:rsidP="002C5710">
      <w:pPr>
        <w:autoSpaceDE w:val="0"/>
        <w:autoSpaceDN w:val="0"/>
        <w:adjustRightInd w:val="0"/>
        <w:spacing w:after="0" w:line="240" w:lineRule="auto"/>
        <w:rPr>
          <w:rFonts w:ascii="CMR10" w:hAnsi="CMR10" w:cs="CMR10"/>
          <w:sz w:val="20"/>
          <w:szCs w:val="20"/>
        </w:rPr>
      </w:pPr>
    </w:p>
    <w:p w14:paraId="4F2D6673" w14:textId="1BC024AB" w:rsidR="009C3E06" w:rsidRDefault="009C3E06" w:rsidP="002C5710">
      <w:pPr>
        <w:autoSpaceDE w:val="0"/>
        <w:autoSpaceDN w:val="0"/>
        <w:adjustRightInd w:val="0"/>
        <w:spacing w:after="0" w:line="240" w:lineRule="auto"/>
        <w:rPr>
          <w:rFonts w:ascii="CMR10" w:hAnsi="CMR10" w:cs="CMR10"/>
          <w:sz w:val="20"/>
          <w:szCs w:val="20"/>
        </w:rPr>
      </w:pPr>
    </w:p>
    <w:p w14:paraId="354B7443" w14:textId="2AB7F466" w:rsidR="009C3E06" w:rsidRDefault="009C3E06" w:rsidP="002C5710">
      <w:pPr>
        <w:autoSpaceDE w:val="0"/>
        <w:autoSpaceDN w:val="0"/>
        <w:adjustRightInd w:val="0"/>
        <w:spacing w:after="0" w:line="240" w:lineRule="auto"/>
        <w:rPr>
          <w:rFonts w:ascii="CMR10" w:hAnsi="CMR10" w:cs="CMR10"/>
          <w:sz w:val="20"/>
          <w:szCs w:val="20"/>
        </w:rPr>
      </w:pPr>
    </w:p>
    <w:p w14:paraId="6E27C086" w14:textId="0611BBDC" w:rsidR="009C3E06" w:rsidRDefault="009C3E06" w:rsidP="002C5710">
      <w:pPr>
        <w:autoSpaceDE w:val="0"/>
        <w:autoSpaceDN w:val="0"/>
        <w:adjustRightInd w:val="0"/>
        <w:spacing w:after="0" w:line="240" w:lineRule="auto"/>
        <w:rPr>
          <w:rFonts w:ascii="CMR10" w:hAnsi="CMR10" w:cs="CMR10"/>
          <w:sz w:val="20"/>
          <w:szCs w:val="20"/>
        </w:rPr>
      </w:pPr>
    </w:p>
    <w:p w14:paraId="71609F0A" w14:textId="22C244B6" w:rsidR="009C3E06" w:rsidRDefault="009C3E06" w:rsidP="002C5710">
      <w:pPr>
        <w:autoSpaceDE w:val="0"/>
        <w:autoSpaceDN w:val="0"/>
        <w:adjustRightInd w:val="0"/>
        <w:spacing w:after="0" w:line="240" w:lineRule="auto"/>
        <w:rPr>
          <w:rFonts w:ascii="CMR10" w:hAnsi="CMR10" w:cs="CMR10"/>
          <w:sz w:val="20"/>
          <w:szCs w:val="20"/>
        </w:rPr>
      </w:pPr>
    </w:p>
    <w:p w14:paraId="11D2BA2F" w14:textId="5C3D5C2A" w:rsidR="009C3E06" w:rsidRDefault="009C3E06" w:rsidP="002C5710">
      <w:pPr>
        <w:autoSpaceDE w:val="0"/>
        <w:autoSpaceDN w:val="0"/>
        <w:adjustRightInd w:val="0"/>
        <w:spacing w:after="0" w:line="240" w:lineRule="auto"/>
        <w:rPr>
          <w:rFonts w:ascii="CMR10" w:hAnsi="CMR10" w:cs="CMR10"/>
          <w:sz w:val="20"/>
          <w:szCs w:val="20"/>
        </w:rPr>
      </w:pPr>
    </w:p>
    <w:p w14:paraId="39058EDA" w14:textId="254601A3" w:rsidR="009C3E06" w:rsidRDefault="009C3E06" w:rsidP="002C5710">
      <w:pPr>
        <w:autoSpaceDE w:val="0"/>
        <w:autoSpaceDN w:val="0"/>
        <w:adjustRightInd w:val="0"/>
        <w:spacing w:after="0" w:line="240" w:lineRule="auto"/>
        <w:rPr>
          <w:rFonts w:ascii="CMR10" w:hAnsi="CMR10" w:cs="CMR10"/>
          <w:sz w:val="20"/>
          <w:szCs w:val="20"/>
        </w:rPr>
      </w:pPr>
    </w:p>
    <w:p w14:paraId="09B985C9" w14:textId="2D4E3302" w:rsidR="009C3E06" w:rsidRDefault="009C3E06" w:rsidP="002C5710">
      <w:pPr>
        <w:autoSpaceDE w:val="0"/>
        <w:autoSpaceDN w:val="0"/>
        <w:adjustRightInd w:val="0"/>
        <w:spacing w:after="0" w:line="240" w:lineRule="auto"/>
        <w:rPr>
          <w:rFonts w:ascii="CMR10" w:hAnsi="CMR10" w:cs="CMR10"/>
          <w:sz w:val="20"/>
          <w:szCs w:val="20"/>
        </w:rPr>
      </w:pPr>
    </w:p>
    <w:p w14:paraId="2C07960A" w14:textId="3A13CDF5" w:rsidR="009C3E06" w:rsidRDefault="009C3E06" w:rsidP="002C5710">
      <w:pPr>
        <w:autoSpaceDE w:val="0"/>
        <w:autoSpaceDN w:val="0"/>
        <w:adjustRightInd w:val="0"/>
        <w:spacing w:after="0" w:line="240" w:lineRule="auto"/>
        <w:rPr>
          <w:rFonts w:ascii="CMR10" w:hAnsi="CMR10" w:cs="CMR10"/>
          <w:sz w:val="20"/>
          <w:szCs w:val="20"/>
        </w:rPr>
      </w:pPr>
    </w:p>
    <w:p w14:paraId="24D0FF0E" w14:textId="00D587C5" w:rsidR="009C3E06" w:rsidRDefault="009C3E06" w:rsidP="002C5710">
      <w:pPr>
        <w:autoSpaceDE w:val="0"/>
        <w:autoSpaceDN w:val="0"/>
        <w:adjustRightInd w:val="0"/>
        <w:spacing w:after="0" w:line="240" w:lineRule="auto"/>
        <w:rPr>
          <w:rFonts w:ascii="CMR10" w:hAnsi="CMR10" w:cs="CMR10"/>
          <w:sz w:val="20"/>
          <w:szCs w:val="20"/>
        </w:rPr>
      </w:pPr>
    </w:p>
    <w:p w14:paraId="1AC62F37" w14:textId="400E0F9F" w:rsidR="009C3E06" w:rsidRDefault="009C3E06" w:rsidP="002C5710">
      <w:pPr>
        <w:autoSpaceDE w:val="0"/>
        <w:autoSpaceDN w:val="0"/>
        <w:adjustRightInd w:val="0"/>
        <w:spacing w:after="0" w:line="240" w:lineRule="auto"/>
        <w:rPr>
          <w:rFonts w:ascii="CMR10" w:hAnsi="CMR10" w:cs="CMR10"/>
          <w:sz w:val="20"/>
          <w:szCs w:val="20"/>
        </w:rPr>
      </w:pPr>
    </w:p>
    <w:p w14:paraId="767A2668" w14:textId="47204BA2" w:rsidR="009C3E06" w:rsidRDefault="009C3E06" w:rsidP="002C5710">
      <w:pPr>
        <w:autoSpaceDE w:val="0"/>
        <w:autoSpaceDN w:val="0"/>
        <w:adjustRightInd w:val="0"/>
        <w:spacing w:after="0" w:line="240" w:lineRule="auto"/>
        <w:rPr>
          <w:rFonts w:ascii="CMR10" w:hAnsi="CMR10" w:cs="CMR10"/>
          <w:sz w:val="20"/>
          <w:szCs w:val="20"/>
        </w:rPr>
      </w:pPr>
    </w:p>
    <w:p w14:paraId="3D025666" w14:textId="1DB96B03" w:rsidR="009C3E06" w:rsidRDefault="009C3E06" w:rsidP="002C5710">
      <w:pPr>
        <w:autoSpaceDE w:val="0"/>
        <w:autoSpaceDN w:val="0"/>
        <w:adjustRightInd w:val="0"/>
        <w:spacing w:after="0" w:line="240" w:lineRule="auto"/>
        <w:rPr>
          <w:rFonts w:ascii="CMR10" w:hAnsi="CMR10" w:cs="CMR10"/>
          <w:sz w:val="20"/>
          <w:szCs w:val="20"/>
        </w:rPr>
      </w:pPr>
    </w:p>
    <w:p w14:paraId="6D4B1167" w14:textId="73E788E9" w:rsidR="009C3E06" w:rsidRDefault="009C3E06" w:rsidP="002C5710">
      <w:pPr>
        <w:autoSpaceDE w:val="0"/>
        <w:autoSpaceDN w:val="0"/>
        <w:adjustRightInd w:val="0"/>
        <w:spacing w:after="0" w:line="240" w:lineRule="auto"/>
        <w:rPr>
          <w:rFonts w:ascii="CMR10" w:hAnsi="CMR10" w:cs="CMR10"/>
          <w:sz w:val="20"/>
          <w:szCs w:val="20"/>
        </w:rPr>
      </w:pPr>
    </w:p>
    <w:p w14:paraId="147C5373" w14:textId="009A1F8C" w:rsidR="009C3E06" w:rsidRDefault="009C3E06" w:rsidP="002C5710">
      <w:pPr>
        <w:autoSpaceDE w:val="0"/>
        <w:autoSpaceDN w:val="0"/>
        <w:adjustRightInd w:val="0"/>
        <w:spacing w:after="0" w:line="240" w:lineRule="auto"/>
        <w:rPr>
          <w:rFonts w:ascii="CMR10" w:hAnsi="CMR10" w:cs="CMR10"/>
          <w:sz w:val="20"/>
          <w:szCs w:val="20"/>
        </w:rPr>
      </w:pPr>
    </w:p>
    <w:p w14:paraId="33B8FD40" w14:textId="5AD84D5A" w:rsidR="009C3E06" w:rsidRDefault="009C3E06" w:rsidP="002C5710">
      <w:pPr>
        <w:autoSpaceDE w:val="0"/>
        <w:autoSpaceDN w:val="0"/>
        <w:adjustRightInd w:val="0"/>
        <w:spacing w:after="0" w:line="240" w:lineRule="auto"/>
        <w:rPr>
          <w:rFonts w:ascii="CMR10" w:hAnsi="CMR10" w:cs="CMR10"/>
          <w:sz w:val="20"/>
          <w:szCs w:val="20"/>
        </w:rPr>
      </w:pPr>
    </w:p>
    <w:p w14:paraId="371C5784" w14:textId="55562EA1" w:rsidR="009C3E06" w:rsidRDefault="009C3E06" w:rsidP="002C5710">
      <w:pPr>
        <w:autoSpaceDE w:val="0"/>
        <w:autoSpaceDN w:val="0"/>
        <w:adjustRightInd w:val="0"/>
        <w:spacing w:after="0" w:line="240" w:lineRule="auto"/>
        <w:rPr>
          <w:rFonts w:ascii="CMR10" w:hAnsi="CMR10" w:cs="CMR10"/>
          <w:sz w:val="20"/>
          <w:szCs w:val="20"/>
        </w:rPr>
      </w:pPr>
    </w:p>
    <w:p w14:paraId="6647C1DC" w14:textId="69E4F9EC" w:rsidR="009C3E06" w:rsidRDefault="009C3E06" w:rsidP="002C5710">
      <w:pPr>
        <w:autoSpaceDE w:val="0"/>
        <w:autoSpaceDN w:val="0"/>
        <w:adjustRightInd w:val="0"/>
        <w:spacing w:after="0" w:line="240" w:lineRule="auto"/>
        <w:rPr>
          <w:rFonts w:ascii="CMR10" w:hAnsi="CMR10" w:cs="CMR10"/>
          <w:sz w:val="20"/>
          <w:szCs w:val="20"/>
        </w:rPr>
      </w:pPr>
    </w:p>
    <w:p w14:paraId="1054CD3F" w14:textId="20529CB1" w:rsidR="009C3E06" w:rsidRDefault="009C3E06" w:rsidP="002C5710">
      <w:pPr>
        <w:autoSpaceDE w:val="0"/>
        <w:autoSpaceDN w:val="0"/>
        <w:adjustRightInd w:val="0"/>
        <w:spacing w:after="0" w:line="240" w:lineRule="auto"/>
        <w:rPr>
          <w:rFonts w:ascii="CMR10" w:hAnsi="CMR10" w:cs="CMR10"/>
          <w:sz w:val="20"/>
          <w:szCs w:val="20"/>
        </w:rPr>
      </w:pPr>
    </w:p>
    <w:p w14:paraId="1C51EBA0" w14:textId="0DC90AE1" w:rsidR="009C3E06" w:rsidRDefault="009C3E06" w:rsidP="002C5710">
      <w:pPr>
        <w:autoSpaceDE w:val="0"/>
        <w:autoSpaceDN w:val="0"/>
        <w:adjustRightInd w:val="0"/>
        <w:spacing w:after="0" w:line="240" w:lineRule="auto"/>
        <w:rPr>
          <w:rFonts w:ascii="CMR10" w:hAnsi="CMR10" w:cs="CMR10"/>
          <w:sz w:val="20"/>
          <w:szCs w:val="20"/>
        </w:rPr>
      </w:pPr>
    </w:p>
    <w:p w14:paraId="74B32497" w14:textId="178FA04E" w:rsidR="009C3E06" w:rsidRDefault="009C3E06" w:rsidP="002C5710">
      <w:pPr>
        <w:autoSpaceDE w:val="0"/>
        <w:autoSpaceDN w:val="0"/>
        <w:adjustRightInd w:val="0"/>
        <w:spacing w:after="0" w:line="240" w:lineRule="auto"/>
        <w:rPr>
          <w:rFonts w:ascii="CMR10" w:hAnsi="CMR10" w:cs="CMR10"/>
          <w:sz w:val="20"/>
          <w:szCs w:val="20"/>
        </w:rPr>
      </w:pPr>
    </w:p>
    <w:p w14:paraId="7C059617" w14:textId="7D5BF4AD" w:rsidR="009C3E06" w:rsidRDefault="009C3E06" w:rsidP="002C5710">
      <w:pPr>
        <w:autoSpaceDE w:val="0"/>
        <w:autoSpaceDN w:val="0"/>
        <w:adjustRightInd w:val="0"/>
        <w:spacing w:after="0" w:line="240" w:lineRule="auto"/>
        <w:rPr>
          <w:rFonts w:ascii="CMR10" w:hAnsi="CMR10" w:cs="CMR10"/>
          <w:sz w:val="20"/>
          <w:szCs w:val="20"/>
        </w:rPr>
      </w:pPr>
    </w:p>
    <w:p w14:paraId="4BC688A8" w14:textId="1A757FF5" w:rsidR="009C3E06" w:rsidRDefault="009C3E06" w:rsidP="002C5710">
      <w:pPr>
        <w:autoSpaceDE w:val="0"/>
        <w:autoSpaceDN w:val="0"/>
        <w:adjustRightInd w:val="0"/>
        <w:spacing w:after="0" w:line="240" w:lineRule="auto"/>
        <w:rPr>
          <w:rFonts w:ascii="CMR10" w:hAnsi="CMR10" w:cs="CMR10"/>
          <w:sz w:val="20"/>
          <w:szCs w:val="20"/>
        </w:rPr>
      </w:pPr>
    </w:p>
    <w:p w14:paraId="28BA9533" w14:textId="6F3CF60B" w:rsidR="009C3E06" w:rsidRDefault="009C3E06" w:rsidP="009C3E06">
      <w:pPr>
        <w:autoSpaceDE w:val="0"/>
        <w:autoSpaceDN w:val="0"/>
        <w:adjustRightInd w:val="0"/>
        <w:spacing w:after="0" w:line="240" w:lineRule="auto"/>
        <w:jc w:val="center"/>
        <w:rPr>
          <w:rFonts w:ascii="CMR10" w:hAnsi="CMR10" w:cs="CMR10"/>
          <w:sz w:val="20"/>
          <w:szCs w:val="20"/>
        </w:rPr>
      </w:pPr>
    </w:p>
    <w:p w14:paraId="39708C48" w14:textId="10B7EA20" w:rsidR="00E30A0E" w:rsidRDefault="00E30A0E">
      <w:pPr>
        <w:rPr>
          <w:rFonts w:ascii="CMR10" w:hAnsi="CMR10" w:cs="CMR10"/>
          <w:sz w:val="20"/>
          <w:szCs w:val="20"/>
        </w:rPr>
      </w:pPr>
      <w:r>
        <w:rPr>
          <w:rFonts w:ascii="CMR10" w:hAnsi="CMR10" w:cs="CMR10"/>
          <w:sz w:val="20"/>
          <w:szCs w:val="20"/>
        </w:rPr>
        <w:br w:type="page"/>
      </w:r>
    </w:p>
    <w:p w14:paraId="40635B29" w14:textId="6D55689A" w:rsidR="009C3E06" w:rsidRPr="009C3E06" w:rsidRDefault="009C3E06" w:rsidP="009C3E06">
      <w:pPr>
        <w:rPr>
          <w:rFonts w:ascii="CMR10" w:hAnsi="CMR10" w:cs="CMR10"/>
          <w:b/>
          <w:bCs/>
          <w:sz w:val="20"/>
          <w:szCs w:val="20"/>
        </w:rPr>
      </w:pPr>
      <w:r w:rsidRPr="009C3E06">
        <w:rPr>
          <w:rFonts w:ascii="CMR10" w:hAnsi="CMR10" w:cs="CMR10"/>
          <w:b/>
          <w:bCs/>
          <w:sz w:val="20"/>
          <w:szCs w:val="20"/>
        </w:rPr>
        <w:t>Figure 5</w:t>
      </w:r>
    </w:p>
    <w:p w14:paraId="009AD08A" w14:textId="10C84248" w:rsidR="009C3E06" w:rsidRDefault="009C3E06" w:rsidP="009C3E06">
      <w:pPr>
        <w:rPr>
          <w:rFonts w:ascii="CMR10" w:hAnsi="CMR10" w:cs="CMR10"/>
          <w:sz w:val="20"/>
          <w:szCs w:val="20"/>
        </w:rPr>
      </w:pPr>
      <w:r>
        <w:rPr>
          <w:rFonts w:ascii="CMR10" w:hAnsi="CMR10" w:cs="CMR10"/>
          <w:sz w:val="20"/>
          <w:szCs w:val="20"/>
        </w:rPr>
        <w:t>Figure 5 depicts the pre- and post-merger disposal prices, collection prices and collection shares</w:t>
      </w:r>
      <w:r w:rsidR="00C26398">
        <w:rPr>
          <w:rFonts w:ascii="CMR10" w:hAnsi="CMR10" w:cs="CMR10"/>
          <w:sz w:val="20"/>
          <w:szCs w:val="20"/>
        </w:rPr>
        <w:t xml:space="preserve"> </w:t>
      </w:r>
      <w:r w:rsidR="00121B76">
        <w:rPr>
          <w:rFonts w:ascii="CMR10" w:hAnsi="CMR10" w:cs="CMR10"/>
          <w:sz w:val="20"/>
          <w:szCs w:val="20"/>
        </w:rPr>
        <w:t>from</w:t>
      </w:r>
      <w:r w:rsidR="00C26398">
        <w:rPr>
          <w:rFonts w:ascii="CMR10" w:hAnsi="CMR10" w:cs="CMR10"/>
          <w:sz w:val="20"/>
          <w:szCs w:val="20"/>
        </w:rPr>
        <w:t xml:space="preserve"> the Republic/Santek merger simulation. </w:t>
      </w:r>
      <w:r w:rsidR="00C26398" w:rsidRPr="00C26398">
        <w:rPr>
          <w:rFonts w:ascii="CMR10" w:hAnsi="CMR10" w:cs="CMR10"/>
          <w:sz w:val="20"/>
          <w:szCs w:val="20"/>
        </w:rPr>
        <w:t xml:space="preserve">Disposal prices for pre-merger integrated pairs are unchanged post-merger. However, </w:t>
      </w:r>
      <w:r w:rsidR="00121B76">
        <w:rPr>
          <w:rFonts w:ascii="CMR10" w:hAnsi="CMR10" w:cs="CMR10"/>
          <w:sz w:val="20"/>
          <w:szCs w:val="20"/>
        </w:rPr>
        <w:t>d</w:t>
      </w:r>
      <w:r w:rsidR="00C26398" w:rsidRPr="00C26398">
        <w:rPr>
          <w:rFonts w:ascii="CMR10" w:hAnsi="CMR10" w:cs="CMR10"/>
          <w:sz w:val="20"/>
          <w:szCs w:val="20"/>
        </w:rPr>
        <w:t>isposal prices increase to all rival haulers post-merger (i.e., all unintegrated pairs). The merged ﬁrms’ disposal prices to downstream rivals are estimated to increase 88% post-merger, and Waste Connections’ prices to its downstream rivals are estimated to increase 22%. These large price increases are oﬀset by the large decrease in the disposal price for the integrating pair post-merger, as the cost to Republic for volume disposed with Santek decreases by 60%.</w:t>
      </w:r>
    </w:p>
    <w:p w14:paraId="1386D228" w14:textId="726E6457" w:rsidR="00C26398" w:rsidRDefault="009876F2" w:rsidP="009C3E06">
      <w:pPr>
        <w:rPr>
          <w:rFonts w:ascii="CMR10" w:hAnsi="CMR10" w:cs="CMR10"/>
          <w:sz w:val="20"/>
          <w:szCs w:val="20"/>
        </w:rPr>
      </w:pPr>
      <w:r>
        <w:rPr>
          <w:rFonts w:ascii="CMR10" w:hAnsi="CMR10" w:cs="CMR10"/>
          <w:sz w:val="20"/>
          <w:szCs w:val="20"/>
        </w:rPr>
        <w:t>In the</w:t>
      </w:r>
      <w:r w:rsidR="00C26398" w:rsidRPr="00C26398">
        <w:rPr>
          <w:rFonts w:ascii="CMR10" w:hAnsi="CMR10" w:cs="CMR10"/>
          <w:sz w:val="20"/>
          <w:szCs w:val="20"/>
        </w:rPr>
        <w:t xml:space="preserve"> downstream market, all collection prices increase post-merger. The merging parties’ post-merger collection prices increase by approximately 20%, and their share decreases by about 8 percentage points overall. The Republic/Republic product’s price increases 21%, and the Santek/Santek product’s price increases by 23%. The newly integrated Santek/Republic product’s price is estimated to increase by 9. The integrated rival, Waste Connections, increases its collection price by approximately 5%, and its share increases by 6 percentage points. The unintegrated rivals’ collection prices each increase by about 9%, and their shares increase slightly.</w:t>
      </w:r>
    </w:p>
    <w:p w14:paraId="1F7E4215" w14:textId="49B9F07A" w:rsidR="00C26398" w:rsidRDefault="00C26398" w:rsidP="009C3E06">
      <w:pPr>
        <w:rPr>
          <w:rFonts w:ascii="CMR10" w:hAnsi="CMR10" w:cs="CMR10"/>
          <w:sz w:val="20"/>
          <w:szCs w:val="20"/>
        </w:rPr>
      </w:pPr>
    </w:p>
    <w:p w14:paraId="7D4B51C8" w14:textId="4D8D6136" w:rsidR="00C26398" w:rsidRDefault="00C26398" w:rsidP="009C3E06">
      <w:pPr>
        <w:rPr>
          <w:rFonts w:ascii="CMR10" w:hAnsi="CMR10" w:cs="CMR10"/>
          <w:sz w:val="20"/>
          <w:szCs w:val="20"/>
        </w:rPr>
      </w:pPr>
    </w:p>
    <w:p w14:paraId="43D742B0" w14:textId="34262D42" w:rsidR="00C26398" w:rsidRDefault="00C26398" w:rsidP="009C3E06">
      <w:pPr>
        <w:rPr>
          <w:rFonts w:ascii="CMR10" w:hAnsi="CMR10" w:cs="CMR10"/>
          <w:sz w:val="20"/>
          <w:szCs w:val="20"/>
        </w:rPr>
      </w:pPr>
    </w:p>
    <w:p w14:paraId="37A31638" w14:textId="069822A3" w:rsidR="00C26398" w:rsidRDefault="00C26398" w:rsidP="009C3E06">
      <w:pPr>
        <w:rPr>
          <w:rFonts w:ascii="CMR10" w:hAnsi="CMR10" w:cs="CMR10"/>
          <w:sz w:val="20"/>
          <w:szCs w:val="20"/>
        </w:rPr>
      </w:pPr>
    </w:p>
    <w:p w14:paraId="157574D9" w14:textId="5610740F" w:rsidR="00C26398" w:rsidRDefault="00C26398" w:rsidP="009C3E06">
      <w:pPr>
        <w:rPr>
          <w:rFonts w:ascii="CMR10" w:hAnsi="CMR10" w:cs="CMR10"/>
          <w:sz w:val="20"/>
          <w:szCs w:val="20"/>
        </w:rPr>
      </w:pPr>
    </w:p>
    <w:p w14:paraId="50414B60" w14:textId="73F5793D" w:rsidR="00C26398" w:rsidRDefault="00C26398" w:rsidP="009C3E06">
      <w:pPr>
        <w:rPr>
          <w:rFonts w:ascii="CMR10" w:hAnsi="CMR10" w:cs="CMR10"/>
          <w:sz w:val="20"/>
          <w:szCs w:val="20"/>
        </w:rPr>
      </w:pPr>
    </w:p>
    <w:p w14:paraId="2B39116C" w14:textId="475E243E" w:rsidR="00C26398" w:rsidRDefault="00C26398" w:rsidP="009C3E06">
      <w:pPr>
        <w:rPr>
          <w:rFonts w:ascii="CMR10" w:hAnsi="CMR10" w:cs="CMR10"/>
          <w:sz w:val="20"/>
          <w:szCs w:val="20"/>
        </w:rPr>
      </w:pPr>
    </w:p>
    <w:p w14:paraId="39F991B7" w14:textId="40A203EE" w:rsidR="00E30A0E" w:rsidRDefault="00E30A0E">
      <w:pPr>
        <w:rPr>
          <w:rFonts w:ascii="CMR10" w:hAnsi="CMR10" w:cs="CMR10"/>
          <w:sz w:val="20"/>
          <w:szCs w:val="20"/>
        </w:rPr>
      </w:pPr>
      <w:r>
        <w:rPr>
          <w:rFonts w:ascii="CMR10" w:hAnsi="CMR10" w:cs="CMR10"/>
          <w:sz w:val="20"/>
          <w:szCs w:val="20"/>
        </w:rPr>
        <w:br w:type="page"/>
      </w:r>
    </w:p>
    <w:p w14:paraId="227D8ECA" w14:textId="77777777" w:rsidR="00C26398" w:rsidRDefault="00C26398" w:rsidP="00C26398">
      <w:pPr>
        <w:jc w:val="center"/>
        <w:rPr>
          <w:rFonts w:ascii="CMR10" w:hAnsi="CMR10" w:cs="CMR10"/>
          <w:sz w:val="20"/>
          <w:szCs w:val="20"/>
        </w:rPr>
      </w:pPr>
    </w:p>
    <w:p w14:paraId="20290522" w14:textId="5094BA9E" w:rsidR="00C26398" w:rsidRPr="00C26398" w:rsidRDefault="00C26398" w:rsidP="00C26398">
      <w:pPr>
        <w:rPr>
          <w:rFonts w:ascii="CMR10" w:hAnsi="CMR10" w:cs="CMR10"/>
          <w:b/>
          <w:bCs/>
          <w:sz w:val="20"/>
          <w:szCs w:val="20"/>
        </w:rPr>
      </w:pPr>
      <w:r w:rsidRPr="00C26398">
        <w:rPr>
          <w:rFonts w:ascii="CMR10" w:hAnsi="CMR10" w:cs="CMR10"/>
          <w:b/>
          <w:bCs/>
          <w:sz w:val="20"/>
          <w:szCs w:val="20"/>
        </w:rPr>
        <w:t>Figure 6</w:t>
      </w:r>
    </w:p>
    <w:p w14:paraId="1918EA0F" w14:textId="15027BF3" w:rsidR="00242A66" w:rsidRPr="00242A66" w:rsidRDefault="00242A66" w:rsidP="00242A66">
      <w:pPr>
        <w:rPr>
          <w:rFonts w:ascii="CMR10" w:hAnsi="CMR10" w:cs="CMR10"/>
          <w:sz w:val="20"/>
          <w:szCs w:val="20"/>
        </w:rPr>
      </w:pPr>
      <w:r w:rsidRPr="00242A66">
        <w:rPr>
          <w:rFonts w:ascii="CMR10" w:hAnsi="CMR10" w:cs="CMR10"/>
          <w:sz w:val="20"/>
          <w:szCs w:val="20"/>
        </w:rPr>
        <w:t xml:space="preserve">Figure 6 </w:t>
      </w:r>
      <w:r w:rsidR="009876F2">
        <w:rPr>
          <w:rFonts w:ascii="CMR10" w:hAnsi="CMR10" w:cs="CMR10"/>
          <w:sz w:val="20"/>
          <w:szCs w:val="20"/>
        </w:rPr>
        <w:t>compares</w:t>
      </w:r>
      <w:r w:rsidRPr="00242A66">
        <w:rPr>
          <w:rFonts w:ascii="CMR10" w:hAnsi="CMR10" w:cs="CMR10"/>
          <w:sz w:val="20"/>
          <w:szCs w:val="20"/>
        </w:rPr>
        <w:t xml:space="preserve"> the full vertical model results, which compute both post-merger downstream and upstream price eﬀects, to two other models that hold the prices of one level ﬁxed. The “downstream-only” model computes collection price eﬀects holding disposal prices ﬁxed at pre-merger levels, and the “upstream-only” model computes disposal price eﬀects holding collection prices ﬁxed at pre-merger levels.</w:t>
      </w:r>
    </w:p>
    <w:p w14:paraId="74C8133E" w14:textId="35F0A62E" w:rsidR="00C26398" w:rsidRDefault="00242A66" w:rsidP="00242A66">
      <w:pPr>
        <w:rPr>
          <w:rFonts w:ascii="CMR10" w:hAnsi="CMR10" w:cs="CMR10"/>
          <w:sz w:val="20"/>
          <w:szCs w:val="20"/>
        </w:rPr>
      </w:pPr>
      <w:r>
        <w:rPr>
          <w:rFonts w:ascii="CMR10" w:hAnsi="CMR10" w:cs="CMR10"/>
          <w:sz w:val="20"/>
          <w:szCs w:val="20"/>
        </w:rPr>
        <w:t>T</w:t>
      </w:r>
      <w:r w:rsidRPr="00242A66">
        <w:rPr>
          <w:rFonts w:ascii="CMR10" w:hAnsi="CMR10" w:cs="CMR10"/>
          <w:sz w:val="20"/>
          <w:szCs w:val="20"/>
        </w:rPr>
        <w:t>he downstream-only model results in an estimated 11% increase in collection prices with a greater than 16% increase in the merging parties’ price</w:t>
      </w:r>
      <w:r>
        <w:rPr>
          <w:rFonts w:ascii="CMR10" w:hAnsi="CMR10" w:cs="CMR10"/>
          <w:sz w:val="20"/>
          <w:szCs w:val="20"/>
        </w:rPr>
        <w:t xml:space="preserve">. </w:t>
      </w:r>
      <w:r w:rsidRPr="00242A66">
        <w:rPr>
          <w:rFonts w:ascii="CMR10" w:hAnsi="CMR10" w:cs="CMR10"/>
          <w:sz w:val="20"/>
          <w:szCs w:val="20"/>
        </w:rPr>
        <w:t xml:space="preserve">In the upstream-only model, </w:t>
      </w:r>
      <w:r>
        <w:rPr>
          <w:rFonts w:ascii="CMR10" w:hAnsi="CMR10" w:cs="CMR10"/>
          <w:sz w:val="20"/>
          <w:szCs w:val="20"/>
        </w:rPr>
        <w:t>o</w:t>
      </w:r>
      <w:r w:rsidRPr="00242A66">
        <w:rPr>
          <w:rFonts w:ascii="CMR10" w:hAnsi="CMR10" w:cs="CMR10"/>
          <w:sz w:val="20"/>
          <w:szCs w:val="20"/>
        </w:rPr>
        <w:t>verall disposal prices increase by 8.2% post-merger</w:t>
      </w:r>
      <w:r>
        <w:rPr>
          <w:rFonts w:ascii="CMR10" w:hAnsi="CMR10" w:cs="CMR10"/>
          <w:sz w:val="20"/>
          <w:szCs w:val="20"/>
        </w:rPr>
        <w:t xml:space="preserve">. </w:t>
      </w:r>
    </w:p>
    <w:p w14:paraId="2A96F036" w14:textId="7B8A0D99" w:rsidR="00C42E57" w:rsidRDefault="00C42E57" w:rsidP="00242A66">
      <w:pPr>
        <w:rPr>
          <w:rFonts w:ascii="CMR10" w:hAnsi="CMR10" w:cs="CMR10"/>
          <w:sz w:val="20"/>
          <w:szCs w:val="20"/>
        </w:rPr>
      </w:pPr>
    </w:p>
    <w:p w14:paraId="7A389972" w14:textId="686395C9" w:rsidR="00C42E57" w:rsidRDefault="00C42E57" w:rsidP="00242A66">
      <w:pPr>
        <w:rPr>
          <w:rFonts w:ascii="CMR10" w:hAnsi="CMR10" w:cs="CMR10"/>
          <w:sz w:val="20"/>
          <w:szCs w:val="20"/>
        </w:rPr>
      </w:pPr>
    </w:p>
    <w:p w14:paraId="4F762519" w14:textId="027A0B33" w:rsidR="00C42E57" w:rsidRDefault="00C42E57" w:rsidP="00242A66">
      <w:pPr>
        <w:rPr>
          <w:rFonts w:ascii="CMR10" w:hAnsi="CMR10" w:cs="CMR10"/>
          <w:sz w:val="20"/>
          <w:szCs w:val="20"/>
        </w:rPr>
      </w:pPr>
    </w:p>
    <w:p w14:paraId="1F0C5236" w14:textId="36BA9B51" w:rsidR="00C42E57" w:rsidRDefault="00C42E57" w:rsidP="00242A66">
      <w:pPr>
        <w:rPr>
          <w:rFonts w:ascii="CMR10" w:hAnsi="CMR10" w:cs="CMR10"/>
          <w:sz w:val="20"/>
          <w:szCs w:val="20"/>
        </w:rPr>
      </w:pPr>
    </w:p>
    <w:p w14:paraId="2FE537A9" w14:textId="079521F1" w:rsidR="00C42E57" w:rsidRDefault="00C42E57" w:rsidP="00242A66">
      <w:pPr>
        <w:rPr>
          <w:rFonts w:ascii="CMR10" w:hAnsi="CMR10" w:cs="CMR10"/>
          <w:sz w:val="20"/>
          <w:szCs w:val="20"/>
        </w:rPr>
      </w:pPr>
    </w:p>
    <w:p w14:paraId="7F43E254" w14:textId="6A4EB12A" w:rsidR="00C42E57" w:rsidRDefault="00C42E57" w:rsidP="00242A66">
      <w:pPr>
        <w:rPr>
          <w:rFonts w:ascii="CMR10" w:hAnsi="CMR10" w:cs="CMR10"/>
          <w:sz w:val="20"/>
          <w:szCs w:val="20"/>
        </w:rPr>
      </w:pPr>
    </w:p>
    <w:p w14:paraId="67EF93D0" w14:textId="6D06808E" w:rsidR="00C42E57" w:rsidRDefault="00C42E57" w:rsidP="00242A66">
      <w:pPr>
        <w:rPr>
          <w:rFonts w:ascii="CMR10" w:hAnsi="CMR10" w:cs="CMR10"/>
          <w:sz w:val="20"/>
          <w:szCs w:val="20"/>
        </w:rPr>
      </w:pPr>
    </w:p>
    <w:p w14:paraId="2D7EBA4D" w14:textId="71BDF968" w:rsidR="00C42E57" w:rsidRDefault="00C42E57" w:rsidP="00242A66">
      <w:pPr>
        <w:rPr>
          <w:rFonts w:ascii="CMR10" w:hAnsi="CMR10" w:cs="CMR10"/>
          <w:sz w:val="20"/>
          <w:szCs w:val="20"/>
        </w:rPr>
      </w:pPr>
    </w:p>
    <w:p w14:paraId="2015F807" w14:textId="05D8F818" w:rsidR="00C42E57" w:rsidRDefault="00C42E57" w:rsidP="00242A66">
      <w:pPr>
        <w:rPr>
          <w:rFonts w:ascii="CMR10" w:hAnsi="CMR10" w:cs="CMR10"/>
          <w:sz w:val="20"/>
          <w:szCs w:val="20"/>
        </w:rPr>
      </w:pPr>
    </w:p>
    <w:p w14:paraId="6FB25222" w14:textId="2705E301" w:rsidR="00C42E57" w:rsidRDefault="00C42E57" w:rsidP="00242A66">
      <w:pPr>
        <w:rPr>
          <w:rFonts w:ascii="CMR10" w:hAnsi="CMR10" w:cs="CMR10"/>
          <w:sz w:val="20"/>
          <w:szCs w:val="20"/>
        </w:rPr>
      </w:pPr>
    </w:p>
    <w:p w14:paraId="27E2728F" w14:textId="35519F95" w:rsidR="00C42E57" w:rsidRDefault="00C42E57" w:rsidP="00242A66">
      <w:pPr>
        <w:rPr>
          <w:rFonts w:ascii="CMR10" w:hAnsi="CMR10" w:cs="CMR10"/>
          <w:sz w:val="20"/>
          <w:szCs w:val="20"/>
        </w:rPr>
      </w:pPr>
    </w:p>
    <w:p w14:paraId="1763E37C" w14:textId="6E1AC30B" w:rsidR="00C42E57" w:rsidRDefault="00C42E57" w:rsidP="00242A66">
      <w:pPr>
        <w:rPr>
          <w:rFonts w:ascii="CMR10" w:hAnsi="CMR10" w:cs="CMR10"/>
          <w:sz w:val="20"/>
          <w:szCs w:val="20"/>
        </w:rPr>
      </w:pPr>
    </w:p>
    <w:p w14:paraId="13B96347" w14:textId="4A224C05" w:rsidR="00C42E57" w:rsidRDefault="00C42E57" w:rsidP="00242A66">
      <w:pPr>
        <w:rPr>
          <w:rFonts w:ascii="CMR10" w:hAnsi="CMR10" w:cs="CMR10"/>
          <w:sz w:val="20"/>
          <w:szCs w:val="20"/>
        </w:rPr>
      </w:pPr>
    </w:p>
    <w:p w14:paraId="20CB429F" w14:textId="478F94F0" w:rsidR="00E30A0E" w:rsidRDefault="00E30A0E">
      <w:pPr>
        <w:rPr>
          <w:rFonts w:ascii="CMR10" w:hAnsi="CMR10" w:cs="CMR10"/>
          <w:sz w:val="20"/>
          <w:szCs w:val="20"/>
        </w:rPr>
      </w:pPr>
      <w:r>
        <w:rPr>
          <w:rFonts w:ascii="CMR10" w:hAnsi="CMR10" w:cs="CMR10"/>
          <w:sz w:val="20"/>
          <w:szCs w:val="20"/>
        </w:rPr>
        <w:br w:type="page"/>
      </w:r>
    </w:p>
    <w:p w14:paraId="6A51A1E9" w14:textId="77777777" w:rsidR="00C42E57" w:rsidRDefault="00C42E57" w:rsidP="00C42E57">
      <w:pPr>
        <w:jc w:val="center"/>
        <w:rPr>
          <w:rFonts w:ascii="CMR10" w:hAnsi="CMR10" w:cs="CMR10"/>
          <w:sz w:val="20"/>
          <w:szCs w:val="20"/>
        </w:rPr>
      </w:pPr>
    </w:p>
    <w:p w14:paraId="6C2BDA09" w14:textId="77777777" w:rsidR="00C42E57" w:rsidRDefault="00C42E57" w:rsidP="00C42E57">
      <w:pPr>
        <w:rPr>
          <w:rFonts w:ascii="CMR10" w:hAnsi="CMR10" w:cs="CMR10"/>
          <w:b/>
          <w:bCs/>
          <w:sz w:val="20"/>
          <w:szCs w:val="20"/>
        </w:rPr>
      </w:pPr>
      <w:r w:rsidRPr="00C42E57">
        <w:rPr>
          <w:rFonts w:ascii="CMR10" w:hAnsi="CMR10" w:cs="CMR10"/>
          <w:b/>
          <w:bCs/>
          <w:sz w:val="20"/>
          <w:szCs w:val="20"/>
        </w:rPr>
        <w:t>Figure A.1</w:t>
      </w:r>
    </w:p>
    <w:p w14:paraId="180A623D" w14:textId="69587717" w:rsidR="00C42E57" w:rsidRDefault="00C42E57" w:rsidP="00C42E57">
      <w:pPr>
        <w:rPr>
          <w:rFonts w:ascii="CMR10" w:hAnsi="CMR10" w:cs="CMR10"/>
          <w:sz w:val="20"/>
          <w:szCs w:val="20"/>
        </w:rPr>
      </w:pPr>
      <w:r w:rsidRPr="00C42E57">
        <w:rPr>
          <w:rFonts w:ascii="CMR10" w:hAnsi="CMR10" w:cs="CMR10"/>
          <w:sz w:val="20"/>
          <w:szCs w:val="20"/>
        </w:rPr>
        <w:t>Figure Appendix A.1 displays box and whisker plots for the net eﬀect on consumer and total welfare under four diﬀerent scenarios: constant marginal costs for all ﬁrms (top row, blue), linear marginal costs for all ﬁrms (top row, orange), constant marginal costs for the merging parties’ products but linear costs for the non-merging parties’ products (bottom row, blue), and linear marginal costs for the merging parties’ products but constant costs for the non-merging parties’ products (bottom row, orange).</w:t>
      </w:r>
    </w:p>
    <w:p w14:paraId="01DD95E2" w14:textId="6C1355A1" w:rsidR="00C42E57" w:rsidRPr="000B03CA" w:rsidRDefault="000B03CA" w:rsidP="00C42E57">
      <w:pPr>
        <w:rPr>
          <w:rFonts w:ascii="CMR10" w:hAnsi="CMR10" w:cs="CMR10"/>
          <w:sz w:val="20"/>
          <w:szCs w:val="20"/>
        </w:rPr>
      </w:pPr>
      <w:r>
        <w:rPr>
          <w:rFonts w:ascii="CMR10" w:hAnsi="CMR10" w:cs="CMR10"/>
          <w:sz w:val="20"/>
          <w:szCs w:val="20"/>
        </w:rPr>
        <w:t>The</w:t>
      </w:r>
      <w:r w:rsidR="00C42E57" w:rsidRPr="000B03CA">
        <w:rPr>
          <w:rFonts w:ascii="CMR10" w:hAnsi="CMR10" w:cs="CMR10"/>
          <w:sz w:val="20"/>
          <w:szCs w:val="20"/>
        </w:rPr>
        <w:t xml:space="preserve"> top two panels in Figure Appendix A.1</w:t>
      </w:r>
      <w:r>
        <w:rPr>
          <w:rFonts w:ascii="CMR10" w:hAnsi="CMR10" w:cs="CMR10"/>
          <w:sz w:val="20"/>
          <w:szCs w:val="20"/>
        </w:rPr>
        <w:t xml:space="preserve"> </w:t>
      </w:r>
      <w:r w:rsidR="00C42E57" w:rsidRPr="000B03CA">
        <w:rPr>
          <w:rFonts w:ascii="CMR10" w:hAnsi="CMR10" w:cs="CMR10"/>
          <w:sz w:val="20"/>
          <w:szCs w:val="20"/>
        </w:rPr>
        <w:t>compare a scenario where all ﬁrms have constant marginal costs to one where they all have linear marginal costs. Overall, harm is greater for mergers with linear costs. The diﬀerence is largest for vertical mergers. When all ﬁrms have constant marginal costs, vertical mergers increase consumer surplus in about 55% of simulations and total surplus in about 29% of simulations, but only increase consumer surplus in about 36% of simulations and total surplus in about 2% of simulations when all ﬁrms have linear costs.</w:t>
      </w:r>
    </w:p>
    <w:p w14:paraId="63B75DB7" w14:textId="37619E08" w:rsidR="00C42E57" w:rsidRDefault="00C42E57" w:rsidP="00C42E57">
      <w:pPr>
        <w:rPr>
          <w:rFonts w:ascii="CMR10" w:hAnsi="CMR10" w:cs="CMR10"/>
          <w:sz w:val="20"/>
          <w:szCs w:val="20"/>
        </w:rPr>
      </w:pPr>
      <w:r w:rsidRPr="000B03CA">
        <w:rPr>
          <w:rFonts w:ascii="CMR10" w:hAnsi="CMR10" w:cs="CMR10"/>
          <w:sz w:val="20"/>
          <w:szCs w:val="20"/>
        </w:rPr>
        <w:lastRenderedPageBreak/>
        <w:t>The bottom panel of Figure Appendix A.1 compares a situation where only the merging ﬁrms have constant marginal costs to one where only the merging ﬁrms have linear marginal costs</w:t>
      </w:r>
      <w:r w:rsidR="000B03CA">
        <w:rPr>
          <w:rFonts w:ascii="CMR10" w:hAnsi="CMR10" w:cs="CMR10"/>
          <w:sz w:val="20"/>
          <w:szCs w:val="20"/>
        </w:rPr>
        <w:t>, and</w:t>
      </w:r>
      <w:r w:rsidRPr="000B03CA">
        <w:rPr>
          <w:rFonts w:ascii="CMR10" w:hAnsi="CMR10" w:cs="CMR10"/>
          <w:sz w:val="20"/>
          <w:szCs w:val="20"/>
        </w:rPr>
        <w:t xml:space="preserve"> the distributions in these bottom panels are largely the same as those in the top panels.</w:t>
      </w:r>
    </w:p>
    <w:p w14:paraId="36F858E5" w14:textId="707727AC" w:rsidR="000B03CA" w:rsidRDefault="000B03CA" w:rsidP="00C42E57">
      <w:pPr>
        <w:rPr>
          <w:rFonts w:ascii="CMR10" w:hAnsi="CMR10" w:cs="CMR10"/>
          <w:sz w:val="20"/>
          <w:szCs w:val="20"/>
        </w:rPr>
      </w:pPr>
    </w:p>
    <w:p w14:paraId="2639F390" w14:textId="18419B61" w:rsidR="000B03CA" w:rsidRDefault="000B03CA" w:rsidP="00C42E57">
      <w:pPr>
        <w:rPr>
          <w:rFonts w:ascii="CMR10" w:hAnsi="CMR10" w:cs="CMR10"/>
          <w:sz w:val="20"/>
          <w:szCs w:val="20"/>
        </w:rPr>
      </w:pPr>
    </w:p>
    <w:p w14:paraId="27F29754" w14:textId="20A4491C" w:rsidR="000B03CA" w:rsidRDefault="000B03CA" w:rsidP="00C42E57">
      <w:pPr>
        <w:rPr>
          <w:rFonts w:ascii="CMR10" w:hAnsi="CMR10" w:cs="CMR10"/>
          <w:sz w:val="20"/>
          <w:szCs w:val="20"/>
        </w:rPr>
      </w:pPr>
    </w:p>
    <w:p w14:paraId="5995779C" w14:textId="561A7D9A" w:rsidR="000B03CA" w:rsidRDefault="000B03CA" w:rsidP="00C42E57">
      <w:pPr>
        <w:rPr>
          <w:rFonts w:ascii="CMR10" w:hAnsi="CMR10" w:cs="CMR10"/>
          <w:sz w:val="20"/>
          <w:szCs w:val="20"/>
        </w:rPr>
      </w:pPr>
    </w:p>
    <w:p w14:paraId="5151664B" w14:textId="3ACE33EC" w:rsidR="000B03CA" w:rsidRDefault="000B03CA" w:rsidP="00C42E57">
      <w:pPr>
        <w:rPr>
          <w:rFonts w:ascii="CMR10" w:hAnsi="CMR10" w:cs="CMR10"/>
          <w:sz w:val="20"/>
          <w:szCs w:val="20"/>
        </w:rPr>
      </w:pPr>
    </w:p>
    <w:p w14:paraId="13AAB50F" w14:textId="16F0CF80" w:rsidR="000B03CA" w:rsidRDefault="000B03CA" w:rsidP="00C42E57">
      <w:pPr>
        <w:rPr>
          <w:rFonts w:ascii="CMR10" w:hAnsi="CMR10" w:cs="CMR10"/>
          <w:sz w:val="20"/>
          <w:szCs w:val="20"/>
        </w:rPr>
      </w:pPr>
    </w:p>
    <w:p w14:paraId="2F552D2E" w14:textId="71B302B8" w:rsidR="000B03CA" w:rsidRDefault="000B03CA" w:rsidP="00C42E57">
      <w:pPr>
        <w:rPr>
          <w:rFonts w:ascii="CMR10" w:hAnsi="CMR10" w:cs="CMR10"/>
          <w:sz w:val="20"/>
          <w:szCs w:val="20"/>
        </w:rPr>
      </w:pPr>
    </w:p>
    <w:p w14:paraId="7B7C31D8" w14:textId="669125F9" w:rsidR="000B03CA" w:rsidRDefault="000B03CA" w:rsidP="00C42E57">
      <w:pPr>
        <w:rPr>
          <w:rFonts w:ascii="CMR10" w:hAnsi="CMR10" w:cs="CMR10"/>
          <w:sz w:val="20"/>
          <w:szCs w:val="20"/>
        </w:rPr>
      </w:pPr>
    </w:p>
    <w:p w14:paraId="696AC10F" w14:textId="3F7D431A" w:rsidR="000B03CA" w:rsidRDefault="000B03CA" w:rsidP="00C42E57">
      <w:pPr>
        <w:rPr>
          <w:rFonts w:ascii="CMR10" w:hAnsi="CMR10" w:cs="CMR10"/>
          <w:sz w:val="20"/>
          <w:szCs w:val="20"/>
        </w:rPr>
      </w:pPr>
    </w:p>
    <w:p w14:paraId="43841071" w14:textId="00557DE2" w:rsidR="00E30A0E" w:rsidRDefault="00E30A0E">
      <w:pPr>
        <w:rPr>
          <w:rFonts w:ascii="CMR10" w:hAnsi="CMR10" w:cs="CMR10"/>
          <w:sz w:val="20"/>
          <w:szCs w:val="20"/>
        </w:rPr>
      </w:pPr>
      <w:r>
        <w:rPr>
          <w:rFonts w:ascii="CMR10" w:hAnsi="CMR10" w:cs="CMR10"/>
          <w:sz w:val="20"/>
          <w:szCs w:val="20"/>
        </w:rPr>
        <w:br w:type="page"/>
      </w:r>
    </w:p>
    <w:p w14:paraId="6ACB0464" w14:textId="77777777" w:rsidR="000B03CA" w:rsidRPr="000B03CA" w:rsidRDefault="000B03CA" w:rsidP="000B03CA">
      <w:pPr>
        <w:jc w:val="center"/>
        <w:rPr>
          <w:rFonts w:ascii="CMR10" w:hAnsi="CMR10" w:cs="CMR10"/>
          <w:sz w:val="20"/>
          <w:szCs w:val="20"/>
        </w:rPr>
      </w:pPr>
    </w:p>
    <w:p w14:paraId="7BFA02ED" w14:textId="5869469B" w:rsidR="00C42E57" w:rsidRDefault="000B03CA" w:rsidP="00C42E57">
      <w:pPr>
        <w:rPr>
          <w:rFonts w:ascii="CMR10" w:hAnsi="CMR10" w:cs="CMR10"/>
          <w:b/>
          <w:bCs/>
          <w:sz w:val="20"/>
          <w:szCs w:val="20"/>
        </w:rPr>
      </w:pPr>
      <w:r w:rsidRPr="000B03CA">
        <w:rPr>
          <w:rFonts w:ascii="CMR10" w:hAnsi="CMR10" w:cs="CMR10"/>
          <w:b/>
          <w:bCs/>
          <w:sz w:val="20"/>
          <w:szCs w:val="20"/>
        </w:rPr>
        <w:t>Figure C.1</w:t>
      </w:r>
    </w:p>
    <w:p w14:paraId="59C69F85" w14:textId="0CA42D09" w:rsidR="000B03CA" w:rsidRDefault="000B03CA" w:rsidP="00C42E57">
      <w:pPr>
        <w:rPr>
          <w:rFonts w:ascii="CMR10" w:hAnsi="CMR10" w:cs="CMR10"/>
          <w:sz w:val="20"/>
          <w:szCs w:val="20"/>
        </w:rPr>
      </w:pPr>
      <w:r w:rsidRPr="000B03CA">
        <w:rPr>
          <w:rFonts w:ascii="CMR10" w:hAnsi="CMR10" w:cs="CMR10"/>
          <w:sz w:val="20"/>
          <w:szCs w:val="20"/>
        </w:rPr>
        <w:t xml:space="preserve">Figure Appendix C.1 </w:t>
      </w:r>
      <w:r w:rsidR="004F4214">
        <w:rPr>
          <w:rFonts w:ascii="CMR10" w:hAnsi="CMR10" w:cs="CMR10"/>
          <w:sz w:val="20"/>
          <w:szCs w:val="20"/>
        </w:rPr>
        <w:t>depicts</w:t>
      </w:r>
      <w:r w:rsidRPr="000B03CA">
        <w:rPr>
          <w:rFonts w:ascii="CMR10" w:hAnsi="CMR10" w:cs="CMR10"/>
          <w:sz w:val="20"/>
          <w:szCs w:val="20"/>
        </w:rPr>
        <w:t xml:space="preserve"> the analogous results as in Figures 2, but for total welfare. The patterns for total welfare are </w:t>
      </w:r>
      <w:r w:rsidR="00003298">
        <w:rPr>
          <w:rFonts w:ascii="CMR10" w:hAnsi="CMR10" w:cs="CMR10"/>
          <w:sz w:val="20"/>
          <w:szCs w:val="20"/>
        </w:rPr>
        <w:t>like</w:t>
      </w:r>
      <w:r w:rsidRPr="000B03CA">
        <w:rPr>
          <w:rFonts w:ascii="CMR10" w:hAnsi="CMR10" w:cs="CMR10"/>
          <w:sz w:val="20"/>
          <w:szCs w:val="20"/>
        </w:rPr>
        <w:t xml:space="preserve"> those for consumer welfare</w:t>
      </w:r>
      <w:r w:rsidR="00E71400">
        <w:rPr>
          <w:rFonts w:ascii="CMR10" w:hAnsi="CMR10" w:cs="CMR10"/>
          <w:sz w:val="20"/>
          <w:szCs w:val="20"/>
        </w:rPr>
        <w:t>, but with a larger tendency towards harm</w:t>
      </w:r>
      <w:r w:rsidRPr="000B03CA">
        <w:rPr>
          <w:rFonts w:ascii="CMR10" w:hAnsi="CMR10" w:cs="CMR10"/>
          <w:sz w:val="20"/>
          <w:szCs w:val="20"/>
        </w:rPr>
        <w:t xml:space="preserve">. Figure Appendix C.1 </w:t>
      </w:r>
      <w:r w:rsidR="00E71400">
        <w:rPr>
          <w:rFonts w:ascii="CMR10" w:hAnsi="CMR10" w:cs="CMR10"/>
          <w:sz w:val="20"/>
          <w:szCs w:val="20"/>
        </w:rPr>
        <w:t xml:space="preserve">details </w:t>
      </w:r>
      <w:r w:rsidRPr="000B03CA">
        <w:rPr>
          <w:rFonts w:ascii="CMR10" w:hAnsi="CMR10" w:cs="CMR10"/>
          <w:sz w:val="20"/>
          <w:szCs w:val="20"/>
        </w:rPr>
        <w:t xml:space="preserve">that most </w:t>
      </w:r>
      <w:r w:rsidR="00003298">
        <w:rPr>
          <w:rFonts w:ascii="CMR10" w:hAnsi="CMR10" w:cs="CMR10"/>
          <w:sz w:val="20"/>
          <w:szCs w:val="20"/>
        </w:rPr>
        <w:t xml:space="preserve">simulated </w:t>
      </w:r>
      <w:r w:rsidRPr="000B03CA">
        <w:rPr>
          <w:rFonts w:ascii="CMR10" w:hAnsi="CMR10" w:cs="CMR10"/>
          <w:sz w:val="20"/>
          <w:szCs w:val="20"/>
        </w:rPr>
        <w:t>upstream, downstream, and integrated mergers are harmful</w:t>
      </w:r>
      <w:r>
        <w:rPr>
          <w:rFonts w:ascii="CMR10" w:hAnsi="CMR10" w:cs="CMR10"/>
          <w:sz w:val="20"/>
          <w:szCs w:val="20"/>
        </w:rPr>
        <w:t>.</w:t>
      </w:r>
      <w:r w:rsidR="00E71400">
        <w:rPr>
          <w:rFonts w:ascii="CMR10" w:hAnsi="CMR10" w:cs="CMR10"/>
          <w:sz w:val="20"/>
          <w:szCs w:val="20"/>
        </w:rPr>
        <w:t xml:space="preserve"> </w:t>
      </w:r>
    </w:p>
    <w:p w14:paraId="0690B357" w14:textId="783CCF78" w:rsidR="00E71400" w:rsidRDefault="00E71400" w:rsidP="00C42E57">
      <w:pPr>
        <w:rPr>
          <w:rFonts w:ascii="CMR10" w:hAnsi="CMR10" w:cs="CMR10"/>
          <w:sz w:val="20"/>
          <w:szCs w:val="20"/>
        </w:rPr>
      </w:pPr>
    </w:p>
    <w:p w14:paraId="4FF017A5" w14:textId="48C7E1E4" w:rsidR="00E71400" w:rsidRDefault="00E71400" w:rsidP="00C42E57">
      <w:pPr>
        <w:rPr>
          <w:rFonts w:ascii="CMR10" w:hAnsi="CMR10" w:cs="CMR10"/>
          <w:sz w:val="20"/>
          <w:szCs w:val="20"/>
        </w:rPr>
      </w:pPr>
    </w:p>
    <w:p w14:paraId="3731D693" w14:textId="0E018AB7" w:rsidR="00E71400" w:rsidRDefault="00E71400" w:rsidP="00C42E57">
      <w:pPr>
        <w:rPr>
          <w:rFonts w:ascii="CMR10" w:hAnsi="CMR10" w:cs="CMR10"/>
          <w:sz w:val="20"/>
          <w:szCs w:val="20"/>
        </w:rPr>
      </w:pPr>
    </w:p>
    <w:p w14:paraId="6C3342A1" w14:textId="05900484" w:rsidR="00E71400" w:rsidRDefault="00E71400" w:rsidP="00C42E57">
      <w:pPr>
        <w:rPr>
          <w:rFonts w:ascii="CMR10" w:hAnsi="CMR10" w:cs="CMR10"/>
          <w:sz w:val="20"/>
          <w:szCs w:val="20"/>
        </w:rPr>
      </w:pPr>
    </w:p>
    <w:p w14:paraId="0109F055" w14:textId="75559F14" w:rsidR="00E71400" w:rsidRDefault="00E71400" w:rsidP="00C42E57">
      <w:pPr>
        <w:rPr>
          <w:rFonts w:ascii="CMR10" w:hAnsi="CMR10" w:cs="CMR10"/>
          <w:sz w:val="20"/>
          <w:szCs w:val="20"/>
        </w:rPr>
      </w:pPr>
    </w:p>
    <w:p w14:paraId="70C4B6ED" w14:textId="45AAA6CC" w:rsidR="00E71400" w:rsidRDefault="00E71400" w:rsidP="00C42E57">
      <w:pPr>
        <w:rPr>
          <w:rFonts w:ascii="CMR10" w:hAnsi="CMR10" w:cs="CMR10"/>
          <w:sz w:val="20"/>
          <w:szCs w:val="20"/>
        </w:rPr>
      </w:pPr>
    </w:p>
    <w:p w14:paraId="3ECDADF6" w14:textId="739785A3" w:rsidR="00E71400" w:rsidRDefault="00E71400" w:rsidP="00C42E57">
      <w:pPr>
        <w:rPr>
          <w:rFonts w:ascii="CMR10" w:hAnsi="CMR10" w:cs="CMR10"/>
          <w:sz w:val="20"/>
          <w:szCs w:val="20"/>
        </w:rPr>
      </w:pPr>
    </w:p>
    <w:p w14:paraId="16EEC52A" w14:textId="610E94FA" w:rsidR="00E71400" w:rsidRDefault="00E71400" w:rsidP="00C42E57">
      <w:pPr>
        <w:rPr>
          <w:rFonts w:ascii="CMR10" w:hAnsi="CMR10" w:cs="CMR10"/>
          <w:sz w:val="20"/>
          <w:szCs w:val="20"/>
        </w:rPr>
      </w:pPr>
    </w:p>
    <w:p w14:paraId="077627EB" w14:textId="5AE627D4" w:rsidR="00E71400" w:rsidRDefault="00E71400" w:rsidP="00C42E57">
      <w:pPr>
        <w:rPr>
          <w:rFonts w:ascii="CMR10" w:hAnsi="CMR10" w:cs="CMR10"/>
          <w:sz w:val="20"/>
          <w:szCs w:val="20"/>
        </w:rPr>
      </w:pPr>
    </w:p>
    <w:p w14:paraId="4A92D877" w14:textId="7E872F02" w:rsidR="00E71400" w:rsidRDefault="00E71400" w:rsidP="00C42E57">
      <w:pPr>
        <w:rPr>
          <w:rFonts w:ascii="CMR10" w:hAnsi="CMR10" w:cs="CMR10"/>
          <w:sz w:val="20"/>
          <w:szCs w:val="20"/>
        </w:rPr>
      </w:pPr>
    </w:p>
    <w:p w14:paraId="23236181" w14:textId="1F605C6B" w:rsidR="00E71400" w:rsidRDefault="00E71400" w:rsidP="00C42E57">
      <w:pPr>
        <w:rPr>
          <w:rFonts w:ascii="CMR10" w:hAnsi="CMR10" w:cs="CMR10"/>
          <w:sz w:val="20"/>
          <w:szCs w:val="20"/>
        </w:rPr>
      </w:pPr>
    </w:p>
    <w:p w14:paraId="4EC64472" w14:textId="273C9F82" w:rsidR="00E71400" w:rsidRDefault="00E71400" w:rsidP="00C42E57">
      <w:pPr>
        <w:rPr>
          <w:rFonts w:ascii="CMR10" w:hAnsi="CMR10" w:cs="CMR10"/>
          <w:sz w:val="20"/>
          <w:szCs w:val="20"/>
        </w:rPr>
      </w:pPr>
    </w:p>
    <w:p w14:paraId="5BC00CC0" w14:textId="71B60960" w:rsidR="00E71400" w:rsidRDefault="00E71400" w:rsidP="00C42E57">
      <w:pPr>
        <w:rPr>
          <w:rFonts w:ascii="CMR10" w:hAnsi="CMR10" w:cs="CMR10"/>
          <w:sz w:val="20"/>
          <w:szCs w:val="20"/>
        </w:rPr>
      </w:pPr>
    </w:p>
    <w:p w14:paraId="6F9289BB" w14:textId="63BAAD76" w:rsidR="00E71400" w:rsidRDefault="00E71400" w:rsidP="00C42E57">
      <w:pPr>
        <w:rPr>
          <w:rFonts w:ascii="CMR10" w:hAnsi="CMR10" w:cs="CMR10"/>
          <w:sz w:val="20"/>
          <w:szCs w:val="20"/>
        </w:rPr>
      </w:pPr>
    </w:p>
    <w:p w14:paraId="0B9D82AE" w14:textId="34AAF586" w:rsidR="00E71400" w:rsidRDefault="00E71400" w:rsidP="00C42E57">
      <w:pPr>
        <w:rPr>
          <w:rFonts w:ascii="CMR10" w:hAnsi="CMR10" w:cs="CMR10"/>
          <w:sz w:val="20"/>
          <w:szCs w:val="20"/>
        </w:rPr>
      </w:pPr>
    </w:p>
    <w:p w14:paraId="1D99E4E2" w14:textId="33EE655B" w:rsidR="00E71400" w:rsidRDefault="00E71400" w:rsidP="00C42E57">
      <w:pPr>
        <w:rPr>
          <w:rFonts w:ascii="CMR10" w:hAnsi="CMR10" w:cs="CMR10"/>
          <w:sz w:val="20"/>
          <w:szCs w:val="20"/>
        </w:rPr>
      </w:pPr>
    </w:p>
    <w:p w14:paraId="5BB310D3" w14:textId="7EC077C2" w:rsidR="00E30A0E" w:rsidRDefault="00E30A0E">
      <w:pPr>
        <w:rPr>
          <w:noProof/>
        </w:rPr>
      </w:pPr>
      <w:r>
        <w:rPr>
          <w:noProof/>
        </w:rPr>
        <w:br w:type="page"/>
      </w:r>
    </w:p>
    <w:p w14:paraId="38BF53E6" w14:textId="77777777" w:rsidR="00E71400" w:rsidRDefault="00E71400" w:rsidP="00E71400">
      <w:pPr>
        <w:jc w:val="center"/>
        <w:rPr>
          <w:rFonts w:ascii="CMR10" w:hAnsi="CMR10" w:cs="CMR10"/>
          <w:sz w:val="20"/>
          <w:szCs w:val="20"/>
        </w:rPr>
      </w:pPr>
    </w:p>
    <w:p w14:paraId="5931D1DD" w14:textId="5D67DA52" w:rsidR="00E71400" w:rsidRDefault="00E71400" w:rsidP="00E71400">
      <w:pPr>
        <w:rPr>
          <w:rFonts w:ascii="CMR10" w:hAnsi="CMR10" w:cs="CMR10"/>
          <w:b/>
          <w:bCs/>
          <w:sz w:val="20"/>
          <w:szCs w:val="20"/>
        </w:rPr>
      </w:pPr>
      <w:r w:rsidRPr="00E71400">
        <w:rPr>
          <w:rFonts w:ascii="CMR10" w:hAnsi="CMR10" w:cs="CMR10"/>
          <w:b/>
          <w:bCs/>
          <w:sz w:val="20"/>
          <w:szCs w:val="20"/>
        </w:rPr>
        <w:t>Figure C.2</w:t>
      </w:r>
    </w:p>
    <w:p w14:paraId="3CC1F1BF" w14:textId="4A35D366" w:rsidR="00E71400" w:rsidRDefault="00E71400" w:rsidP="00E71400">
      <w:pPr>
        <w:rPr>
          <w:rFonts w:ascii="CMR10" w:hAnsi="CMR10" w:cs="CMR10"/>
          <w:sz w:val="20"/>
          <w:szCs w:val="20"/>
        </w:rPr>
      </w:pPr>
      <w:r w:rsidRPr="000B03CA">
        <w:rPr>
          <w:rFonts w:ascii="CMR10" w:hAnsi="CMR10" w:cs="CMR10"/>
          <w:sz w:val="20"/>
          <w:szCs w:val="20"/>
        </w:rPr>
        <w:t>Figure Appendix C.</w:t>
      </w:r>
      <w:r>
        <w:rPr>
          <w:rFonts w:ascii="CMR10" w:hAnsi="CMR10" w:cs="CMR10"/>
          <w:sz w:val="20"/>
          <w:szCs w:val="20"/>
        </w:rPr>
        <w:t>2</w:t>
      </w:r>
      <w:r w:rsidRPr="000B03CA">
        <w:rPr>
          <w:rFonts w:ascii="CMR10" w:hAnsi="CMR10" w:cs="CMR10"/>
          <w:sz w:val="20"/>
          <w:szCs w:val="20"/>
        </w:rPr>
        <w:t xml:space="preserve"> </w:t>
      </w:r>
      <w:r w:rsidR="004F4214">
        <w:rPr>
          <w:rFonts w:ascii="CMR10" w:hAnsi="CMR10" w:cs="CMR10"/>
          <w:sz w:val="20"/>
          <w:szCs w:val="20"/>
        </w:rPr>
        <w:t>depicts</w:t>
      </w:r>
      <w:r w:rsidRPr="000B03CA">
        <w:rPr>
          <w:rFonts w:ascii="CMR10" w:hAnsi="CMR10" w:cs="CMR10"/>
          <w:sz w:val="20"/>
          <w:szCs w:val="20"/>
        </w:rPr>
        <w:t xml:space="preserve"> the analogous results as in Figures </w:t>
      </w:r>
      <w:r>
        <w:rPr>
          <w:rFonts w:ascii="CMR10" w:hAnsi="CMR10" w:cs="CMR10"/>
          <w:sz w:val="20"/>
          <w:szCs w:val="20"/>
        </w:rPr>
        <w:t>3</w:t>
      </w:r>
      <w:r w:rsidRPr="000B03CA">
        <w:rPr>
          <w:rFonts w:ascii="CMR10" w:hAnsi="CMR10" w:cs="CMR10"/>
          <w:sz w:val="20"/>
          <w:szCs w:val="20"/>
        </w:rPr>
        <w:t>, but for total welfare. The patterns for total welfare are l</w:t>
      </w:r>
      <w:r w:rsidR="00003298">
        <w:rPr>
          <w:rFonts w:ascii="CMR10" w:hAnsi="CMR10" w:cs="CMR10"/>
          <w:sz w:val="20"/>
          <w:szCs w:val="20"/>
        </w:rPr>
        <w:t xml:space="preserve">ike </w:t>
      </w:r>
      <w:r w:rsidRPr="000B03CA">
        <w:rPr>
          <w:rFonts w:ascii="CMR10" w:hAnsi="CMR10" w:cs="CMR10"/>
          <w:sz w:val="20"/>
          <w:szCs w:val="20"/>
        </w:rPr>
        <w:t>those for consumer welfare</w:t>
      </w:r>
      <w:r>
        <w:rPr>
          <w:rFonts w:ascii="CMR10" w:hAnsi="CMR10" w:cs="CMR10"/>
          <w:sz w:val="20"/>
          <w:szCs w:val="20"/>
        </w:rPr>
        <w:t xml:space="preserve">, </w:t>
      </w:r>
      <w:r w:rsidR="007A6B96">
        <w:rPr>
          <w:rFonts w:ascii="CMR10" w:hAnsi="CMR10" w:cs="CMR10"/>
          <w:sz w:val="20"/>
          <w:szCs w:val="20"/>
        </w:rPr>
        <w:t>but with a larger tendency towards harm, except for in the case of upstream mergers</w:t>
      </w:r>
      <w:r>
        <w:rPr>
          <w:rFonts w:ascii="CMR10" w:hAnsi="CMR10" w:cs="CMR10"/>
          <w:sz w:val="20"/>
          <w:szCs w:val="20"/>
        </w:rPr>
        <w:t xml:space="preserve">. </w:t>
      </w:r>
      <w:r w:rsidRPr="00E71400">
        <w:rPr>
          <w:rFonts w:ascii="CMR10" w:hAnsi="CMR10" w:cs="CMR10"/>
          <w:sz w:val="20"/>
          <w:szCs w:val="20"/>
        </w:rPr>
        <w:t>Figure Appendix C.2 shows that net beneﬁcial mergers typically only occur when wholesalers have relatively more bargaining power</w:t>
      </w:r>
      <w:r w:rsidR="00003298">
        <w:rPr>
          <w:rFonts w:ascii="CMR10" w:hAnsi="CMR10" w:cs="CMR10"/>
          <w:sz w:val="20"/>
          <w:szCs w:val="20"/>
        </w:rPr>
        <w:t>.</w:t>
      </w:r>
    </w:p>
    <w:p w14:paraId="742F7612" w14:textId="0E6EC005" w:rsidR="00E71400" w:rsidRPr="00E71400" w:rsidRDefault="00E71400" w:rsidP="00E71400">
      <w:pPr>
        <w:rPr>
          <w:rFonts w:ascii="CMR10" w:hAnsi="CMR10" w:cs="CMR10"/>
          <w:b/>
          <w:bCs/>
          <w:sz w:val="20"/>
          <w:szCs w:val="20"/>
        </w:rPr>
      </w:pPr>
    </w:p>
    <w:sectPr w:rsidR="00E71400" w:rsidRPr="00E7140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BC12B8" w14:textId="77777777" w:rsidR="00C96F31" w:rsidRDefault="00C96F31" w:rsidP="00C96F31">
      <w:pPr>
        <w:spacing w:after="0" w:line="240" w:lineRule="auto"/>
      </w:pPr>
      <w:r>
        <w:separator/>
      </w:r>
    </w:p>
  </w:endnote>
  <w:endnote w:type="continuationSeparator" w:id="0">
    <w:p w14:paraId="57599A3C" w14:textId="77777777" w:rsidR="00C96F31" w:rsidRDefault="00C96F31" w:rsidP="00C96F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MR10">
    <w:altName w:val="Calibri"/>
    <w:panose1 w:val="00000000000000000000"/>
    <w:charset w:val="00"/>
    <w:family w:val="auto"/>
    <w:notTrueType/>
    <w:pitch w:val="default"/>
    <w:sig w:usb0="00000003" w:usb1="00000000" w:usb2="00000000" w:usb3="00000000" w:csb0="00000001" w:csb1="00000000"/>
  </w:font>
  <w:font w:name="CMMI7">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B4D5A" w14:textId="77777777" w:rsidR="00C96F31" w:rsidRDefault="00C96F31" w:rsidP="00C96F31">
      <w:pPr>
        <w:spacing w:after="0" w:line="240" w:lineRule="auto"/>
      </w:pPr>
      <w:r>
        <w:separator/>
      </w:r>
    </w:p>
  </w:footnote>
  <w:footnote w:type="continuationSeparator" w:id="0">
    <w:p w14:paraId="7A079463" w14:textId="77777777" w:rsidR="00C96F31" w:rsidRDefault="00C96F31" w:rsidP="00C96F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A396B" w14:textId="7912A5DF" w:rsidR="00DA0299" w:rsidRDefault="00DA0299">
    <w:pPr>
      <w:pStyle w:val="Header"/>
    </w:pPr>
    <w:r>
      <w:rPr>
        <w:noProof/>
      </w:rPr>
      <mc:AlternateContent>
        <mc:Choice Requires="wps">
          <w:drawing>
            <wp:anchor distT="0" distB="0" distL="114300" distR="114300" simplePos="0" relativeHeight="251659264" behindDoc="0" locked="0" layoutInCell="0" allowOverlap="1" wp14:anchorId="5B725385" wp14:editId="5F4886AC">
              <wp:simplePos x="0" y="0"/>
              <wp:positionH relativeFrom="page">
                <wp:posOffset>0</wp:posOffset>
              </wp:positionH>
              <wp:positionV relativeFrom="page">
                <wp:posOffset>190500</wp:posOffset>
              </wp:positionV>
              <wp:extent cx="7772400" cy="273050"/>
              <wp:effectExtent l="0" t="0" r="0" b="12700"/>
              <wp:wrapNone/>
              <wp:docPr id="2" name="MSIPCM80bc4b0d9c5e9c615dca2af1" descr="{&quot;HashCode&quot;:-2056592362,&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8967214" w14:textId="4BD66D3B" w:rsidR="00DA0299" w:rsidRPr="00DA0299" w:rsidRDefault="00DA0299" w:rsidP="00DA0299">
                          <w:pPr>
                            <w:spacing w:after="0"/>
                            <w:rPr>
                              <w:rFonts w:ascii="Calibri" w:hAnsi="Calibri" w:cs="Calibri"/>
                              <w:color w:val="000000"/>
                            </w:rPr>
                          </w:pPr>
                          <w:r w:rsidRPr="00DA0299">
                            <w:rPr>
                              <w:rFonts w:ascii="Calibri" w:hAnsi="Calibri" w:cs="Calibri"/>
                              <w:color w:val="000000"/>
                            </w:rPr>
                            <w:t>INTERNAL FR/OFFICIAL USE // FRSONLY</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5B725385" id="_x0000_t202" coordsize="21600,21600" o:spt="202" path="m,l,21600r21600,l21600,xe">
              <v:stroke joinstyle="miter"/>
              <v:path gradientshapeok="t" o:connecttype="rect"/>
            </v:shapetype>
            <v:shape id="MSIPCM80bc4b0d9c5e9c615dca2af1" o:spid="_x0000_s1026" type="#_x0000_t202" alt="{&quot;HashCode&quot;:-2056592362,&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JI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" o:allowincell="f" filled="f" stroked="f" strokeweight=".5pt">
              <v:fill o:detectmouseclick="t"/>
              <v:textbox inset="20pt,0,,0">
                <w:txbxContent>
                  <w:p w14:paraId="18967214" w14:textId="4BD66D3B" w:rsidR="00DA0299" w:rsidRPr="00DA0299" w:rsidRDefault="00DA0299" w:rsidP="00DA0299">
                    <w:pPr>
                      <w:spacing w:after="0"/>
                      <w:rPr>
                        <w:rFonts w:ascii="Calibri" w:hAnsi="Calibri" w:cs="Calibri"/>
                        <w:color w:val="000000"/>
                      </w:rPr>
                    </w:pPr>
                    <w:r w:rsidRPr="00DA0299">
                      <w:rPr>
                        <w:rFonts w:ascii="Calibri" w:hAnsi="Calibri" w:cs="Calibri"/>
                        <w:color w:val="000000"/>
                      </w:rPr>
                      <w:t>INTERNAL FR/OFFICIAL USE // FRSONLY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A12C6D"/>
    <w:multiLevelType w:val="hybridMultilevel"/>
    <w:tmpl w:val="2D102D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F">
      <w:start w:val="1"/>
      <w:numFmt w:val="decimal"/>
      <w:lvlText w:val="%3."/>
      <w:lvlJc w:val="lef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264BB7"/>
    <w:multiLevelType w:val="hybridMultilevel"/>
    <w:tmpl w:val="E7D42E10"/>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 w15:restartNumberingAfterBreak="0">
    <w:nsid w:val="74106564"/>
    <w:multiLevelType w:val="hybridMultilevel"/>
    <w:tmpl w:val="E7D42E1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7EE208F5"/>
    <w:multiLevelType w:val="hybridMultilevel"/>
    <w:tmpl w:val="E7D42E10"/>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F31"/>
    <w:rsid w:val="00003298"/>
    <w:rsid w:val="00015A9B"/>
    <w:rsid w:val="00020634"/>
    <w:rsid w:val="000B03CA"/>
    <w:rsid w:val="00121B76"/>
    <w:rsid w:val="001345FD"/>
    <w:rsid w:val="00160A6D"/>
    <w:rsid w:val="0016778F"/>
    <w:rsid w:val="001A597E"/>
    <w:rsid w:val="001F4DCC"/>
    <w:rsid w:val="00240D95"/>
    <w:rsid w:val="00242A66"/>
    <w:rsid w:val="00244B5E"/>
    <w:rsid w:val="0024588E"/>
    <w:rsid w:val="002C5710"/>
    <w:rsid w:val="0032046C"/>
    <w:rsid w:val="003F3F6A"/>
    <w:rsid w:val="00461BEA"/>
    <w:rsid w:val="004F4214"/>
    <w:rsid w:val="00511BC9"/>
    <w:rsid w:val="005C5505"/>
    <w:rsid w:val="005F4EBF"/>
    <w:rsid w:val="006137C1"/>
    <w:rsid w:val="006443A3"/>
    <w:rsid w:val="00686703"/>
    <w:rsid w:val="006A390A"/>
    <w:rsid w:val="00776531"/>
    <w:rsid w:val="007A6B96"/>
    <w:rsid w:val="007E2CA8"/>
    <w:rsid w:val="008237F4"/>
    <w:rsid w:val="0086565D"/>
    <w:rsid w:val="00884AA0"/>
    <w:rsid w:val="008A2886"/>
    <w:rsid w:val="008E698B"/>
    <w:rsid w:val="009876F2"/>
    <w:rsid w:val="00987B39"/>
    <w:rsid w:val="009C3E06"/>
    <w:rsid w:val="00A41333"/>
    <w:rsid w:val="00A52752"/>
    <w:rsid w:val="00A82064"/>
    <w:rsid w:val="00AB3887"/>
    <w:rsid w:val="00B86668"/>
    <w:rsid w:val="00BC3158"/>
    <w:rsid w:val="00BE3527"/>
    <w:rsid w:val="00C26398"/>
    <w:rsid w:val="00C42E57"/>
    <w:rsid w:val="00C96F31"/>
    <w:rsid w:val="00D22C39"/>
    <w:rsid w:val="00DA0299"/>
    <w:rsid w:val="00DC2B2A"/>
    <w:rsid w:val="00E032C8"/>
    <w:rsid w:val="00E30A0E"/>
    <w:rsid w:val="00E52A83"/>
    <w:rsid w:val="00E71400"/>
    <w:rsid w:val="00FC7FD6"/>
    <w:rsid w:val="00FD79DA"/>
    <w:rsid w:val="00FF1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C7C35A"/>
  <w15:chartTrackingRefBased/>
  <w15:docId w15:val="{E3DDEE38-0C72-4373-B11C-DDA826AD2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698B"/>
    <w:pPr>
      <w:ind w:left="720"/>
      <w:contextualSpacing/>
    </w:pPr>
  </w:style>
  <w:style w:type="paragraph" w:styleId="Header">
    <w:name w:val="header"/>
    <w:basedOn w:val="Normal"/>
    <w:link w:val="HeaderChar"/>
    <w:uiPriority w:val="99"/>
    <w:unhideWhenUsed/>
    <w:rsid w:val="00160A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0A6D"/>
  </w:style>
  <w:style w:type="paragraph" w:styleId="Footer">
    <w:name w:val="footer"/>
    <w:basedOn w:val="Normal"/>
    <w:link w:val="FooterChar"/>
    <w:uiPriority w:val="99"/>
    <w:unhideWhenUsed/>
    <w:rsid w:val="00160A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0A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071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10</Pages>
  <Words>2173</Words>
  <Characters>12389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Taylhardat</dc:creator>
  <cp:keywords/>
  <dc:description/>
  <cp:lastModifiedBy>Charles Taragin</cp:lastModifiedBy>
  <cp:revision>6</cp:revision>
  <dcterms:created xsi:type="dcterms:W3CDTF">2023-01-03T16:18:00Z</dcterms:created>
  <dcterms:modified xsi:type="dcterms:W3CDTF">2023-01-03T16:35:00Z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91bbf656-9507-4a34-b7fa-0ac6b71ff993</vt:lpwstr>
  </property>
  <property fmtid="{D5CDD505-2E9C-101B-9397-08002B2CF9AE}" pid="3" name="MSIP_Label_68bd301d-c681-4bd2-b9e4-03440f3370c0_Enabled">
    <vt:lpwstr>true</vt:lpwstr>
  </property>
  <property fmtid="{D5CDD505-2E9C-101B-9397-08002B2CF9AE}" pid="4" name="MSIP_Label_68bd301d-c681-4bd2-b9e4-03440f3370c0_SetDate">
    <vt:lpwstr>2023-01-03T16:35:27Z</vt:lpwstr>
  </property>
  <property fmtid="{D5CDD505-2E9C-101B-9397-08002B2CF9AE}" pid="5" name="MSIP_Label_68bd301d-c681-4bd2-b9e4-03440f3370c0_Method">
    <vt:lpwstr>Privileged</vt:lpwstr>
  </property>
  <property fmtid="{D5CDD505-2E9C-101B-9397-08002B2CF9AE}" pid="6" name="MSIP_Label_68bd301d-c681-4bd2-b9e4-03440f3370c0_Name">
    <vt:lpwstr>INTERNAL FR-OFFICIAL USE - FRSONLY</vt:lpwstr>
  </property>
  <property fmtid="{D5CDD505-2E9C-101B-9397-08002B2CF9AE}" pid="7" name="MSIP_Label_68bd301d-c681-4bd2-b9e4-03440f3370c0_SiteId">
    <vt:lpwstr>87bb2570-5c1e-4973-9c37-09257a95aeb1</vt:lpwstr>
  </property>
  <property fmtid="{D5CDD505-2E9C-101B-9397-08002B2CF9AE}" pid="8" name="MSIP_Label_68bd301d-c681-4bd2-b9e4-03440f3370c0_ActionId">
    <vt:lpwstr>1d94345d-4dd0-4897-bfc1-8907e3a7190d</vt:lpwstr>
  </property>
  <property fmtid="{D5CDD505-2E9C-101B-9397-08002B2CF9AE}" pid="9" name="MSIP_Label_68bd301d-c681-4bd2-b9e4-03440f3370c0_ContentBits">
    <vt:lpwstr>1</vt:lpwstr>
  </property>
</Properties>
</file>