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Scientific Reviewer v4</w:t>
      </w:r>
    </w:p>
    <w:p>
      <w:r>
        <w:t>Este relatório foi gerado automaticamente pelo ATHENA v4 com base nos resultados estatísticos, multivariados e de similaridade disponíveis na pasta do projeto.</w:t>
      </w:r>
    </w:p>
    <w:p>
      <w:pPr>
        <w:pStyle w:val="Heading2"/>
      </w:pPr>
      <w:r>
        <w:t>Estatística descritiva</w:t>
      </w:r>
    </w:p>
    <w:p>
      <w:r>
        <w:t>A estatística descritiva foi utilizada para caracterizar tendência central, dispersão e variabilidade das variáveis numéricas.</w:t>
      </w:r>
    </w:p>
    <w:p>
      <w:r>
        <w:t>Foram observadas variáveis com coeficiente de variação superior a 30%, indicando heterogeneidade relevante nos dados.</w:t>
      </w:r>
    </w:p>
    <w:p>
      <w:pPr>
        <w:pStyle w:val="Heading2"/>
      </w:pPr>
      <w:r>
        <w:t>Pressupostos, testes globais e pós-testes</w:t>
      </w:r>
    </w:p>
    <w:p>
      <w:r>
        <w:t>A análise dos pressupostos estatísticos e dos testes globais foi executada automaticamente. O ATHENA avaliou normalidade, homogeneidade e selecionou o teste global mais adequado para cada variável.</w:t>
      </w:r>
    </w:p>
    <w:p>
      <w:r>
        <w:t>Foram identificadas diferenças estatisticamente significativas nas seguintes variáveis: PEDIATRIA, CIRURGIA, GINECO/</w:t>
        <w:br/>
        <w:t>OBS. Esses resultados indicam que pelo menos um dos grupos avaliados apresentou comportamento distinto.</w:t>
      </w:r>
    </w:p>
    <w:p>
      <w:pPr>
        <w:pStyle w:val="Heading2"/>
      </w:pPr>
      <w:r>
        <w:t>Análises de similaridade</w:t>
      </w:r>
    </w:p>
    <w:p>
      <w:r>
        <w:t>Nenhum resultado específico foi encontrado para esta seção.</w:t>
      </w:r>
    </w:p>
    <w:p>
      <w:pPr>
        <w:pStyle w:val="Heading2"/>
      </w:pPr>
      <w:r>
        <w:t>Aprendizado de máquina e padrões latentes</w:t>
      </w:r>
    </w:p>
    <w:p>
      <w:r>
        <w:t>A análise UMAP foi executada para reduzir a dimensionalidade dos dados e revelar padrões não lineares potencialmente não capturados por métodos lineares.</w:t>
      </w:r>
    </w:p>
    <w:p>
      <w:r>
        <w:t>O HDBSCAN identificou 0 agrupamento(s) principais, com 189 observação(ões) classificadas como ruído/outlier. Esse resultado sugere a presença de padrões latentes no conjunto de dados.</w:t>
      </w:r>
    </w:p>
    <w:p>
      <w:pPr>
        <w:pStyle w:val="Heading2"/>
      </w:pPr>
      <w:r>
        <w:t>Síntese interpretativa</w:t>
      </w:r>
    </w:p>
    <w:p>
      <w:r>
        <w:t>Em conjunto, os resultados permitem uma leitura integrada do conjunto de dados, combinando estatística inferencial, exploração multivariada, agrupamento e interpretação científica automatizada. A interpretação deve ser revisada pelo pesquisador responsável antes de uso em relatório institucional, artigo científico ou apresentação acadêmica.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