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ATHENA QUESTION BANK</w:t>
      </w:r>
    </w:p>
    <w:p>
      <w:pPr>
        <w:pStyle w:val="Heading2"/>
      </w:pPr>
      <w:r>
        <w:t>Simulado Personalizado</w:t>
      </w:r>
    </w:p>
    <w:p>
      <w:r>
        <w:t>Total de questões: 9</w:t>
      </w:r>
    </w:p>
    <w:p>
      <w:pPr>
        <w:pStyle w:val="Heading2"/>
      </w:pPr>
      <w:r>
        <w:t>Questão 1</w:t>
      </w:r>
    </w:p>
    <w:p>
      <w:r>
        <w:t>Área: Clínica Médica</w:t>
      </w:r>
    </w:p>
    <w:p>
      <w:r>
        <w:t>Assunto: Cardiologia</w:t>
      </w:r>
    </w:p>
    <w:p>
      <w:r>
        <w:t>Competência: Definir conduta e manejo terapêutico</w:t>
      </w:r>
    </w:p>
    <w:p>
      <w:r>
        <w:t>QUESTÃO 1 Mulher de 58 anos, com diagnóstico de hipertensão arterial sistêmica (HAS) e em tratamento irregular, é encaminhada ao ambulatório de clínica médica de atenção secundária. Queixa-se de fadiga e dispneia aos esforços, com piora progressiva. Ao exame físico, é observado ritmo cardíaco regular em 4 tempos (B3 + B4), sem sopros no precórdio, mas com crépitos em bases pulmonares; pressão arterial: 148 x 90 mmHg. Ecocardiograma transtorácico evidencia hipertrofia ventricular esquerda concêntrica, associada com fração de ejeção de 38% (por Simpson). Exames laboratoriais normais, salvo pela elevação sérica de peptídeo natriurético tipo B (BNP). Para melhorar o controle da HAS e o prognóstico da paciente, o tratamento com inibidor da enzima conversora de angiotensina foi mantido, e o especialista optou por associar determinado fármaco, devido ao impacto positivo no prognóstico de sobrevida dessa paciente. O fármaco introduzido no tratamento da paciente foi (A) espironolactona. (B) clortalidona. (C) hidralazina. (D) clonidina.</w:t>
      </w:r>
    </w:p>
    <w:p>
      <w:r>
        <w:t>A) espironolactona. (B) clortalidona. (C) hidralazina. (D) clonidina.</w:t>
      </w:r>
    </w:p>
    <w:p>
      <w:r>
        <w:t>B) clortalidona. (C) hidralazina. (D) clonidina.</w:t>
      </w:r>
    </w:p>
    <w:p>
      <w:r>
        <w:t>C) hidralazina. (D) clonidina.</w:t>
      </w:r>
    </w:p>
    <w:p>
      <w:r>
        <w:t>D) clonidina.</w:t>
      </w:r>
    </w:p>
    <w:p>
      <w:pPr>
        <w:pStyle w:val="Heading2"/>
      </w:pPr>
      <w:r>
        <w:t>Questão 2</w:t>
      </w:r>
    </w:p>
    <w:p>
      <w:r>
        <w:t>Área: Clínica Médica</w:t>
      </w:r>
    </w:p>
    <w:p>
      <w:r>
        <w:t>Assunto: Atenção Primária à Saúde</w:t>
      </w:r>
    </w:p>
    <w:p>
      <w:r>
        <w:t>Competência: Competência clínica geral</w:t>
      </w:r>
    </w:p>
    <w:p>
      <w:r>
        <w:t>QUESTÃO 12 Homem de 52 anos, branco, solteiro, comparece à consulta agendada na Unidade Básica de Saúde (UBS) desejando realizar revisão clínica e exames laboratoriais. Desde os 35 anos não faz acompanhamento de saúde. Relata história familiar de diabetes e hipertensão, e a mãe faleceu com câncer de pulmão. Sem história familiar de câncer de próstata. Fuma cerca de 2 maços por dia há 21 anos. Exame físico: pressão arterial de 120 x 80 mmHg, índice de massa corporal de 23 kg/m2 , sem outras alterações. Considerando as recomendações de rastreamento para esse paciente, o médico de família e comunidade deve (A) solicitar exames de colesterol total e frações, hemograma, glicemia de jejum, creatinina, PSA, radiografia de tórax, colonoscopia, realizar toque retal; orientar sobre a prática de atividade física regular . (B) solicitar exames de colesterol total, glicemia de jejum, pesquisa de sangue oculto nas fezes, PSA, ofertar anti-HIV e HBsAg, realizar toque retal; orientar sobre participação no grupo na UBS para abandono do tabagismo. (C) abordar mudanças no estilo de vida e cessação do tabagismo; acompanhar, em consultas longitudinais, as futuras possibilidades de exames complementares, quando o paciente atingir faixa etária para investigações adicionais. (D) solicitar exames de colesterol total, HDL e triglicerídeos, glicemia de jejum, pesquisa de sangue oculto nas fezes, ofertar testes rápidos para HIV, sífilis e hepatites B e C; realizar abordagem sobre possibilidade de cessação do tabagismo. ÁREA LIVRE</w:t>
      </w:r>
    </w:p>
    <w:p>
      <w:r>
        <w:t>A) solicitar exames de colesterol total e frações, hemograma, glicemia de jejum, creatinina, PSA, radiografia de tórax, colonoscopia, realizar toque retal; orientar sobre a prática de atividade física regular . (B) solicitar exames de colesterol total, glicemia de jejum, pesquisa de sangue oculto nas fezes, PSA, ofertar anti-HIV e HBsAg, realizar toque retal; orientar sobre participação no grupo na UBS para abandono do tabagismo. (C) abordar mudanças no estilo de vida e cessação do tabagismo; acompanhar, em consultas longitudinais, as futuras possibilidades de exames complementares, quando o paciente atingir faixa etária para investigações adicionais. (D) solicitar exames de colesterol total, HDL e triglicerídeos, glicemia de jejum, pesquisa de sangue oculto nas fezes, ofertar testes rápidos para HIV, sífilis e hepatites B e C; realizar abordagem sobre possibilidade de cessação do tabagismo. ÁREA LIVRE</w:t>
      </w:r>
    </w:p>
    <w:p>
      <w:r>
        <w:t>B) solicitar exames de colesterol total, glicemia de jejum, pesquisa de sangue oculto nas fezes, PSA, ofertar anti-HIV e HBsAg, realizar toque retal; orientar sobre participação no grupo na UBS para abandono do tabagismo. (C) abordar mudanças no estilo de vida e cessação do tabagismo; acompanhar, em consultas longitudinais, as futuras possibilidades de exames complementares, quando o paciente atingir faixa etária para investigações adicionais. (D) solicitar exames de colesterol total, HDL e triglicerídeos, glicemia de jejum, pesquisa de sangue oculto nas fezes, ofertar testes rápidos para HIV, sífilis e hepatites B e C; realizar abordagem sobre possibilidade de cessação do tabagismo. ÁREA LIVRE</w:t>
      </w:r>
    </w:p>
    <w:p>
      <w:r>
        <w:t>C) abordar mudanças no estilo de vida e cessação do tabagismo; acompanhar, em consultas longitudinais, as futuras possibilidades de exames complementares, quando o paciente atingir faixa etária para investigações adicionais. (D) solicitar exames de colesterol total, HDL e triglicerídeos, glicemia de jejum, pesquisa de sangue oculto nas fezes, ofertar testes rápidos para HIV, sífilis e hepatites B e C; realizar abordagem sobre possibilidade de cessação do tabagismo. ÁREA LIVRE</w:t>
      </w:r>
    </w:p>
    <w:p>
      <w:r>
        <w:t>D) solicitar exames de colesterol total, HDL e triglicerídeos, glicemia de jejum, pesquisa de sangue oculto nas fezes, ofertar testes rápidos para HIV, sífilis e hepatites B e C; realizar abordagem sobre possibilidade de cessação do tabagismo. ÁREA LIVRE</w:t>
      </w:r>
    </w:p>
    <w:p>
      <w:pPr>
        <w:pStyle w:val="Heading2"/>
      </w:pPr>
      <w:r>
        <w:t>Questão 3</w:t>
      </w:r>
    </w:p>
    <w:p>
      <w:r>
        <w:t>Área: Clínica Médica</w:t>
      </w:r>
    </w:p>
    <w:p>
      <w:r>
        <w:t>Assunto: Cardiologia</w:t>
      </w:r>
    </w:p>
    <w:p>
      <w:r>
        <w:t>Competência: Definir conduta e manejo terapêutico</w:t>
      </w:r>
    </w:p>
    <w:p>
      <w:r>
        <w:t>QUESTÃO 37 Menino, 10 anos, morador de área urbana, está em avaliação no pronto-atendimento por apresentar dor em cotovelo direito há 1 dia. Há 1 semana, iniciou quadro de febre de 38,5 °C, 1 a 2 picos ao dia, associada à dificuldade de deambular devido ao joelho direito apresentar-se “doloroso e inchado”. Após 4 dias, percebeu melhora da dor no joelho, porém o tornozelo direito começou a ficar “inchado e um pouco avermelhado”, doloroso, com melhora em 2 dias. Há 3 semanas, havia se queixado de dor de garganta. Sem outras queixas. Nega contato com animais domésticos. No momento do atendimento, está com dificuldade para movimentar o cotovelo direito por causa da dor e do edema, frequência cardíaca de 110 bpm e 2 bulhas rítmicas normofonéticas, com sopro sistólico de 3+/6+. Restante do exame físico sem anormalidades. Considerando o quadro clínico apresentado, o agente etiológico e o tratamento de escolha são, respectivamente, (A) Borrelia burgdorferi; doxiciclina. (B) Staphylococcus aureus; oxacilina. (C) Treponema pallidum; penicilina G benzatina. (D) Streptococcus pyogenes; penicilina G benzatina.</w:t>
      </w:r>
    </w:p>
    <w:p>
      <w:r>
        <w:t>A) Borrelia burgdorferi; doxiciclina. (B) Staphylococcus aureus; oxacilina. (C) Treponema pallidum; penicilina G benzatina. (D) Streptococcus pyogenes; penicilina G benzatina.</w:t>
      </w:r>
    </w:p>
    <w:p>
      <w:r>
        <w:t>B) Staphylococcus aureus; oxacilina. (C) Treponema pallidum; penicilina G benzatina. (D) Streptococcus pyogenes; penicilina G benzatina.</w:t>
      </w:r>
    </w:p>
    <w:p>
      <w:r>
        <w:t>C) Treponema pallidum; penicilina G benzatina. (D) Streptococcus pyogenes; penicilina G benzatina.</w:t>
      </w:r>
    </w:p>
    <w:p>
      <w:r>
        <w:t>D) Streptococcus pyogenes; penicilina G benzatina.</w:t>
      </w:r>
    </w:p>
    <w:p>
      <w:pPr>
        <w:pStyle w:val="Heading2"/>
      </w:pPr>
      <w:r>
        <w:t>Questão 4</w:t>
      </w:r>
    </w:p>
    <w:p>
      <w:r>
        <w:t>Área: Clínica Médica</w:t>
      </w:r>
    </w:p>
    <w:p>
      <w:r>
        <w:t>Assunto: Diabetes Mellitus</w:t>
      </w:r>
    </w:p>
    <w:p>
      <w:r>
        <w:t>Competência: Definir conduta e manejo terapêutico</w:t>
      </w:r>
    </w:p>
    <w:p>
      <w:r>
        <w:t>QUESTÃO 41 Homem de 21 anos, portador de diabetes mellitus tipo 1, diagnosticado há 5 anos, foi levado à Unidade de Pronto Atendimento (UPA) devido à dor abdominal, náuseas e vômitos. Familiares informam que está sem utilizar insulina há 3 dias por dificuldades financeiras. No exame físico, encontra-se torporoso, desidratado, com hálito cetótico e dor abdominal à palpação profunda de forma generalizada. Ao exame, frequência cardíaca de 112 bpm; frequência respiratória de 38 irpm; pressão arterial de 110 x 70 mmHg. Os exames laboratoriais na admissão indicam: Exame Resultado Valor de referência Glicemia 472 mg/dL 60 a 100 mg/dL Gasometria arterial pH de 7,2 7,35 a 7,45 Bicarbonato 10 mEq/L 22 a 26 mEq/L Creatinina 1,6 mg/dL 0,7 a 1,3 mg/dL Potássio sérico 3,0 mEq/L 3,5 a 5,5 mEq/L O diagnóstico e a conduta inicial indicada para esse paciente são, respectivamente, (A) pancreatite aguda; iniciar dieta oral zero. (B) estado hiperosmolar hiperglicêmico; iniciar insulinoterapia. (C) cetoacidose diabética; prescrever solução fisiológica a 0,9 por cento. (D) insuficiência renal aguda; prescrever bicarbonato de sódio.</w:t>
      </w:r>
    </w:p>
    <w:p>
      <w:r>
        <w:t>A) devido à dor abdominal, náuseas e vômitos. Familiares informam que está sem utilizar insulina há 3 dias por dificuldades financeiras. No exame físico, encontra-se torporoso, desidratado, com hálito cetótico e dor abdominal à palpação profunda de forma generalizada. Ao exame, frequência cardíaca de 112 bpm; frequência respiratória de 38 irpm; pressão arterial de 110 x 70 mmHg. Os exames laboratoriais na admissão indicam: Exame Resultado Valor de referência Glicemia 472 mg/dL 60 a 100 mg/dL Gasometria arterial pH de 7,2 7,35 a 7,45 Bicarbonato 10 mEq/L 22 a 26 mEq/L Creatinina 1,6 mg/dL 0,7 a 1,3 mg/dL Potássio sérico 3,0 mEq/L 3,5 a 5,5 mEq/L O diagnóstico e a conduta inicial indicada para esse paciente são, respectivamente, (A) pancreatite aguda; iniciar dieta oral zero. (B) estado hiperosmolar hiperglicêmico; iniciar insulinoterapia. (C) cetoacidose diabética; prescrever solução fisiológica a 0,9 por cento. (D) insuficiência renal aguda; prescrever bicarbonato de sódio.</w:t>
      </w:r>
    </w:p>
    <w:p>
      <w:r>
        <w:t>B) estado hiperosmolar hiperglicêmico; iniciar insulinoterapia. (C) cetoacidose diabética; prescrever solução fisiológica a 0,9 por cento. (D) insuficiência renal aguda; prescrever bicarbonato de sódio.</w:t>
      </w:r>
    </w:p>
    <w:p>
      <w:r>
        <w:t>C) cetoacidose diabética; prescrever solução fisiológica a 0,9 por cento. (D) insuficiência renal aguda; prescrever bicarbonato de sódio.</w:t>
      </w:r>
    </w:p>
    <w:p>
      <w:r>
        <w:t>D) insuficiência renal aguda; prescrever bicarbonato de sódio.</w:t>
      </w:r>
    </w:p>
    <w:p>
      <w:pPr>
        <w:pStyle w:val="Heading2"/>
      </w:pPr>
      <w:r>
        <w:t>Questão 5</w:t>
      </w:r>
    </w:p>
    <w:p>
      <w:r>
        <w:t>Área: Clínica Médica</w:t>
      </w:r>
    </w:p>
    <w:p>
      <w:r>
        <w:t>Assunto: Atenção Primária à Saúde</w:t>
      </w:r>
    </w:p>
    <w:p>
      <w:r>
        <w:t>Competência: Definir conduta e manejo terapêutico</w:t>
      </w:r>
    </w:p>
    <w:p>
      <w:r>
        <w:t>QUESTÃO 50 Homem de 55 anos, com diagnóstico de diabetes mellitus , foi em consulta de rotina em Unidade Básica de Saúde (UBS) levando exames laboratoriais solicitados pelo médico na consulta anterior . Faz uso de metformina 850 mg, 3 vezes ao dia, e glicazida 30 mg, 1 vez ao dia, há mais de 6 meses. Os exames laboratoriais atuais apresentam hemoglobina glicada de 9,5% e creatinina sérica de 0,8 mg/dL. Qual das condutas é a mais adequada para o seguimento desse caso? (A) Suspender os medicamentos orais, iniciar insulina NPH 10 UI subcutânea pela manhã e 20 UI à noite. Monitorar a glicemia pré-prandial, e, quando estiver controlada, medir a glicemia pós-prandial para avaliação da introdução da insulina regular . (B) Aumentar a glicazida para 60 mg ao dia, aumentar a metformina para 1 g, 3 vezes ao dia, repetir exames em 1 mês. Iniciar insulina se estiverem alterados; pactuar com o paciente a possibilidade de insulinização no retorno. (C) Manter a dose de metformina e glicazida, iniciar insulina NPH 10 UI subcutânea à noite, associada à monitorização glicêmica de jejum. Ajustar 2 a 3 UI a cada 2 a 3 dias, até atingir a meta da glicemia de jejum. (D) Trocar a glicazida por glibenclamida 20 mg por dia, aumentar a metformina para 1 g, 3 vezes ao dia, solicitar novos exames em 1 mês. Pactuar com o paciente a possibilidade de insulinização no retorno. 1 12</w:t>
      </w:r>
    </w:p>
    <w:p>
      <w:r>
        <w:t>A) Suspender os medicamentos orais, iniciar insulina NPH 10 UI subcutânea pela manhã e 20 UI à noite. Monitorar a glicemia pré-prandial, e, quando estiver controlada, medir a glicemia pós-prandial para avaliação da introdução da insulina regular . (B) Aumentar a glicazida para 60 mg ao dia, aumentar a metformina para 1 g, 3 vezes ao dia, repetir exames em 1 mês. Iniciar insulina se estiverem alterados; pactuar com o paciente a possibilidade de insulinização no retorno. (C) Manter a dose de metformina e glicazida, iniciar insulina NPH 10 UI subcutânea à noite, associada à monitorização glicêmica de jejum. Ajustar 2 a 3 UI a cada 2 a 3 dias, até atingir a meta da glicemia de jejum. (D) Trocar a glicazida por glibenclamida 20 mg por dia, aumentar a metformina para 1 g, 3 vezes ao dia, solicitar novos exames em 1 mês. Pactuar com o paciente a possibilidade de insulinização no retorno. 1 12</w:t>
      </w:r>
    </w:p>
    <w:p>
      <w:r>
        <w:t>B) Aumentar a glicazida para 60 mg ao dia, aumentar a metformina para 1 g, 3 vezes ao dia, repetir exames em 1 mês. Iniciar insulina se estiverem alterados; pactuar com o paciente a possibilidade de insulinização no retorno. (C) Manter a dose de metformina e glicazida, iniciar insulina NPH 10 UI subcutânea à noite, associada à monitorização glicêmica de jejum. Ajustar 2 a 3 UI a cada 2 a 3 dias, até atingir a meta da glicemia de jejum. (D) Trocar a glicazida por glibenclamida 20 mg por dia, aumentar a metformina para 1 g, 3 vezes ao dia, solicitar novos exames em 1 mês. Pactuar com o paciente a possibilidade de insulinização no retorno. 1 12</w:t>
      </w:r>
    </w:p>
    <w:p>
      <w:r>
        <w:t>C) Manter a dose de metformina e glicazida, iniciar insulina NPH 10 UI subcutânea à noite, associada à monitorização glicêmica de jejum. Ajustar 2 a 3 UI a cada 2 a 3 dias, até atingir a meta da glicemia de jejum. (D) Trocar a glicazida por glibenclamida 20 mg por dia, aumentar a metformina para 1 g, 3 vezes ao dia, solicitar novos exames em 1 mês. Pactuar com o paciente a possibilidade de insulinização no retorno. 1 12</w:t>
      </w:r>
    </w:p>
    <w:p>
      <w:r>
        <w:t>D) Trocar a glicazida por glibenclamida 20 mg por dia, aumentar a metformina para 1 g, 3 vezes ao dia, solicitar novos exames em 1 mês. Pactuar com o paciente a possibilidade de insulinização no retorno. 1 12</w:t>
      </w:r>
    </w:p>
    <w:p>
      <w:pPr>
        <w:pStyle w:val="Heading2"/>
      </w:pPr>
      <w:r>
        <w:t>Questão 6</w:t>
      </w:r>
    </w:p>
    <w:p>
      <w:r>
        <w:t>Área: Cirurgia</w:t>
      </w:r>
    </w:p>
    <w:p>
      <w:r>
        <w:t>Assunto: Atenção Primária à Saúde</w:t>
      </w:r>
    </w:p>
    <w:p>
      <w:r>
        <w:t>Competência: Definir conduta e manejo terapêutico</w:t>
      </w:r>
    </w:p>
    <w:p>
      <w:r>
        <w:t>QUESTÃO 90 Homem de 23 anos, previamente hígido, procura atendimento na Unidade Básica de Saúde (UBS) relatando que há cerca de 2 horas foi mordido por um gato de rua ao tentar retirá-lo de cima de uma árvore. A mordida resultou em feridas cortocontusas nos dedos da mão esquerda. Paciente nega episódios anteriores de agressões desse tipo. O animal, que não pertence a ninguém da vizinhança, fugiu após ser resgatado. Na cidade, no ano anterior, houve a confirmação de raiva em felinos. A conduta adequada no atendimento imediato ao paciente é (A) higienizar adequadamente e suturar as lacerações; aplicar o soro antirrábico; prescrever 1 dose de penicilina benzatina 1,2 milhão de UI. (B) lavar os ferimentos com antissépticos; aguardar a busca ativa do animal pela zoonose para início da profilaxia; aplicar reforço da vacina dT (difteria e tétano). (C) lavar os ferimentos com água corrente abundante e sabão; administrar a vacina antirrábica em 4 doses, nos dias 0, 3, 7 e 14; aplicar imunoglobulina humana antirrábica. (D) higienizar com solução antisséptica; administrar a 1ª dose da vacina antirrábica; na presença de qualquer reação adversa, contraindicar as doses subsequentes; aplicar o soro antirrábico.</w:t>
      </w:r>
    </w:p>
    <w:p>
      <w:r>
        <w:t>A) higienizar adequadamente e suturar as lacerações; aplicar o soro antirrábico; prescrever 1 dose de penicilina benzatina 1,2 milhão de UI. (B) lavar os ferimentos com antissépticos; aguardar a busca ativa do animal pela zoonose para início da profilaxia; aplicar reforço da vacina dT (difteria e tétano). (C) lavar os ferimentos com água corrente abundante e sabão; administrar a vacina antirrábica em 4 doses, nos dias 0, 3, 7 e 14; aplicar imunoglobulina humana antirrábica. (D) higienizar com solução antisséptica; administrar a 1ª dose da vacina antirrábica; na presença de qualquer reação adversa, contraindicar as doses subsequentes; aplicar o soro antirrábico.</w:t>
      </w:r>
    </w:p>
    <w:p>
      <w:r>
        <w:t>B) lavar os ferimentos com antissépticos; aguardar a busca ativa do animal pela zoonose para início da profilaxia; aplicar reforço da vacina dT (difteria e tétano). (C) lavar os ferimentos com água corrente abundante e sabão; administrar a vacina antirrábica em 4 doses, nos dias 0, 3, 7 e 14; aplicar imunoglobulina humana antirrábica. (D) higienizar com solução antisséptica; administrar a 1ª dose da vacina antirrábica; na presença de qualquer reação adversa, contraindicar as doses subsequentes; aplicar o soro antirrábico.</w:t>
      </w:r>
    </w:p>
    <w:p>
      <w:r>
        <w:t>C) lavar os ferimentos com água corrente abundante e sabão; administrar a vacina antirrábica em 4 doses, nos dias 0, 3, 7 e 14; aplicar imunoglobulina humana antirrábica. (D) higienizar com solução antisséptica; administrar a 1ª dose da vacina antirrábica; na presença de qualquer reação adversa, contraindicar as doses subsequentes; aplicar o soro antirrábico.</w:t>
      </w:r>
    </w:p>
    <w:p>
      <w:r>
        <w:t>D) higienizar com solução antisséptica; administrar a 1ª dose da vacina antirrábica; na presença de qualquer reação adversa, contraindicar as doses subsequentes; aplicar o soro antirrábico.</w:t>
      </w:r>
    </w:p>
    <w:p>
      <w:pPr>
        <w:pStyle w:val="Heading2"/>
      </w:pPr>
      <w:r>
        <w:t>Questão 7</w:t>
      </w:r>
    </w:p>
    <w:p>
      <w:r>
        <w:t>Área: Pediatria</w:t>
      </w:r>
    </w:p>
    <w:p>
      <w:r>
        <w:t>Assunto: Cardiologia</w:t>
      </w:r>
    </w:p>
    <w:p>
      <w:r>
        <w:t>Competência: Competência clínica geral</w:t>
      </w:r>
    </w:p>
    <w:p>
      <w:r>
        <w:t>QUESTÃO 80 Recém-nascido a termo apresenta, no 1° minuto de vida, quadro de apneia e bradicardia, desvio do ictus à direita, abdome escavado e presença de ruídos hidroaéreos à ausculta do hemitórax esquerdo. No decorrer do atendimento desse recém-nascido, em sala de parto, os procedimentos adequados a serem realizados são (A) intubação traqueal e massagem cardíaca externa. (B) cateterismo umbilical e drenagem de hemitórax esquerdo. (C) ventilação com óxido nítrico e administração de surfactante. (D) ventilação com balão autoinflável com pressão expiratória final positiva.</w:t>
      </w:r>
    </w:p>
    <w:p>
      <w:r>
        <w:t>A) intubação traqueal e massagem cardíaca externa. (B) cateterismo umbilical e drenagem de hemitórax esquerdo. (C) ventilação com óxido nítrico e administração de surfactante. (D) ventilação com balão autoinflável com pressão expiratória final positiva.</w:t>
      </w:r>
    </w:p>
    <w:p>
      <w:r>
        <w:t>B) cateterismo umbilical e drenagem de hemitórax esquerdo. (C) ventilação com óxido nítrico e administração de surfactante. (D) ventilação com balão autoinflável com pressão expiratória final positiva.</w:t>
      </w:r>
    </w:p>
    <w:p>
      <w:r>
        <w:t>C) ventilação com óxido nítrico e administração de surfactante. (D) ventilação com balão autoinflável com pressão expiratória final positiva.</w:t>
      </w:r>
    </w:p>
    <w:p>
      <w:r>
        <w:t>D) ventilação com balão autoinflável com pressão expiratória final positiva.</w:t>
      </w:r>
    </w:p>
    <w:p>
      <w:pPr>
        <w:pStyle w:val="Heading2"/>
      </w:pPr>
      <w:r>
        <w:t>Questão 8</w:t>
      </w:r>
    </w:p>
    <w:p>
      <w:r>
        <w:t>Área: Ginecologia e Obstetrícia</w:t>
      </w:r>
    </w:p>
    <w:p>
      <w:r>
        <w:t>Assunto: Assunto não identificado</w:t>
      </w:r>
    </w:p>
    <w:p>
      <w:r>
        <w:t>Competência: Estabelecer hipótese diagnóstica</w:t>
      </w:r>
    </w:p>
    <w:p>
      <w:r>
        <w:t>QUESTÃO 18 Paciente de 16 anos comparece ao ambulatório para mostrar os resultados dos exames complementares solicitados na consulta anterior . Está preocupada porque todas as colegas da mesma idade já menstruaram e ela não. O fenótipo é feminino, com pelos pubianos e axilares esparsos. Os exames complementares evidenciam ausência do útero à ultrassonografia pélvica, dosagem sérica do hormônio folículo estimulante (FSH) normal, dosagem de testosterona sérica compatível com níveis do sexo masculino e cariótipo 46 XY . Com base no quadro clínico e nos dados apresentados, a principal hipótese diagnóstica dessa paciente é (A) disgenesia gonadal. (B) malformação Mulleriana. (C) obstrução do trato genital. (D) insensibilidade androgênica.</w:t>
      </w:r>
    </w:p>
    <w:p>
      <w:r>
        <w:t>A) disgenesia gonadal. (B) malformação Mulleriana. (C) obstrução do trato genital. (D) insensibilidade androgênica.</w:t>
      </w:r>
    </w:p>
    <w:p>
      <w:r>
        <w:t>B) malformação Mulleriana. (C) obstrução do trato genital. (D) insensibilidade androgênica.</w:t>
      </w:r>
    </w:p>
    <w:p>
      <w:r>
        <w:t>C) obstrução do trato genital. (D) insensibilidade androgênica.</w:t>
      </w:r>
    </w:p>
    <w:p>
      <w:r>
        <w:t>D) insensibilidade androgênica.</w:t>
      </w:r>
    </w:p>
    <w:p>
      <w:pPr>
        <w:pStyle w:val="Heading2"/>
      </w:pPr>
      <w:r>
        <w:t>Questão 9</w:t>
      </w:r>
    </w:p>
    <w:p>
      <w:r>
        <w:t>Área: Saúde Coletiva</w:t>
      </w:r>
    </w:p>
    <w:p>
      <w:r>
        <w:t>Assunto: Obstetrícia</w:t>
      </w:r>
    </w:p>
    <w:p>
      <w:r>
        <w:t>Competência: Definir conduta e manejo terapêutico</w:t>
      </w:r>
    </w:p>
    <w:p>
      <w:r>
        <w:t>QUESTÃO 44 Parturiente de 29 anos, sem comorbidades, esteve em trabalho de parto por 8 horas e evoluiu para parto vaginal. Após 10 minutos do desprendimento do feto, ainda não se observou a expulsão da placenta. A paciente está estável e sem sinais de hemorragia. Diante do quadro apresentado, a conduta a ser adotada é (A) aguardar a expulsão espontânea da placenta, sem intervenções adicionais, e observar sinais de separação. (B) realizar tração controlada do cordão umbilical, enquanto se estabiliza o útero com a mão suprapúbica. (C) iniciar curagem placentária, devido ao tempo transcorrido sem desprendimento placentário. (D) administrar uterotônico adicional e realizar massagem uterina para auxiliar a dequitação.</w:t>
      </w:r>
    </w:p>
    <w:p>
      <w:r>
        <w:t>A) aguardar a expulsão espontânea da placenta, sem intervenções adicionais, e observar sinais de separação. (B) realizar tração controlada do cordão umbilical, enquanto se estabiliza o útero com a mão suprapúbica. (C) iniciar curagem placentária, devido ao tempo transcorrido sem desprendimento placentário. (D) administrar uterotônico adicional e realizar massagem uterina para auxiliar a dequitação.</w:t>
      </w:r>
    </w:p>
    <w:p>
      <w:r>
        <w:t>B) realizar tração controlada do cordão umbilical, enquanto se estabiliza o útero com a mão suprapúbica. (C) iniciar curagem placentária, devido ao tempo transcorrido sem desprendimento placentário. (D) administrar uterotônico adicional e realizar massagem uterina para auxiliar a dequitação.</w:t>
      </w:r>
    </w:p>
    <w:p>
      <w:r>
        <w:t>C) iniciar curagem placentária, devido ao tempo transcorrido sem desprendimento placentário. (D) administrar uterotônico adicional e realizar massagem uterina para auxiliar a dequitação.</w:t>
      </w:r>
    </w:p>
    <w:p>
      <w:r>
        <w:t>D) administrar uterotônico adicional e realizar massagem uterina para auxiliar a dequitação.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