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ATHENA QUESTION BANK</w:t>
      </w:r>
    </w:p>
    <w:p>
      <w:pPr>
        <w:jc w:val="center"/>
      </w:pPr>
      <w:r>
        <w:rPr>
          <w:b/>
          <w:sz w:val="26"/>
        </w:rPr>
        <w:t>PROVA GERADA AUTOMATICAMENTE</w:t>
      </w:r>
    </w:p>
    <w:p>
      <w:r>
        <w:t>Critério de busca: saúde coletiva</w:t>
      </w:r>
    </w:p>
    <w:p>
      <w:r>
        <w:t>Número de questões: 5</w:t>
      </w:r>
    </w:p>
    <w:p/>
    <w:p>
      <w:r>
        <w:rPr>
          <w:b/>
          <w:sz w:val="24"/>
        </w:rPr>
        <w:t>QUESTÃO 1</w:t>
      </w:r>
    </w:p>
    <w:p>
      <w:pPr>
        <w:jc w:val="both"/>
      </w:pPr>
      <w:r>
        <w:t xml:space="preserve">10. Paciente do sexo masculino, com diagnóstico de demência </w:t>
        <w:br/>
        <w:t xml:space="preserve">há 5 anos e sem tratamento farmacológico no momento, chega </w:t>
        <w:br/>
        <w:t xml:space="preserve">para consulta na Unidade Básica de Saúde trazido pela filha, que </w:t>
        <w:br/>
        <w:t xml:space="preserve">é sua cuidadora. Ela relata que, há três dias, houve mudança no </w:t>
        <w:br/>
        <w:t xml:space="preserve">comportamento do seu pai, que está agitado, inquieto e insistindo </w:t>
        <w:br/>
        <w:t xml:space="preserve">em realizar tarefas que habitualmente não faz, como subir em </w:t>
        <w:br/>
        <w:t xml:space="preserve">escadas móveis, usar o fogão e dirigir. Ela tem conseguido </w:t>
        <w:br/>
        <w:t xml:space="preserve">acalmá-lo, mas está receosa que ele possa piorar, perder o </w:t>
        <w:br/>
        <w:t xml:space="preserve">controle e machucar-se. Refere que ontem ele teve um único </w:t>
        <w:br/>
        <w:t xml:space="preserve">episódio de febre (TAx 38,3ºC), que cedeu a paracetamol e, hoje </w:t>
        <w:br/>
        <w:t xml:space="preserve">pela manhã, percebeu a urina mais concentrada que o habitual e </w:t>
        <w:br/>
        <w:t xml:space="preserve">com odor fétido. Além de realizar rastreio infeccioso, pesquisar </w:t>
        <w:br/>
        <w:t xml:space="preserve">distúrbios eletrolíticos e avaliar medicações de início recente, qual </w:t>
        <w:br/>
        <w:t xml:space="preserve">é a conduta adequada para este paciente? </w:t>
        <w:br/>
        <w:t xml:space="preserve"> </w:t>
        <w:br/>
        <w:t xml:space="preserve">(A) Prescrever benzodiazepínico para controle da agitação. </w:t>
        <w:br/>
        <w:t xml:space="preserve">(B) Manter em quarto isolado e silencioso até a melhora da </w:t>
        <w:br/>
        <w:t xml:space="preserve">agitação. </w:t>
        <w:br/>
        <w:t xml:space="preserve">(C) Iniciar um antipsicótico, pelo risco à própria integridade </w:t>
        <w:br/>
        <w:t xml:space="preserve">física. </w:t>
        <w:br/>
        <w:t>(D) Encaminhar para internação hospitalar por conta da febre.</w:t>
      </w:r>
    </w:p>
    <w:p>
      <w:r>
        <w:rPr>
          <w:i/>
          <w:sz w:val="18"/>
        </w:rPr>
        <w:t>Fonte: enamed | Instituição: unilagos | Ano: 2026 | Área: Saúde Coletiva | Tema: None</w:t>
      </w:r>
    </w:p>
    <w:p>
      <w:r>
        <w:t>________________________________________________________________________________</w:t>
      </w:r>
    </w:p>
    <w:p>
      <w:r>
        <w:rPr>
          <w:b/>
          <w:sz w:val="24"/>
        </w:rPr>
        <w:t>QUESTÃO 2</w:t>
      </w:r>
    </w:p>
    <w:p>
      <w:pPr>
        <w:jc w:val="both"/>
      </w:pPr>
      <w:r>
        <w:t xml:space="preserve">43. Adolescente, sexo feminino, 12 anos, comparece à Unidade </w:t>
        <w:br/>
        <w:t xml:space="preserve">Básica de Saúde para consulta com enfoque na promoção à </w:t>
        <w:br/>
        <w:t xml:space="preserve">saúde. Ao verificar a caderneta de vacinação, constata-se nos </w:t>
        <w:br/>
        <w:t xml:space="preserve">registros que as vacinas estão atualizadas até os cinco anos de </w:t>
        <w:br/>
        <w:t xml:space="preserve">idade. Quais são os imunobiológicos recomendados para </w:t>
        <w:br/>
        <w:t xml:space="preserve">atualização do cartão vacinal da adolescente, conforme o </w:t>
        <w:br/>
        <w:t xml:space="preserve">Programa Nacional de Imunização do Ministério da Saúde? </w:t>
        <w:br/>
        <w:t xml:space="preserve"> </w:t>
        <w:br/>
        <w:t xml:space="preserve">(A) Vacina Meningo C, contra Dengue, dT, Pneumo 23. </w:t>
        <w:br/>
        <w:t xml:space="preserve">(B) Vacina contra COVID-19, dTpa, Tríplice Viral, Febre </w:t>
        <w:br/>
        <w:t xml:space="preserve">Amarela. </w:t>
        <w:br/>
        <w:t>(C) Vacina Tríplice viral, HPV, dT, contra Dengue.</w:t>
      </w:r>
    </w:p>
    <w:p>
      <w:r>
        <w:rPr>
          <w:i/>
          <w:sz w:val="18"/>
        </w:rPr>
        <w:t>Fonte: enamed | Instituição: unilagos | Ano: 2026 | Área: Saúde Coletiva | Tema: None</w:t>
      </w:r>
    </w:p>
    <w:p>
      <w:r>
        <w:t>________________________________________________________________________________</w:t>
      </w:r>
    </w:p>
    <w:p>
      <w:r>
        <w:rPr>
          <w:b/>
          <w:sz w:val="24"/>
        </w:rPr>
        <w:t>QUESTÃO 3</w:t>
      </w:r>
    </w:p>
    <w:p>
      <w:pPr>
        <w:jc w:val="both"/>
      </w:pPr>
      <w:r>
        <w:t xml:space="preserve">112. Um paciente do sexo masculino, 54 anos, apresenta </w:t>
        <w:br/>
        <w:t xml:space="preserve">quadro de chikungunya em fase subaguda. Ele relata dor articular </w:t>
        <w:br/>
        <w:t xml:space="preserve">persistente, fadiga e rigidez matinal, apesar do uso de </w:t>
        <w:br/>
        <w:t xml:space="preserve">analgésicos comuns. Considerando o manejo adequado dessa </w:t>
        <w:br/>
        <w:t xml:space="preserve">fase da chikungunya na atenção primária, qual a conduta mais </w:t>
        <w:br/>
        <w:t xml:space="preserve">indicada? </w:t>
        <w:br/>
        <w:t xml:space="preserve"> </w:t>
        <w:br/>
        <w:t xml:space="preserve">(A) Introduzir antibióticos de amplo espectro para prevenir </w:t>
        <w:br/>
        <w:t xml:space="preserve">complicações secundárias. </w:t>
        <w:br/>
        <w:t xml:space="preserve"> </w:t>
        <w:br/>
        <w:t xml:space="preserve">(A) Elaborar o ecomapa com foco exclusivo nas interações </w:t>
        <w:br/>
        <w:t xml:space="preserve">familiares, visto que a sobrecarga familiar é o principal </w:t>
        <w:br/>
        <w:t xml:space="preserve">problema relatado pela paciente. </w:t>
        <w:br/>
        <w:t xml:space="preserve">(B) Começar o ecomapa com a representação das relações </w:t>
        <w:br/>
        <w:t xml:space="preserve">familiares diretas, deixando para adicionar outras conexões </w:t>
        <w:br/>
        <w:t xml:space="preserve">sociais nas próximas consultas. </w:t>
        <w:br/>
        <w:t xml:space="preserve">(C) Pedir à paciente que identifique e desenhe as principais </w:t>
        <w:br/>
        <w:t xml:space="preserve">pessoas e instituições com as quais ela se relaciona, e </w:t>
        <w:br/>
        <w:t xml:space="preserve">depois discutir a qualidade e intensidade dessas conexões. </w:t>
        <w:br/>
        <w:t xml:space="preserve">(D) Construir o ecomapa com base na percepção do médico </w:t>
        <w:br/>
        <w:t xml:space="preserve">sobre as relações da paciente, priorizando as relações </w:t>
        <w:br/>
        <w:t xml:space="preserve">profissionais e comunitárias. </w:t>
        <w:br/>
        <w:t xml:space="preserve">(B) Iniciar o uso de anti-inflamatórios não esteroides (AINEs) e </w:t>
        <w:br/>
        <w:t xml:space="preserve">considerar corticoterapia em casos mais graves. </w:t>
        <w:br/>
        <w:t xml:space="preserve">(C) Suspender todos os medicamentos e aguardar a resolução </w:t>
        <w:br/>
        <w:t xml:space="preserve">espontânea dos sintomas. </w:t>
        <w:br/>
        <w:t xml:space="preserve">(D) Encaminhar o paciente para internação hospitalar </w:t>
        <w:br/>
        <w:t xml:space="preserve">imediatamente, devido à gravidade dos sintomas. </w:t>
        <w:br/>
        <w:t xml:space="preserve"> </w:t>
        <w:br/>
        <w:t>Núcleo Mineiro II - Teste de Progresso - outubro/2024 21</w:t>
      </w:r>
    </w:p>
    <w:p>
      <w:r>
        <w:rPr>
          <w:i/>
          <w:sz w:val="18"/>
        </w:rPr>
        <w:t>Fonte: enamed | Instituição: unilagos | Ano: 2026 | Área: Saúde Coletiva | Tema: None</w:t>
      </w:r>
    </w:p>
    <w:p>
      <w:r>
        <w:t>________________________________________________________________________________</w:t>
      </w:r>
    </w:p>
    <w:p>
      <w:r>
        <w:rPr>
          <w:b/>
          <w:sz w:val="24"/>
        </w:rPr>
        <w:t>QUESTÃO 4</w:t>
      </w:r>
    </w:p>
    <w:p>
      <w:pPr>
        <w:jc w:val="both"/>
      </w:pPr>
      <w:r>
        <w:t xml:space="preserve">21. Homem de 45 anos, trabalhador rural, procura a Estratégia </w:t>
        <w:br/>
        <w:t xml:space="preserve">de Saúde da Família devido a quadro típico de lombociatalgia à </w:t>
        <w:br/>
        <w:t xml:space="preserve">direita, com cerca de 2 meses de evolução, que piora às </w:t>
        <w:br/>
        <w:t xml:space="preserve">atividades laborais, porém não o impede de realizá-las. Nega </w:t>
        <w:br/>
        <w:t xml:space="preserve">parestesias no membro e refere ter feito uso de “pomadas” para </w:t>
        <w:br/>
        <w:t xml:space="preserve">tratamento do sintoma, sem melhora. Ao exame físico, apresenta </w:t>
        <w:br/>
        <w:t xml:space="preserve">dor típica em trajeto de nervo ciático ao se elevar a perna direita, </w:t>
        <w:br/>
        <w:t xml:space="preserve">estendida a 45 graus. A força muscular, bem como os reflexos </w:t>
        <w:br/>
        <w:t xml:space="preserve">profundos, está preservada. Apresenta índice de massa corpórea </w:t>
        <w:br/>
        <w:t xml:space="preserve">compatível com sobrepeso. A conduta mais adequada para esse </w:t>
        <w:br/>
        <w:t xml:space="preserve">paciente é: </w:t>
        <w:br/>
        <w:t xml:space="preserve">(A) Orientação sobre a realização correta da atividade física </w:t>
        <w:br/>
        <w:t>laboral, aplicação de calor local e prescrição de anti-</w:t>
        <w:br/>
        <w:t xml:space="preserve">inflamatórios não esteroides por tempo limitado. </w:t>
        <w:br/>
        <w:t xml:space="preserve">(B) Prescrição de anti-inflamatórios não esteroides por tempo </w:t>
        <w:br/>
        <w:t xml:space="preserve">limitado, encaminhar para fisioterapia e solicitar radiografia </w:t>
        <w:br/>
        <w:t xml:space="preserve">de coluna lombo-sacra em duas incidências. </w:t>
        <w:br/>
        <w:t xml:space="preserve">(C) Prescrição de corticoide oral e relaxante muscular; solicitar </w:t>
        <w:br/>
        <w:t xml:space="preserve">tomografia computadorizada de coluna lombo-sacra. </w:t>
        <w:br/>
        <w:t xml:space="preserve">(D) Afastar paciente de suas atividades laborais, prescrever </w:t>
        <w:br/>
        <w:t xml:space="preserve">analgesia     parenteral     e     solicitar ressonância     nuclear </w:t>
        <w:br/>
        <w:t xml:space="preserve">magnética de coluna lombo-sacra.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6 Núcleo Mineiro II - Teste de Progresso - outubro/2024</w:t>
      </w:r>
    </w:p>
    <w:p>
      <w:r>
        <w:rPr>
          <w:i/>
          <w:sz w:val="18"/>
        </w:rPr>
        <w:t>Fonte: enamed | Instituição: unilagos | Ano: 2026 | Área: Saúde Coletiva | Tema: None</w:t>
      </w:r>
    </w:p>
    <w:p>
      <w:r>
        <w:t>________________________________________________________________________________</w:t>
      </w:r>
    </w:p>
    <w:p>
      <w:r>
        <w:rPr>
          <w:b/>
          <w:sz w:val="24"/>
        </w:rPr>
        <w:t>QUESTÃO 5</w:t>
      </w:r>
    </w:p>
    <w:p>
      <w:pPr>
        <w:jc w:val="both"/>
      </w:pPr>
      <w:r>
        <w:t xml:space="preserve">119. Diego, 45 anos, chega à UBS muito ansioso, querendo </w:t>
        <w:br/>
        <w:t xml:space="preserve">saber o que fazer. Relata que teve relação na noite anterior com </w:t>
        <w:br/>
        <w:t xml:space="preserve">uma mulher, mas que a camisinha furou. Após constatado o furo </w:t>
        <w:br/>
        <w:t xml:space="preserve">na camisinha, ela contou pra ele que tinha HIV. De acordo com o </w:t>
        <w:br/>
        <w:t xml:space="preserve">caso clínico, as melhores medidas a serem tomadas são: </w:t>
        <w:br/>
        <w:t xml:space="preserve"> </w:t>
        <w:br/>
        <w:t xml:space="preserve">(A) Explicar para o paciente que ele está dentro da janela </w:t>
        <w:br/>
        <w:t xml:space="preserve">imunológica e que não é necessário testar agora, somente </w:t>
        <w:br/>
        <w:t xml:space="preserve">após 30 dias. Ofertar PREP para o paciente e orientar que </w:t>
        <w:br/>
        <w:t xml:space="preserve">deve ser usado adequadamente, procurando uma UPA logo </w:t>
        <w:br/>
        <w:t xml:space="preserve">após a consulta. Marcar o retorno e tranquilizá-lo, falando </w:t>
        <w:br/>
        <w:t xml:space="preserve">sobre a efetividade das medicações se utilizadas </w:t>
        <w:br/>
        <w:t xml:space="preserve">corretamente, oferecendo apoio e retirando dúvidas. </w:t>
        <w:br/>
        <w:t xml:space="preserve">Incentivar a continuar usando o preservativo externo, apesar </w:t>
        <w:br/>
        <w:t xml:space="preserve">do ocorrido. </w:t>
        <w:br/>
        <w:t xml:space="preserve">(B) Fazer os testes rápidos de ISTs e explicar que deverá </w:t>
        <w:br/>
        <w:t xml:space="preserve">repetir após 30 dias. Orientar o paciente a usar PEP, </w:t>
        <w:br/>
        <w:t xml:space="preserve">procurando uma UPA logo após a consulta (orientar sobre </w:t>
        <w:br/>
        <w:t xml:space="preserve">tempo de eficácia e uso adequado). Marcar o retorno e </w:t>
        <w:br/>
        <w:t xml:space="preserve">tranquilizá-lo falando sobre a efetividade das medicações se </w:t>
        <w:br/>
        <w:t xml:space="preserve">utilizadas corretamente, oferecendo apoio e retirando </w:t>
        <w:br/>
        <w:t xml:space="preserve">dúvidas. Incentivar a continuar usando o preservativo </w:t>
        <w:br/>
        <w:t xml:space="preserve">externo, apesar do ocorrido. </w:t>
        <w:br/>
        <w:t xml:space="preserve">(C) Orientar o paciente a procurar a urgência para que todas as </w:t>
        <w:br/>
        <w:t xml:space="preserve">medidas cabíveis sejam tomadas. </w:t>
        <w:br/>
        <w:t xml:space="preserve">(D) Fazer os testes de IST e, se algum positivar, iniciar </w:t>
        <w:br/>
        <w:t xml:space="preserve">tratamento. Incentivar a continuar usando o preservativo </w:t>
        <w:br/>
        <w:t>externo.</w:t>
      </w:r>
    </w:p>
    <w:p>
      <w:r>
        <w:rPr>
          <w:i/>
          <w:sz w:val="18"/>
        </w:rPr>
        <w:t>Fonte: enamed | Instituição: unilagos | Ano: 2026 | Área: Saúde Coletiva | Tema: None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