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Table 2. Characteristics of the 286 studies on dengue epidemics in Brazil included in the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Characteristic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 (%)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>Publication period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1981-1990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8 (2.8)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1991-2000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30 (10.5)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2001-2010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83 (29.0)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2011-2020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122 (42.7)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2021-2026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43 (15.0)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>Language of publication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English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157 (54.9)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Portuguese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119 (41.6)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English/Portuguese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7 (2.4)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Spanish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3 (1.0)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>Source through which the study was first identified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PubMed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58 (20.3)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SciELO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46 (16.1)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ScienceDirect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8 (2.8)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SciSpace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6 (2.1)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LILACS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183 (64.0)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>Region of study (not mutually exclusive)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Southeast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130 (45.5)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Northeast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58 (20.3)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North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20 (7.0)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Central-West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24 (8.4)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South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11 (3.8)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National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38 (13.3)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Not specified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6 (2.1)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>Spatial scale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Municipal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176 (61.5)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State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66 (23.1)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Multi-state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10 (3.5)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National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34 (11.9)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>Study design/focus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Spatial, ecological and determinant analysis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62 (21.7)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Descriptive/surveillance epidemiology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54 (18.9)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Clinical course, severity and mortality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38 (13.3)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Virological, molecular or genomic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37 (12.9)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Control, vaccines and health-system response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31 (10.8)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Diagnosis and surveillance performance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23 (8.0)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Seroepidemiological survey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19 (6.6)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Review or historical analysis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13 (4.5)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Mathematical modelling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9 (3.1)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>Source of serotype information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Title/abstract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75 (26.2)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Full text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68 (23.8)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Inferred from context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6 (2.1)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Not reported/not typed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127 (44.4)</w:t>
            </w:r>
          </w:p>
        </w:tc>
      </w:tr>
      <w:tr>
        <w:tc>
          <w:tcPr>
            <w:tcW w:type="dxa" w:w="6236"/>
          </w:tcPr>
          <w:p>
            <w:pPr>
              <w:spacing w:line="240" w:lineRule="auto"/>
            </w:pPr>
            <w:r/>
            <w:r>
              <w:rPr>
                <w:sz w:val="18"/>
              </w:rPr>
              <w:t xml:space="preserve">   Not applicable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18"/>
              </w:rPr>
              <w:t>10 (3.5)</w:t>
            </w:r>
          </w:p>
        </w:tc>
      </w:tr>
    </w:tbl>
    <w:p>
      <w:r>
        <w:rPr>
          <w:sz w:val="18"/>
        </w:rPr>
        <w:t>Source: The authors. Percentages are calculated over the 286 studies; categories marked as not mutually exclusive may add up to more than 100%.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