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FAKTURA 47/2019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ORYGINA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Ł/ KOPIA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 xml:space="preserve">Drezdenko, 28.09.2019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SPRZEDAWCA: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Proling Jakub Skrzeczkowski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Ul. Szkolna 31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66-530 Drezdenko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NIP: 281 00 24 393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NABYWCA:  </w:t>
      </w:r>
    </w:p>
    <w:p>
      <w:pPr>
        <w:spacing w:before="0" w:after="0" w:line="240"/>
        <w:ind w:right="0" w:left="0" w:firstLine="0"/>
        <w:jc w:val="left"/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</w:pPr>
      <w:r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  <w:t xml:space="preserve">Kornelia Filut Studio</w:t>
      </w:r>
    </w:p>
    <w:p>
      <w:pPr>
        <w:spacing w:before="0" w:after="0" w:line="240"/>
        <w:ind w:right="0" w:left="0" w:firstLine="0"/>
        <w:jc w:val="left"/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</w:pPr>
      <w:r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  <w:t xml:space="preserve">os. Pod Lipami 3/117</w:t>
      </w:r>
    </w:p>
    <w:p>
      <w:pPr>
        <w:spacing w:before="0" w:after="0" w:line="240"/>
        <w:ind w:right="0" w:left="0" w:firstLine="0"/>
        <w:jc w:val="left"/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</w:pPr>
      <w:r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  <w:t xml:space="preserve">61-629 Pozna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ń</w:t>
      </w:r>
    </w:p>
    <w:p>
      <w:pPr>
        <w:spacing w:before="0" w:after="0" w:line="240"/>
        <w:ind w:right="0" w:left="0" w:firstLine="0"/>
        <w:jc w:val="left"/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</w:pPr>
      <w:r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  <w:t xml:space="preserve">NIP: 5621708169</w:t>
      </w:r>
    </w:p>
    <w:p>
      <w:pPr>
        <w:spacing w:before="0" w:after="0" w:line="240"/>
        <w:ind w:right="0" w:left="0" w:firstLine="0"/>
        <w:jc w:val="left"/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</w:pPr>
      <w:r>
        <w:rPr>
          <w:rFonts w:ascii="Georgia,Bold" w:hAnsi="Georgia,Bold" w:cs="Georgia,Bold" w:eastAsia="Georgia,Bold"/>
          <w:color w:val="auto"/>
          <w:spacing w:val="0"/>
          <w:position w:val="0"/>
          <w:sz w:val="20"/>
          <w:shd w:fill="auto" w:val="clear"/>
        </w:rPr>
        <w:t xml:space="preserve">REGON: 340469601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20"/>
        <w:gridCol w:w="3707"/>
        <w:gridCol w:w="1068"/>
        <w:gridCol w:w="1430"/>
        <w:gridCol w:w="2263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Lp.</w:t>
            </w:r>
          </w:p>
        </w:tc>
        <w:tc>
          <w:tcPr>
            <w:tcW w:w="3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Nazwa towaru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ść i j.m.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cena jednostkowa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warto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ść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3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łumaczenie symultaniczne obsluga konferencji </w:t>
            </w:r>
          </w:p>
        </w:tc>
        <w:tc>
          <w:tcPr>
            <w:tcW w:w="1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</w:p>
        </w:tc>
        <w:tc>
          <w:tcPr>
            <w:tcW w:w="14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1"/>
                <w:shd w:fill="FFFFFF" w:val="clear"/>
              </w:rPr>
              <w:t xml:space="preserve">2050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1"/>
                <w:shd w:fill="FFFFFF" w:val="clear"/>
              </w:rPr>
              <w:t xml:space="preserve">  2050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RAZEM:                       2050  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łownie: dwa tysiace piecdziesiat złotych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Sprzedawca podmiotowo zwolniony z VAT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Podstawa prawna zwolnienia z VAT: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ługi edukacyjne zwolnione z VAT art.43 ust 1 pkt 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Ustawy o Vat., (podatku od towarów i 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ług)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Sposób zap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łaty: przelewem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Nr konta: 61 1090 1476 0000 0001 0497 7056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Bank: Santander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Termin zap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łaty: 21 Dni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