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80" w:before="480" w:line="288" w:lineRule="auto"/>
        <w:ind w:left="0"/>
        <w:rPr>
          <w:rFonts w:ascii="Arial" w:hAnsi="Arial" w:eastAsia="等线" w:cs="Arial"/>
          <w:b/>
          <w:bCs/>
          <w:sz w:val="52"/>
          <w:szCs w:val="52"/>
          <w:highlight w:val="none"/>
        </w:rPr>
      </w:pPr>
      <w:r>
        <w:rPr>
          <w:rFonts w:ascii="Arial" w:hAnsi="Arial" w:eastAsia="等线" w:cs="Arial"/>
          <w:b/>
          <w:sz w:val="52"/>
        </w:rPr>
        <w:t xml:space="preserve">业务流程数字化转型实施指南（精简模板12）</w:t>
      </w:r>
      <w:r>
        <w:rPr>
          <w:rFonts w:ascii="Arial" w:hAnsi="Arial" w:eastAsia="等线" w:cs="Arial"/>
          <w:b/>
          <w:sz w:val="52"/>
        </w:rPr>
        <w:t xml:space="preserve">你好</w:t>
      </w:r>
      <w:r>
        <w:rPr>
          <w:rFonts w:ascii="Arial" w:hAnsi="Arial" w:eastAsia="等线" w:cs="Arial"/>
          <w:b/>
          <w:sz w:val="52"/>
        </w:rPr>
      </w:r>
      <w:r/>
    </w:p>
    <w:p w14:paraId="673AD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/>
      <w:r/>
      <w:r/>
    </w:p>
    <w:tbl>
      <w:tblPr>
        <w:tblStyle w:val="722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42"/>
        <w:gridCol w:w="7139"/>
      </w:tblGrid>
      <w:tr>
        <w:trPr>
          <w:trHeight w:val="1017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42" w:type="dxa"/>
            <w:vAlign w:val="top"/>
          </w:tcPr>
          <w:p w14:paraId="030F7B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/>
            </w:pPr>
            <w:r>
              <w:rPr>
                <w:rFonts w:ascii="SimSun" w:hAnsi="SimSun" w:eastAsia="SimSun" w:cs="SimSun"/>
                <w:b/>
                <w:color w:val="000000"/>
                <w:sz w:val="22"/>
              </w:rPr>
              <w:t xml:space="preserve">任务中心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39" w:type="dxa"/>
            <w:vAlign w:val="top"/>
          </w:tcPr>
          <w:p w14:paraId="16D2B4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/>
            </w:pPr>
            <w:r>
              <w:rPr>
                <w:rFonts w:ascii="SimSun" w:hAnsi="SimSun" w:eastAsia="SimSun" w:cs="SimSun"/>
                <w:color w:val="000000"/>
                <w:sz w:val="22"/>
              </w:rPr>
              <w:t xml:space="preserve">需要根据不同的任务类型划分导航菜单，因为每种任务类型需要填写的字段不一样</w:t>
            </w:r>
            <w:r/>
          </w:p>
        </w:tc>
      </w:tr>
      <w:tr>
        <w:trPr>
          <w:trHeight w:val="9225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42" w:type="dxa"/>
            <w:vAlign w:val="top"/>
          </w:tcPr>
          <w:p w14:paraId="334716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/>
            </w:pPr>
            <w:r>
              <w:rPr>
                <w:rFonts w:ascii="SimSun" w:hAnsi="SimSun" w:eastAsia="SimSun" w:cs="SimSun"/>
                <w:b/>
                <w:color w:val="000000"/>
                <w:sz w:val="22"/>
              </w:rPr>
              <w:t xml:space="preserve">ppt拆分合并</w:t>
            </w:r>
            <w:r/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39" w:type="dxa"/>
            <w:vAlign w:val="top"/>
          </w:tcPr>
          <w:p w14:paraId="27469BB1">
            <w:pPr>
              <w:numPr>
                <w:ilvl w:val="0"/>
                <w:numId w:val="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720"/>
              </w:tabs>
              <w:spacing w:after="100" w:before="10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b/>
                <w:color w:val="000000"/>
                <w:sz w:val="22"/>
                <w:highlight w:val="white"/>
              </w:rPr>
              <w:t xml:space="preserve">1.拆分流程</w:t>
            </w:r>
            <w:r>
              <w:rPr>
                <w:rFonts w:ascii="SimSun" w:hAnsi="SimSun" w:eastAsia="SimSun" w:cs="SimSun"/>
                <w:color w:val="000000"/>
                <w:sz w:val="22"/>
              </w:rPr>
              <w:t xml:space="preserve">：</w:t>
            </w:r>
            <w:r/>
          </w:p>
          <w:p w14:paraId="48015374">
            <w:pPr>
              <w:numPr>
                <w:ilvl w:val="0"/>
                <w:numId w:val="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720"/>
              </w:tabs>
              <w:spacing w:after="100" w:before="10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color w:val="000000"/>
                <w:sz w:val="22"/>
              </w:rPr>
              <w:t xml:space="preserve">创建任务 → 填写基本信息 → 上传PPT模板 → 按页拆分 → 分配至科室 → 科室负责人二次拆分 → 分配给具体员工 → 员工下载编辑 → 上传提交 → 主任审核 → 部长审批 → 合并</w:t>
            </w:r>
            <w:r/>
          </w:p>
          <w:p w14:paraId="4504A473">
            <w:pPr>
              <w:numPr>
                <w:ilvl w:val="0"/>
                <w:numId w:val="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tabs>
                <w:tab w:val="left" w:leader="none" w:pos="720"/>
              </w:tabs>
              <w:spacing w:after="0" w:before="0" w:line="360" w:lineRule="auto"/>
              <w:ind/>
              <w:rPr/>
            </w:pPr>
            <w:r>
              <w:rPr>
                <w:rFonts w:ascii="SimSun" w:hAnsi="SimSun" w:eastAsia="SimSun" w:cs="SimSun"/>
                <w:b/>
                <w:color w:val="000000"/>
                <w:sz w:val="22"/>
                <w:highlight w:val="white"/>
              </w:rPr>
              <w:t xml:space="preserve">2. 支持跳跃式分配</w:t>
            </w:r>
            <w:r>
              <w:rPr>
                <w:rFonts w:ascii="SimSun" w:hAnsi="SimSun" w:eastAsia="SimSun" w:cs="SimSun"/>
                <w:color w:val="000000"/>
                <w:sz w:val="22"/>
                <w:highlight w:val="white"/>
              </w:rPr>
              <w:t xml:space="preserve">：支持不按顺序分配，可将PPT第1页和第5页分给同一科室，第2-4页分给另一科室</w:t>
            </w:r>
            <w:r/>
          </w:p>
          <w:p w14:paraId="715BE2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360" w:lineRule="auto"/>
              <w:ind w:right="0" w:firstLine="0" w:left="0"/>
              <w:rPr/>
            </w:pPr>
            <w:r>
              <w:rPr>
                <w:rFonts w:ascii="SimSun" w:hAnsi="SimSun" w:eastAsia="SimSun" w:cs="SimSun"/>
                <w:color w:val="000000"/>
                <w:sz w:val="22"/>
                <w:highlight w:val="white"/>
              </w:rPr>
              <w:t xml:space="preserve"> </w:t>
            </w:r>
            <w:r/>
          </w:p>
          <w:p w14:paraId="686629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360" w:lineRule="auto"/>
              <w:ind w:right="0" w:firstLine="0" w:left="0"/>
              <w:rPr/>
            </w:pPr>
            <w:r>
              <w:rPr>
                <w:rFonts w:ascii="SimSun" w:hAnsi="SimSun" w:eastAsia="SimSun" w:cs="SimSun"/>
                <w:b/>
                <w:color w:val="000000"/>
                <w:sz w:val="22"/>
                <w:highlight w:val="white"/>
              </w:rPr>
              <w:t xml:space="preserve">3. 权限控制</w:t>
            </w:r>
            <w:r>
              <w:rPr>
                <w:rFonts w:ascii="SimSun" w:hAnsi="SimSun" w:eastAsia="SimSun" w:cs="SimSun"/>
                <w:color w:val="000000"/>
                <w:sz w:val="22"/>
                <w:highlight w:val="white"/>
              </w:rPr>
              <w:t xml:space="preserve">：员工只能下载（模板）和上传自己负责的那几页，不能获取全部内容</w:t>
            </w:r>
            <w:r/>
          </w:p>
          <w:p w14:paraId="5C7B04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720"/>
              </w:tabs>
              <w:spacing w:after="100" w:before="100" w:line="360" w:lineRule="auto"/>
              <w:ind w:right="0" w:firstLine="0" w:left="0"/>
              <w:jc w:val="both"/>
              <w:rPr/>
            </w:pPr>
            <w:r>
              <w:rPr>
                <w:rFonts w:ascii="SimSun" w:hAnsi="SimSun" w:eastAsia="SimSun" w:cs="SimSun"/>
                <w:b/>
                <w:color w:val="000000"/>
                <w:sz w:val="22"/>
                <w:highlight w:val="white"/>
              </w:rPr>
              <w:t xml:space="preserve">4. 驳回逻辑：</w:t>
            </w:r>
            <w:r>
              <w:rPr>
                <w:rFonts w:ascii="SimSun" w:hAnsi="SimSun" w:eastAsia="SimSun" w:cs="SimSun"/>
                <w:color w:val="000000"/>
                <w:sz w:val="22"/>
              </w:rPr>
              <w:t xml:space="preserve">如被驳回，直接退回填报人（不经过中间层级），填报人修改后重新提交，需重新走完整审核流程</w:t>
            </w:r>
            <w:r/>
          </w:p>
          <w:p w14:paraId="0176ABE6">
            <w:pPr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720"/>
              </w:tabs>
              <w:spacing w:after="0" w:before="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color w:val="000000"/>
                <w:sz w:val="24"/>
              </w:rPr>
              <w:t xml:space="preserve">5.</w:t>
            </w:r>
            <w:r>
              <w:rPr>
                <w:rFonts w:ascii="SimSun" w:hAnsi="SimSun" w:eastAsia="SimSun" w:cs="SimSun"/>
                <w:b/>
                <w:color w:val="000000"/>
                <w:sz w:val="22"/>
                <w:highlight w:val="white"/>
              </w:rPr>
              <w:t xml:space="preserve">冲突管理</w:t>
            </w:r>
            <w:r>
              <w:rPr>
                <w:rFonts w:ascii="SimSun" w:hAnsi="SimSun" w:eastAsia="SimSun" w:cs="SimSun"/>
                <w:color w:val="000000"/>
                <w:sz w:val="24"/>
              </w:rPr>
              <w:t xml:space="preserve">：</w:t>
            </w:r>
            <w:r>
              <w:rPr>
                <w:rFonts w:ascii="SimSun" w:hAnsi="SimSun" w:eastAsia="SimSun" w:cs="SimSun"/>
                <w:color w:val="000000"/>
                <w:sz w:val="22"/>
              </w:rPr>
              <w:t xml:space="preserve">存在多个科室负责同一页 PPT 的情况，这个时候需要重点解决版本覆盖与数据一致性问题，否则很容易出现内容丢失或责任不清的情况。</w:t>
            </w:r>
            <w:r/>
          </w:p>
          <w:p w14:paraId="20356554">
            <w:pPr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720"/>
              </w:tabs>
              <w:spacing w:after="0" w:before="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color w:val="000000"/>
                <w:sz w:val="22"/>
              </w:rPr>
              <w:t xml:space="preserve">例如设备科和生产科分别下载同一版本进行编辑，若一方先上传生成新版本，另一方再基于旧版本上传，就会直接覆盖已更新内容，导致数据丢失。(类似于git版本控制）</w:t>
            </w:r>
            <w:r/>
          </w:p>
          <w:p w14:paraId="001261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720"/>
              </w:tabs>
              <w:spacing w:after="0" w:before="0" w:line="360" w:lineRule="auto"/>
              <w:ind w:right="0" w:firstLine="0" w:left="0"/>
              <w:jc w:val="both"/>
              <w:rPr/>
            </w:pPr>
            <w:r>
              <w:rPr>
                <w:rFonts w:ascii="SimSun" w:hAnsi="SimSun" w:eastAsia="SimSun" w:cs="SimSun"/>
                <w:b/>
                <w:color w:val="2d54a0"/>
                <w:sz w:val="22"/>
              </w:rPr>
              <w:t xml:space="preserve">方案一：在线协同编辑</w:t>
            </w:r>
            <w:r/>
          </w:p>
          <w:p w14:paraId="1B6423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720"/>
              </w:tabs>
              <w:spacing w:after="0" w:before="0" w:line="360" w:lineRule="auto"/>
              <w:ind w:right="0" w:firstLine="0" w:left="0"/>
              <w:jc w:val="both"/>
              <w:rPr/>
            </w:pPr>
            <w:r>
              <w:rPr>
                <w:rFonts w:ascii="SimSun" w:hAnsi="SimSun" w:eastAsia="SimSun" w:cs="SimSun"/>
                <w:b/>
                <w:color w:val="2d54a0"/>
                <w:sz w:val="22"/>
              </w:rPr>
              <w:t xml:space="preserve">方案二：员工私下处理好后安排一人上传</w:t>
            </w:r>
            <w:r/>
          </w:p>
        </w:tc>
      </w:tr>
      <w:tr>
        <w:trPr>
          <w:trHeight w:val="349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42" w:type="dxa"/>
            <w:vAlign w:val="top"/>
          </w:tcPr>
          <w:p w14:paraId="0A9BD3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/>
            </w:pPr>
            <w:r>
              <w:rPr>
                <w:rFonts w:ascii="SimSun" w:hAnsi="SimSun" w:eastAsia="SimSun" w:cs="SimSun"/>
                <w:b/>
                <w:color w:val="000000"/>
                <w:sz w:val="22"/>
              </w:rPr>
              <w:t xml:space="preserve">Word在线协作编辑</w:t>
            </w:r>
            <w:r/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39" w:type="dxa"/>
            <w:vAlign w:val="top"/>
          </w:tcPr>
          <w:p w14:paraId="79D396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/>
            </w:pPr>
            <w:r>
              <w:rPr>
                <w:rFonts w:ascii="SimSun" w:hAnsi="SimSun" w:eastAsia="SimSun" w:cs="SimSun"/>
                <w:color w:val="000000"/>
                <w:sz w:val="22"/>
              </w:rPr>
              <w:t xml:space="preserve">需求暂不明确，待定</w:t>
            </w:r>
            <w:r/>
          </w:p>
          <w:p w14:paraId="170E829D">
            <w:pPr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720"/>
              </w:tabs>
              <w:spacing w:after="96" w:before="0"/>
              <w:ind/>
              <w:jc w:val="both"/>
              <w:rPr/>
            </w:pPr>
            <w:r>
              <w:rPr>
                <w:rFonts w:ascii="SimSun" w:hAnsi="SimSun" w:eastAsia="SimSun" w:cs="SimSun"/>
                <w:b/>
                <w:color w:val="000000"/>
                <w:sz w:val="24"/>
              </w:rPr>
              <w:t xml:space="preserve">难点：</w:t>
            </w:r>
            <w:r/>
          </w:p>
          <w:p w14:paraId="1A4CECF3">
            <w:pPr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rFonts w:ascii="SimSun" w:hAnsi="SimSun" w:eastAsia="SimSun" w:cs="SimSun"/>
                <w:color w:val="000000"/>
                <w:sz w:val="22"/>
              </w:rPr>
              <w:t xml:space="preserve">PPT拆分相对清晰（按页），但Word按段落拆分边界模糊</w:t>
            </w:r>
            <w:r/>
          </w:p>
          <w:p w14:paraId="5211BF36">
            <w:pPr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/>
              <w:rPr/>
            </w:pPr>
            <w:r>
              <w:rPr>
                <w:rFonts w:ascii="SimSun" w:hAnsi="SimSun" w:eastAsia="SimSun" w:cs="SimSun"/>
                <w:color w:val="000000"/>
                <w:sz w:val="22"/>
              </w:rPr>
              <w:t xml:space="preserve">如果一段内容变多，可能跨到下一页，影响分页</w:t>
            </w:r>
            <w:r/>
          </w:p>
          <w:p w14:paraId="4B75D682">
            <w:pPr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/>
              <w:rPr/>
            </w:pPr>
            <w:r>
              <w:rPr>
                <w:rFonts w:ascii="SimSun" w:hAnsi="SimSun" w:eastAsia="SimSun" w:cs="SimSun"/>
                <w:color w:val="000000"/>
                <w:sz w:val="22"/>
              </w:rPr>
              <w:t xml:space="preserve">某一段只能由某个科室编辑，其他科室不能看也不能改，领导审核前，不想让其他科室看到内容，在线编辑时无法控制段落级权限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42" w:type="dxa"/>
            <w:vAlign w:val="top"/>
          </w:tcPr>
          <w:p w14:paraId="41C97A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/>
            </w:pPr>
            <w:r>
              <w:rPr>
                <w:rFonts w:ascii="SimSun" w:hAnsi="SimSun" w:eastAsia="SimSun" w:cs="SimSun"/>
                <w:b/>
                <w:color w:val="000000"/>
                <w:sz w:val="22"/>
              </w:rPr>
              <w:t xml:space="preserve">用户/部门/权限管理</w:t>
            </w:r>
            <w:r/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39" w:type="dxa"/>
            <w:vAlign w:val="top"/>
          </w:tcPr>
          <w:p w14:paraId="584917C2">
            <w:pPr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720"/>
              </w:tabs>
              <w:spacing w:after="0" w:before="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b/>
                <w:color w:val="000000"/>
                <w:sz w:val="24"/>
              </w:rPr>
              <w:t xml:space="preserve">1.层级划分：</w:t>
            </w:r>
            <w:r/>
          </w:p>
          <w:p w14:paraId="340E08DE">
            <w:pPr>
              <w:numPr>
                <w:ilvl w:val="0"/>
                <w:numId w:val="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b/>
                <w:color w:val="000000"/>
                <w:sz w:val="22"/>
              </w:rPr>
              <w:t xml:space="preserve">部级层级</w:t>
            </w:r>
            <w:r>
              <w:rPr>
                <w:rFonts w:ascii="SimSun" w:hAnsi="SimSun" w:eastAsia="SimSun" w:cs="SimSun"/>
                <w:color w:val="000000"/>
                <w:sz w:val="22"/>
              </w:rPr>
              <w:t xml:space="preserve">：划分为普通职员、室主任、分管副部长、设备部长四个职级</w:t>
            </w:r>
            <w:r/>
          </w:p>
          <w:p w14:paraId="75E93F9C">
            <w:pPr>
              <w:numPr>
                <w:ilvl w:val="0"/>
                <w:numId w:val="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b/>
                <w:color w:val="000000"/>
                <w:sz w:val="22"/>
              </w:rPr>
              <w:t xml:space="preserve">厂级层级</w:t>
            </w:r>
            <w:r>
              <w:rPr>
                <w:rFonts w:ascii="SimSun" w:hAnsi="SimSun" w:eastAsia="SimSun" w:cs="SimSun"/>
                <w:color w:val="000000"/>
                <w:sz w:val="22"/>
              </w:rPr>
              <w:t xml:space="preserve">：划分为普通职员、设备组长、设备厂长三个职级</w:t>
            </w:r>
            <w:r/>
          </w:p>
          <w:p w14:paraId="698AF799">
            <w:pPr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720"/>
              </w:tabs>
              <w:spacing w:after="0" w:before="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b/>
                <w:color w:val="000000"/>
                <w:sz w:val="24"/>
              </w:rPr>
              <w:t xml:space="preserve">2.职能查看范围</w:t>
            </w:r>
            <w:r>
              <w:rPr>
                <w:rFonts w:ascii="SimSun" w:hAnsi="SimSun" w:eastAsia="SimSun" w:cs="SimSun"/>
                <w:color w:val="000000"/>
                <w:sz w:val="24"/>
              </w:rPr>
              <w:t xml:space="preserve">：</w:t>
            </w:r>
            <w:r/>
          </w:p>
          <w:p w14:paraId="1AE49A53">
            <w:pPr>
              <w:numPr>
                <w:ilvl w:val="0"/>
                <w:numId w:val="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b/>
                <w:color w:val="000000"/>
                <w:sz w:val="22"/>
              </w:rPr>
              <w:t xml:space="preserve">部长</w:t>
            </w:r>
            <w:r>
              <w:rPr>
                <w:rFonts w:ascii="SimSun" w:hAnsi="SimSun" w:eastAsia="SimSun" w:cs="SimSun"/>
                <w:color w:val="000000"/>
                <w:sz w:val="22"/>
              </w:rPr>
              <w:t xml:space="preserve">：可以查看平台内所有的任务内容</w:t>
            </w:r>
            <w:r/>
          </w:p>
          <w:p w14:paraId="297D2369">
            <w:pPr>
              <w:numPr>
                <w:ilvl w:val="0"/>
                <w:numId w:val="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b/>
                <w:color w:val="000000"/>
                <w:sz w:val="22"/>
              </w:rPr>
              <w:t xml:space="preserve">主任</w:t>
            </w:r>
            <w:r>
              <w:rPr>
                <w:rFonts w:ascii="SimSun" w:hAnsi="SimSun" w:eastAsia="SimSun" w:cs="SimSun"/>
                <w:color w:val="000000"/>
                <w:sz w:val="22"/>
              </w:rPr>
              <w:t xml:space="preserve">：仅能看到所属科室内部的相关任务 </w:t>
            </w:r>
            <w:r/>
          </w:p>
          <w:p w14:paraId="7F290272">
            <w:pPr>
              <w:numPr>
                <w:ilvl w:val="0"/>
                <w:numId w:val="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b/>
                <w:color w:val="000000"/>
                <w:sz w:val="22"/>
              </w:rPr>
              <w:t xml:space="preserve">职员</w:t>
            </w:r>
            <w:r>
              <w:rPr>
                <w:rFonts w:ascii="SimSun" w:hAnsi="SimSun" w:eastAsia="SimSun" w:cs="SimSun"/>
                <w:color w:val="000000"/>
                <w:sz w:val="22"/>
              </w:rPr>
              <w:t xml:space="preserve">：仅能看到自己负责的具体任务</w:t>
            </w:r>
            <w:r/>
          </w:p>
          <w:p w14:paraId="1A031D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/>
            </w:pPr>
            <w:r>
              <w:rPr>
                <w:rFonts w:ascii="SimSun" w:hAnsi="SimSun" w:eastAsia="SimSun" w:cs="SimSun"/>
                <w:color w:val="000000"/>
                <w:sz w:val="24"/>
              </w:rPr>
              <w:t xml:space="preserve"> </w:t>
            </w:r>
            <w:r/>
          </w:p>
          <w:p w14:paraId="2177840A">
            <w:pPr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720"/>
              </w:tabs>
              <w:spacing w:after="0" w:before="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b/>
                <w:color w:val="000000"/>
                <w:sz w:val="22"/>
              </w:rPr>
              <w:t xml:space="preserve">3.特殊角色兼容</w:t>
            </w:r>
            <w:r>
              <w:rPr>
                <w:rFonts w:ascii="SimSun" w:hAnsi="SimSun" w:eastAsia="SimSun" w:cs="SimSun"/>
                <w:color w:val="000000"/>
                <w:sz w:val="22"/>
              </w:rPr>
              <w:t xml:space="preserve">：存在领导同时兼任“室主任”和“部长”的情况，系统需支持同一人行使多重角色的审批权</w:t>
            </w:r>
            <w:r/>
          </w:p>
          <w:p w14:paraId="5D32E7D3">
            <w:pPr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720"/>
              </w:tabs>
              <w:spacing w:after="0" w:before="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b/>
                <w:strike/>
                <w:color w:val="2d54a0"/>
                <w:sz w:val="24"/>
              </w:rPr>
              <w:t xml:space="preserve">方案一：多身份切换</w:t>
            </w:r>
            <w:r/>
          </w:p>
          <w:p w14:paraId="1F7A4536">
            <w:pPr>
              <w:numPr>
                <w:ilvl w:val="0"/>
                <w:numId w:val="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b/>
                <w:strike/>
                <w:color w:val="000000"/>
                <w:sz w:val="22"/>
              </w:rPr>
              <w:t xml:space="preserve">登录时选择：</w:t>
            </w:r>
            <w:r>
              <w:rPr>
                <w:rFonts w:ascii="SimSun" w:hAnsi="SimSun" w:eastAsia="SimSun" w:cs="SimSun"/>
                <w:strike/>
                <w:color w:val="000000"/>
                <w:sz w:val="22"/>
              </w:rPr>
              <w:t xml:space="preserve">若用户拥有多个身份（角色），登录成功后，系统应提供入口，允许用户选择以何种身份进入平台。</w:t>
            </w:r>
            <w:r/>
          </w:p>
          <w:p w14:paraId="7F70E4D6">
            <w:pPr>
              <w:numPr>
                <w:ilvl w:val="0"/>
                <w:numId w:val="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b/>
                <w:strike/>
                <w:color w:val="000000"/>
                <w:sz w:val="22"/>
              </w:rPr>
              <w:t xml:space="preserve">使用中切换：</w:t>
            </w:r>
            <w:r>
              <w:rPr>
                <w:rFonts w:ascii="SimSun" w:hAnsi="SimSun" w:eastAsia="SimSun" w:cs="SimSun"/>
                <w:strike/>
                <w:color w:val="000000"/>
                <w:sz w:val="22"/>
              </w:rPr>
              <w:t xml:space="preserve">用户登录后，可在“用户中心”随时切换至其拥有的其他身份，无需退出重新登录。</w:t>
            </w:r>
            <w:r/>
          </w:p>
          <w:p w14:paraId="0437290C">
            <w:pPr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720"/>
              </w:tabs>
              <w:spacing w:after="0" w:before="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b/>
                <w:strike/>
                <w:color w:val="2d54a0"/>
                <w:sz w:val="24"/>
              </w:rPr>
              <w:t xml:space="preserve">方案二：不同模块展示不同角色数据</w:t>
            </w:r>
            <w:r/>
          </w:p>
          <w:p w14:paraId="0DFA61F2">
            <w:pPr>
              <w:numPr>
                <w:ilvl w:val="0"/>
                <w:numId w:val="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b/>
                <w:strike/>
                <w:color w:val="000000"/>
                <w:sz w:val="24"/>
              </w:rPr>
              <w:t xml:space="preserve">任务中心：</w:t>
            </w:r>
            <w:r>
              <w:rPr>
                <w:rFonts w:ascii="SimSun" w:hAnsi="SimSun" w:eastAsia="SimSun" w:cs="SimSun"/>
                <w:strike/>
                <w:color w:val="000000"/>
                <w:sz w:val="24"/>
              </w:rPr>
              <w:t xml:space="preserve">展示用户担任“部长”角色时的相关数据。</w:t>
            </w:r>
            <w:r/>
          </w:p>
          <w:p w14:paraId="5FCA37C2">
            <w:pPr>
              <w:numPr>
                <w:ilvl w:val="0"/>
                <w:numId w:val="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b/>
                <w:strike/>
                <w:color w:val="000000"/>
                <w:sz w:val="24"/>
              </w:rPr>
              <w:t xml:space="preserve">待办中心：</w:t>
            </w:r>
            <w:r>
              <w:rPr>
                <w:rFonts w:ascii="SimSun" w:hAnsi="SimSun" w:eastAsia="SimSun" w:cs="SimSun"/>
                <w:strike/>
                <w:color w:val="000000"/>
                <w:sz w:val="24"/>
              </w:rPr>
              <w:t xml:space="preserve">展示用户担任“室主任”角色时的相关数据。</w:t>
            </w:r>
            <w:r/>
          </w:p>
          <w:p w14:paraId="3F5267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/>
            </w:pPr>
            <w:r>
              <w:rPr>
                <w:rFonts w:ascii="SimSun" w:hAnsi="SimSun" w:eastAsia="SimSun" w:cs="SimSun"/>
                <w:strike/>
                <w:color w:val="000000"/>
                <w:sz w:val="24"/>
              </w:rPr>
              <w:t xml:space="preserve"> </w:t>
            </w:r>
            <w:r/>
          </w:p>
          <w:p w14:paraId="17A38D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/>
            </w:pPr>
            <w:r>
              <w:rPr>
                <w:rFonts w:ascii="SimSun" w:hAnsi="SimSun" w:eastAsia="SimSun" w:cs="SimSun"/>
                <w:color w:val="000000"/>
                <w:sz w:val="24"/>
              </w:rPr>
              <w:t xml:space="preserve">直接全部在任务中心展示，可以做身份的切换查看</w:t>
            </w:r>
            <w:r/>
          </w:p>
          <w:p w14:paraId="3B4492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/>
            </w:pPr>
            <w:r>
              <w:rPr>
                <w:rFonts w:ascii="SimSun" w:hAnsi="SimSun" w:eastAsia="SimSun" w:cs="SimSun"/>
                <w:strike/>
                <w:color w:val="000000"/>
                <w:sz w:val="24"/>
              </w:rPr>
              <w:t xml:space="preserve"> </w:t>
            </w:r>
            <w:r/>
          </w:p>
          <w:p w14:paraId="46B06AC5">
            <w:pPr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720"/>
              </w:tabs>
              <w:spacing w:after="0" w:before="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b/>
                <w:color w:val="000000"/>
                <w:sz w:val="22"/>
              </w:rPr>
              <w:t xml:space="preserve">4.权限架构设计</w:t>
            </w:r>
            <w:r>
              <w:rPr>
                <w:rFonts w:ascii="SimSun" w:hAnsi="SimSun" w:eastAsia="SimSun" w:cs="SimSun"/>
                <w:color w:val="000000"/>
                <w:sz w:val="22"/>
              </w:rPr>
              <w:t xml:space="preserve">：需确定权限划分方式， 权限应按“职务”还是“角色”划分？</w:t>
            </w:r>
            <w:r/>
          </w:p>
          <w:p w14:paraId="022DC32D">
            <w:pPr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720"/>
              </w:tabs>
              <w:spacing w:after="0" w:before="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b/>
                <w:strike/>
                <w:color w:val="2d54a0"/>
                <w:sz w:val="22"/>
              </w:rPr>
              <w:t xml:space="preserve">职务</w:t>
            </w:r>
            <w:r/>
          </w:p>
          <w:p w14:paraId="2E84CB25">
            <w:pPr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720"/>
              </w:tabs>
              <w:spacing w:after="0" w:before="0" w:line="360" w:lineRule="auto"/>
              <w:ind/>
              <w:jc w:val="both"/>
              <w:rPr/>
            </w:pPr>
            <w:r>
              <w:rPr>
                <w:rFonts w:ascii="SimSun" w:hAnsi="SimSun" w:eastAsia="SimSun" w:cs="SimSun"/>
                <w:b/>
                <w:color w:val="2d54a0"/>
                <w:sz w:val="22"/>
              </w:rPr>
              <w:t xml:space="preserve">按照工作组划分</w:t>
            </w:r>
            <w:r/>
          </w:p>
        </w:tc>
      </w:tr>
    </w:tbl>
    <w:p w14:paraId="3A1A4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f1115"/>
          <w:sz w:val="24"/>
          <w:highlight w:val="none"/>
        </w:rPr>
      </w:r>
      <w:r>
        <w:rPr>
          <w:rFonts w:ascii="Arial" w:hAnsi="Arial" w:eastAsia="Arial" w:cs="Arial"/>
          <w:color w:val="0f1115"/>
          <w:sz w:val="24"/>
          <w:highlight w:val="none"/>
        </w:rPr>
      </w:r>
      <w:r>
        <w:rPr>
          <w:rFonts w:ascii="Arial" w:hAnsi="Arial" w:eastAsia="Arial" w:cs="Arial"/>
          <w:color w:val="0f1115"/>
          <w:sz w:val="24"/>
          <w:highlight w:val="none"/>
        </w:rPr>
      </w:r>
    </w:p>
    <w:p w14:paraId="3CD9308F">
      <w:pPr>
        <w:pBdr/>
        <w:spacing w:after="480" w:before="480" w:line="288" w:lineRule="auto"/>
        <w:ind w:left="0"/>
        <w:rPr/>
      </w:pPr>
      <w:r>
        <w:rPr>
          <w:rFonts w:ascii="Arial" w:hAnsi="Arial" w:eastAsia="等线" w:cs="Arial"/>
          <w:b/>
          <w:sz w:val="52"/>
          <w:highlight w:val="none"/>
        </w:rPr>
      </w:r>
      <w:r>
        <w:rPr>
          <w:rFonts w:ascii="Arial" w:hAnsi="Arial" w:eastAsia="等线" w:cs="Arial"/>
          <w:b/>
          <w:sz w:val="52"/>
          <w:highlight w:val="none"/>
        </w:rPr>
      </w:r>
      <w:r>
        <w:rPr>
          <w:rFonts w:ascii="Arial" w:hAnsi="Arial" w:eastAsia="等线" w:cs="Arial"/>
          <w:b/>
          <w:sz w:val="52"/>
          <w:highlight w:val="none"/>
        </w:rPr>
      </w:r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文档基本信息</w:t>
      </w:r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项目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内容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文档编号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[公司缩写]-BPM-DX-[年份]-[版本</w:t>
            </w:r>
            <w:r>
              <w:rPr>
                <w:rFonts w:ascii="Arial" w:hAnsi="Arial" w:eastAsia="等线" w:cs="Arial"/>
                <w:sz w:val="22"/>
              </w:rPr>
              <w:t xml:space="preserve">号]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版本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V1.0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状态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□ 草案 □ 正式 □</w:t>
            </w:r>
            <w:r>
              <w:rPr>
                <w:rFonts w:ascii="Arial" w:hAnsi="Arial" w:eastAsia="等线" w:cs="Arial"/>
                <w:sz w:val="22"/>
              </w:rPr>
              <w:t xml:space="preserve"> 修订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生效日期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YYYY年MM月DD日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编制部门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[数字化转型办公室/信息中心/战略</w:t>
            </w:r>
            <w:r>
              <w:rPr>
                <w:rFonts w:ascii="Arial" w:hAnsi="Arial" w:eastAsia="等线" w:cs="Arial"/>
                <w:sz w:val="22"/>
              </w:rPr>
              <w:t xml:space="preserve">部]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编制人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[姓名]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审核人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[姓名]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批准人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[姓名]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保密级别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□ 内部公开 □ 机密 □ 绝密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0" w:name="heading_0"/>
      <w:r>
        <w:rPr>
          <w:rFonts w:ascii="Arial" w:hAnsi="Arial" w:eastAsia="等线" w:cs="Arial"/>
          <w:b/>
          <w:sz w:val="32"/>
        </w:rPr>
        <w:t xml:space="preserve">一、前言</w:t>
      </w:r>
      <w:bookmarkEnd w:id="0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" w:name="heading_1"/>
      <w:r>
        <w:rPr>
          <w:rFonts w:ascii="Arial" w:hAnsi="Arial" w:eastAsia="等线" w:cs="Arial"/>
          <w:b/>
          <w:sz w:val="30"/>
        </w:rPr>
        <w:t xml:space="preserve">1.1 编制目的</w:t>
      </w:r>
      <w:bookmarkEnd w:id="1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[明确指南用途，如：规范公司业务流程数字化转型全流程实施，明确目标、路径与责任，确保转型有序推进]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" w:name="heading_2"/>
      <w:r>
        <w:rPr>
          <w:rFonts w:ascii="Arial" w:hAnsi="Arial" w:eastAsia="等线" w:cs="Arial"/>
          <w:b/>
          <w:sz w:val="30"/>
        </w:rPr>
        <w:t xml:space="preserve">1.2 编制背景</w:t>
      </w:r>
      <w:bookmarkEnd w:id="2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[结合公司战略、当前业务痛点，简要说明转型必要性]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3" w:name="heading_3"/>
      <w:r>
        <w:rPr>
          <w:rFonts w:ascii="Arial" w:hAnsi="Arial" w:eastAsia="等线" w:cs="Arial"/>
          <w:b/>
          <w:sz w:val="30"/>
        </w:rPr>
        <w:t xml:space="preserve">1.3 适用范围</w:t>
      </w:r>
      <w:bookmarkEnd w:id="3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[明确适用的业务域、部门、流程范围]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4" w:name="heading_4"/>
      <w:r>
        <w:rPr>
          <w:rFonts w:ascii="Arial" w:hAnsi="Arial" w:eastAsia="等线" w:cs="Arial"/>
          <w:b/>
          <w:sz w:val="32"/>
        </w:rPr>
        <w:t xml:space="preserve">二、术语与缩略语</w:t>
      </w:r>
      <w:bookmarkEnd w:id="4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术语/缩略语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定义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[术语</w:t>
            </w:r>
            <w:r>
              <w:rPr>
                <w:rFonts w:ascii="Arial" w:hAnsi="Arial" w:eastAsia="等线" w:cs="Arial"/>
                <w:sz w:val="22"/>
              </w:rPr>
              <w:t xml:space="preserve">1/缩略语1]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[简要定义]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[术语2/缩略语2]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[简要定义]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5" w:name="heading_5"/>
      <w:r>
        <w:rPr>
          <w:rFonts w:ascii="Arial" w:hAnsi="Arial" w:eastAsia="等线" w:cs="Arial"/>
          <w:b/>
          <w:sz w:val="32"/>
        </w:rPr>
        <w:t xml:space="preserve">三、总体框架与实施原则</w:t>
      </w:r>
      <w:bookmarkEnd w:id="5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6" w:name="heading_6"/>
      <w:r>
        <w:rPr>
          <w:rFonts w:ascii="Arial" w:hAnsi="Arial" w:eastAsia="等线" w:cs="Arial"/>
          <w:b/>
          <w:sz w:val="30"/>
        </w:rPr>
        <w:t xml:space="preserve">3.1 总体框架</w:t>
      </w:r>
      <w:bookmarkEnd w:id="6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[简要说明转型整体框架，如：战略引领—流程重构—技术支撑—组织赋能—数据驱动—持续迭代]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7" w:name="heading_7"/>
      <w:r>
        <w:rPr>
          <w:rFonts w:ascii="Arial" w:hAnsi="Arial" w:eastAsia="等线" w:cs="Arial"/>
          <w:b/>
          <w:sz w:val="30"/>
        </w:rPr>
        <w:t xml:space="preserve">3.2 实施原则</w:t>
      </w:r>
      <w:bookmarkEnd w:id="7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[列出核心原则，如：业务驱动、顶层设计、数据为王、风险可控等，可简要补充]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8" w:name="heading_8"/>
      <w:r>
        <w:rPr>
          <w:rFonts w:ascii="Arial" w:hAnsi="Arial" w:eastAsia="等线" w:cs="Arial"/>
          <w:b/>
          <w:sz w:val="32"/>
        </w:rPr>
        <w:t xml:space="preserve">四、组织保障与职责分工</w:t>
      </w:r>
      <w:bookmarkEnd w:id="8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9" w:name="heading_9"/>
      <w:r>
        <w:rPr>
          <w:rFonts w:ascii="Arial" w:hAnsi="Arial" w:eastAsia="等线" w:cs="Arial"/>
          <w:b/>
          <w:sz w:val="30"/>
        </w:rPr>
        <w:t xml:space="preserve">4.1 转型组织架构</w:t>
      </w:r>
      <w:bookmarkEnd w:id="9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[明确决策层、执行层、保障层核心组织]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0" w:name="heading_10"/>
      <w:r>
        <w:rPr>
          <w:rFonts w:ascii="Arial" w:hAnsi="Arial" w:eastAsia="等线" w:cs="Arial"/>
          <w:b/>
          <w:sz w:val="30"/>
        </w:rPr>
        <w:t xml:space="preserve">4.2 核心职责分工</w:t>
      </w:r>
      <w:bookmarkEnd w:id="10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组织/角色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核心职责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[组织/角色1]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[核心职责]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</w:t>
            </w:r>
            <w:r>
              <w:rPr>
                <w:rFonts w:ascii="Arial" w:hAnsi="Arial" w:eastAsia="等线" w:cs="Arial"/>
                <w:sz w:val="22"/>
              </w:rPr>
              <w:t xml:space="preserve">组织/角色2]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300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[核心职责]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1" w:name="heading_11"/>
      <w:r>
        <w:rPr>
          <w:rFonts w:ascii="Arial" w:hAnsi="Arial" w:eastAsia="等线" w:cs="Arial"/>
          <w:b/>
          <w:sz w:val="32"/>
        </w:rPr>
        <w:t xml:space="preserve">五、实施路径与阶段规划</w:t>
      </w:r>
      <w:bookmarkEnd w:id="11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实施阶段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时间</w:t>
            </w:r>
            <w:r>
              <w:rPr>
                <w:rFonts w:ascii="Arial" w:hAnsi="Arial" w:eastAsia="等线" w:cs="Arial"/>
                <w:sz w:val="22"/>
              </w:rPr>
              <w:t xml:space="preserve">周期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核心目标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关键任务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交付物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1. 调研规划期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[X-X个月]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[明确转型目标与规划]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[现状调研、痛点识别、规划编制]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[调研报告、规划方案]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2. 试点验证期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[X-X个月]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[验证试点可行性与价值</w:t>
            </w:r>
            <w:r>
              <w:rPr>
                <w:rFonts w:ascii="Arial" w:hAnsi="Arial" w:eastAsia="等线" w:cs="Arial"/>
                <w:sz w:val="22"/>
              </w:rPr>
              <w:t xml:space="preserve">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[试点流程设计、系统部署、测试上线]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[试点方案、总结报告]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3. 全面推广期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[X-X个月]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[全流程推广落地]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[标准化推广、系统</w:t>
            </w:r>
            <w:r>
              <w:rPr>
                <w:rFonts w:ascii="Arial" w:hAnsi="Arial" w:eastAsia="等线" w:cs="Arial"/>
                <w:sz w:val="22"/>
              </w:rPr>
              <w:t xml:space="preserve">集成、培训]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[推广手册、上线报告]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4. 优化迭代</w:t>
            </w:r>
            <w:r>
              <w:rPr>
                <w:rFonts w:ascii="Arial" w:hAnsi="Arial" w:eastAsia="等线" w:cs="Arial"/>
                <w:sz w:val="22"/>
              </w:rPr>
              <w:t xml:space="preserve">期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[长期]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[持续提升转型价值]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[效果评估、</w:t>
            </w:r>
            <w:r>
              <w:rPr>
                <w:rFonts w:ascii="Arial" w:hAnsi="Arial" w:eastAsia="等线" w:cs="Arial"/>
                <w:sz w:val="22"/>
              </w:rPr>
              <w:t xml:space="preserve">流程优化、技术升级]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[评估报告、优化方案]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2" w:name="heading_12"/>
      <w:r>
        <w:rPr>
          <w:rFonts w:ascii="Arial" w:hAnsi="Arial" w:eastAsia="等线" w:cs="Arial"/>
          <w:b/>
          <w:sz w:val="32"/>
        </w:rPr>
        <w:t xml:space="preserve">六、核心流程数字化设计</w:t>
      </w:r>
      <w:bookmarkEnd w:id="12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[列出核心业务流程，明确优化方向与设计要点]</w:t>
      </w:r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业务流程名称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优化方向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数字化设计要点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[流程</w:t>
            </w:r>
            <w:r>
              <w:rPr>
                <w:rFonts w:ascii="Arial" w:hAnsi="Arial" w:eastAsia="等线" w:cs="Arial"/>
                <w:sz w:val="22"/>
              </w:rPr>
              <w:t xml:space="preserve">1]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[优化方向]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[设计要点]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[流程2]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[优化方向]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[设计要点]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3" w:name="heading_13"/>
      <w:r>
        <w:rPr>
          <w:rFonts w:ascii="Arial" w:hAnsi="Arial" w:eastAsia="等线" w:cs="Arial"/>
          <w:b/>
          <w:sz w:val="32"/>
        </w:rPr>
        <w:t xml:space="preserve">七、系统选型与集成</w:t>
      </w:r>
      <w:bookmarkEnd w:id="13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7.1 系统选型：[明确选型标准、核心系统清单]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7.2 系统集成：[明确集成目标、核心接口需求]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4" w:name="heading_14"/>
      <w:r>
        <w:rPr>
          <w:rFonts w:ascii="Arial" w:hAnsi="Arial" w:eastAsia="等线" w:cs="Arial"/>
          <w:b/>
          <w:sz w:val="32"/>
        </w:rPr>
        <w:t xml:space="preserve">八、数据治理与安全保障</w:t>
      </w:r>
      <w:bookmarkEnd w:id="14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8.1 数据治理：[数据标准、数据采集、质量管控]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8.2 安全保障：[信息安全、数据合规、风险防控]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5" w:name="heading_15"/>
      <w:r>
        <w:rPr>
          <w:rFonts w:ascii="Arial" w:hAnsi="Arial" w:eastAsia="等线" w:cs="Arial"/>
          <w:b/>
          <w:sz w:val="32"/>
        </w:rPr>
        <w:t xml:space="preserve">九、效果评估与持续优化</w:t>
      </w:r>
      <w:bookmarkEnd w:id="15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9.1 评估指标：[明确核心KPI]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9.2 优化机制：[定期评估、迭代优化流程]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6" w:name="heading_16"/>
      <w:r>
        <w:rPr>
          <w:rFonts w:ascii="Arial" w:hAnsi="Arial" w:eastAsia="等线" w:cs="Arial"/>
          <w:b/>
          <w:sz w:val="32"/>
        </w:rPr>
        <w:t xml:space="preserve">十、风险管理与应急预案</w:t>
      </w:r>
      <w:bookmarkEnd w:id="16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10.1 主要风险：[列出核心风险点]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10.2 应急预案：[对应风险的处置措施]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7" w:name="heading_17"/>
      <w:r>
        <w:rPr>
          <w:rFonts w:ascii="Arial" w:hAnsi="Arial" w:eastAsia="等线" w:cs="Arial"/>
          <w:b/>
          <w:sz w:val="32"/>
        </w:rPr>
        <w:t xml:space="preserve">十一、附录</w:t>
      </w:r>
      <w:bookmarkEnd w:id="17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附录A：[相关表单/模板名称]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附录B：[参考文件/相关标准]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|（注：文档部分内容可能由 AI 生成)</w:t>
      </w:r>
      <w:r/>
    </w:p>
    <w:sectPr>
      <w:headerReference w:type="default" r:id="rId9"/>
      <w:footerReference w:type="default" r:id="rId10"/>
      <w:footnotePr/>
      <w:endnotePr/>
      <w:type w:val="nextPage"/>
      <w:pgSz w:h="16840" w:orient="portrait" w:w="11905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20603020101020101"/>
  </w:font>
  <w:font w:name="等线">
    <w:panose1 w:val="020B0603030804020204"/>
  </w:font>
  <w:font w:name="Courier New">
    <w:panose1 w:val="02070309020205020404"/>
  </w:font>
  <w:font w:name="Wingdings">
    <w:panose1 w:val="05010000000000000000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C5147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395337B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z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>
        <w:sz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>
        <w:sz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z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>
        <w:sz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>
        <w:sz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z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>
        <w:sz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>
        <w:sz w:val="24"/>
      </w:rPr>
      <w:start w:val="1"/>
      <w:suff w:val="tab"/>
    </w:lvl>
  </w:abstractNum>
  <w:abstractNum w:abstractNumId="2">
    <w:nsid w:val="7BFCA56D"/>
    <w:lvl w:ilvl="0">
      <w:isLgl w:val="false"/>
      <w:lvlJc w:val="left"/>
      <w:lvlText w:val="&quot;&quot;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&quot;&quot;"/>
      <w:numFmt w:val="bullet"/>
      <w:pPr>
        <w:pBdr/>
        <w:spacing/>
        <w:ind w:hanging="360" w:left="1440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&quot;&quot;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&quot;&quot;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&quot;&quot;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&quot;&quot;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&quot;&quot;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&quot;&quot;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&quot;&quot;"/>
      <w:numFmt w:val="bullet"/>
      <w:pPr>
        <w:pBdr/>
        <w:spacing/>
        <w:ind w:hanging="360" w:left="6480"/>
      </w:pPr>
      <w:rPr>
        <w:rFonts w:hint="default" w:ascii="Symbol" w:hAnsi="Symbol" w:eastAsia="Symbol" w:cs="Symbol"/>
      </w:rPr>
      <w:start w:val="1"/>
      <w:suff w:val="tab"/>
    </w:lvl>
  </w:abstractNum>
  <w:abstractNum w:abstractNumId="3">
    <w:nsid w:val="32E2A510"/>
    <w:lvl w:ilvl="0">
      <w:isLgl w:val="false"/>
      <w:lvlJc w:val="left"/>
      <w:lvlText w:val="&quot;&quot;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&quot;&quot;"/>
      <w:numFmt w:val="bullet"/>
      <w:pPr>
        <w:pBdr/>
        <w:spacing/>
        <w:ind w:hanging="360" w:left="1440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&quot;&quot;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&quot;&quot;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&quot;&quot;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&quot;&quot;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&quot;&quot;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&quot;&quot;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&quot;&quot;"/>
      <w:numFmt w:val="bullet"/>
      <w:pPr>
        <w:pBdr/>
        <w:spacing/>
        <w:ind w:hanging="360" w:left="6480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nsid w:val="495F62B3"/>
    <w:lvl w:ilvl="0">
      <w:isLgl w:val="false"/>
      <w:lvlJc w:val="left"/>
      <w:lvlText w:val="&quot;&quot;"/>
      <w:numFmt w:val="bullet"/>
      <w:pPr>
        <w:pBdr/>
        <w:spacing/>
        <w:ind w:hanging="420" w:left="420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7B2F0F7"/>
    <w:lvl w:ilvl="0">
      <w:isLgl w:val="false"/>
      <w:lvlJc w:val="left"/>
      <w:lvlText w:val="&quot;&quot;"/>
      <w:numFmt w:val="bullet"/>
      <w:pPr>
        <w:pBdr/>
        <w:spacing/>
        <w:ind w:hanging="420" w:left="420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B53C46B"/>
    <w:lvl w:ilvl="0">
      <w:isLgl w:val="false"/>
      <w:lvlJc w:val="left"/>
      <w:lvlText w:val="&quot;&quot;"/>
      <w:numFmt w:val="bullet"/>
      <w:pPr>
        <w:pBdr/>
        <w:spacing/>
        <w:ind w:hanging="420" w:left="420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3CFE78F"/>
    <w:lvl w:ilvl="0">
      <w:isLgl w:val="false"/>
      <w:lvlJc w:val="left"/>
      <w:lvlText w:val="&quot;&quot;"/>
      <w:numFmt w:val="bullet"/>
      <w:pPr>
        <w:pBdr/>
        <w:spacing/>
        <w:ind w:hanging="420" w:left="420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13B5E10"/>
    <w:lvl w:ilvl="0">
      <w:isLgl w:val="false"/>
      <w:lvlJc w:val="left"/>
      <w:lvlText w:val="&quot;&quot;"/>
      <w:numFmt w:val="bullet"/>
      <w:pPr>
        <w:pBdr/>
        <w:spacing/>
        <w:ind w:hanging="420" w:left="420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"/>
    <w:basedOn w:val="7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Table Grid Light"/>
    <w:basedOn w:val="7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1"/>
    <w:basedOn w:val="7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2"/>
    <w:basedOn w:val="7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1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2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3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4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5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6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1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2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3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4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5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6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1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2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3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4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5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6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8" w:default="1">
    <w:name w:val="Normal"/>
    <w:qFormat/>
    <w:pPr>
      <w:pBdr/>
      <w:spacing/>
      <w:ind/>
    </w:pPr>
  </w:style>
  <w:style w:type="paragraph" w:styleId="849">
    <w:name w:val="Heading 1"/>
    <w:basedOn w:val="848"/>
    <w:next w:val="848"/>
    <w:link w:val="86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0">
    <w:name w:val="Heading 2"/>
    <w:basedOn w:val="848"/>
    <w:next w:val="848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1">
    <w:name w:val="Heading 3"/>
    <w:basedOn w:val="848"/>
    <w:next w:val="848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2">
    <w:name w:val="Heading 4"/>
    <w:basedOn w:val="848"/>
    <w:next w:val="848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3">
    <w:name w:val="Heading 5"/>
    <w:basedOn w:val="848"/>
    <w:next w:val="848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4">
    <w:name w:val="Heading 6"/>
    <w:basedOn w:val="848"/>
    <w:next w:val="848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5">
    <w:name w:val="Heading 7"/>
    <w:basedOn w:val="848"/>
    <w:next w:val="848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6">
    <w:name w:val="Heading 8"/>
    <w:basedOn w:val="848"/>
    <w:next w:val="848"/>
    <w:link w:val="8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7">
    <w:name w:val="Heading 9"/>
    <w:basedOn w:val="848"/>
    <w:next w:val="848"/>
    <w:link w:val="8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8" w:default="1">
    <w:name w:val="Default Paragraph Font"/>
    <w:uiPriority w:val="1"/>
    <w:semiHidden/>
    <w:unhideWhenUsed/>
    <w:pPr>
      <w:pBdr/>
      <w:spacing/>
      <w:ind/>
    </w:pPr>
  </w:style>
  <w:style w:type="numbering" w:styleId="859" w:default="1">
    <w:name w:val="No List"/>
    <w:uiPriority w:val="99"/>
    <w:semiHidden/>
    <w:unhideWhenUsed/>
    <w:pPr>
      <w:pBdr/>
      <w:spacing/>
      <w:ind/>
    </w:pPr>
  </w:style>
  <w:style w:type="character" w:styleId="860">
    <w:name w:val="Heading 1 Char"/>
    <w:basedOn w:val="858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1">
    <w:name w:val="Heading 2 Char"/>
    <w:basedOn w:val="85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2">
    <w:name w:val="Heading 3 Char"/>
    <w:basedOn w:val="858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3">
    <w:name w:val="Heading 4 Char"/>
    <w:basedOn w:val="858"/>
    <w:link w:val="85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4">
    <w:name w:val="Heading 5 Char"/>
    <w:basedOn w:val="858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5">
    <w:name w:val="Heading 6 Char"/>
    <w:basedOn w:val="85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6">
    <w:name w:val="Heading 7 Char"/>
    <w:basedOn w:val="858"/>
    <w:link w:val="8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7">
    <w:name w:val="Heading 8 Char"/>
    <w:basedOn w:val="858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Heading 9 Char"/>
    <w:basedOn w:val="858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Title"/>
    <w:basedOn w:val="848"/>
    <w:next w:val="848"/>
    <w:link w:val="87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0">
    <w:name w:val="Title Char"/>
    <w:basedOn w:val="858"/>
    <w:link w:val="8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1">
    <w:name w:val="Subtitle"/>
    <w:basedOn w:val="848"/>
    <w:next w:val="848"/>
    <w:link w:val="8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Subtitle Char"/>
    <w:basedOn w:val="858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3">
    <w:name w:val="Quote"/>
    <w:basedOn w:val="848"/>
    <w:next w:val="848"/>
    <w:link w:val="8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4">
    <w:name w:val="Quote Char"/>
    <w:basedOn w:val="858"/>
    <w:link w:val="87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5">
    <w:name w:val="List Paragraph"/>
    <w:basedOn w:val="848"/>
    <w:uiPriority w:val="34"/>
    <w:qFormat/>
    <w:pPr>
      <w:pBdr/>
      <w:spacing/>
      <w:ind w:left="720"/>
      <w:contextualSpacing w:val="true"/>
    </w:pPr>
  </w:style>
  <w:style w:type="character" w:styleId="876">
    <w:name w:val="Intense Emphasis"/>
    <w:basedOn w:val="8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7">
    <w:name w:val="Intense Quote"/>
    <w:basedOn w:val="848"/>
    <w:next w:val="848"/>
    <w:link w:val="8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8">
    <w:name w:val="Intense Quote Char"/>
    <w:basedOn w:val="858"/>
    <w:link w:val="8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9">
    <w:name w:val="Intense Reference"/>
    <w:basedOn w:val="8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0">
    <w:name w:val="No Spacing"/>
    <w:basedOn w:val="848"/>
    <w:uiPriority w:val="1"/>
    <w:qFormat/>
    <w:pPr>
      <w:pBdr/>
      <w:spacing w:after="0" w:line="240" w:lineRule="auto"/>
      <w:ind/>
    </w:pPr>
  </w:style>
  <w:style w:type="character" w:styleId="881">
    <w:name w:val="Subtle Emphasis"/>
    <w:basedOn w:val="8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Emphasis"/>
    <w:basedOn w:val="858"/>
    <w:uiPriority w:val="20"/>
    <w:qFormat/>
    <w:pPr>
      <w:pBdr/>
      <w:spacing/>
      <w:ind/>
    </w:pPr>
    <w:rPr>
      <w:i/>
      <w:iCs/>
    </w:rPr>
  </w:style>
  <w:style w:type="character" w:styleId="883">
    <w:name w:val="Strong"/>
    <w:basedOn w:val="858"/>
    <w:uiPriority w:val="22"/>
    <w:qFormat/>
    <w:pPr>
      <w:pBdr/>
      <w:spacing/>
      <w:ind/>
    </w:pPr>
    <w:rPr>
      <w:b/>
      <w:bCs/>
    </w:rPr>
  </w:style>
  <w:style w:type="character" w:styleId="884">
    <w:name w:val="Subtle Reference"/>
    <w:basedOn w:val="8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5">
    <w:name w:val="Book Title"/>
    <w:basedOn w:val="8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6">
    <w:name w:val="Header"/>
    <w:basedOn w:val="848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Header Char"/>
    <w:basedOn w:val="858"/>
    <w:link w:val="886"/>
    <w:uiPriority w:val="99"/>
    <w:pPr>
      <w:pBdr/>
      <w:spacing/>
      <w:ind/>
    </w:pPr>
  </w:style>
  <w:style w:type="paragraph" w:styleId="888">
    <w:name w:val="Footer"/>
    <w:basedOn w:val="848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Footer Char"/>
    <w:basedOn w:val="858"/>
    <w:link w:val="888"/>
    <w:uiPriority w:val="99"/>
    <w:pPr>
      <w:pBdr/>
      <w:spacing/>
      <w:ind/>
    </w:pPr>
  </w:style>
  <w:style w:type="paragraph" w:styleId="890">
    <w:name w:val="Caption"/>
    <w:basedOn w:val="848"/>
    <w:next w:val="84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1">
    <w:name w:val="footnote text"/>
    <w:basedOn w:val="848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Footnote Text Char"/>
    <w:basedOn w:val="858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foot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paragraph" w:styleId="894">
    <w:name w:val="endnote text"/>
    <w:basedOn w:val="848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Endnote Text Char"/>
    <w:basedOn w:val="858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end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character" w:styleId="897">
    <w:name w:val="Hyperlink"/>
    <w:basedOn w:val="85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8">
    <w:name w:val="FollowedHyperlink"/>
    <w:basedOn w:val="8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9">
    <w:name w:val="toc 1"/>
    <w:basedOn w:val="848"/>
    <w:next w:val="848"/>
    <w:uiPriority w:val="39"/>
    <w:unhideWhenUsed/>
    <w:pPr>
      <w:pBdr/>
      <w:spacing w:after="100"/>
      <w:ind/>
    </w:pPr>
  </w:style>
  <w:style w:type="paragraph" w:styleId="900">
    <w:name w:val="toc 2"/>
    <w:basedOn w:val="848"/>
    <w:next w:val="848"/>
    <w:uiPriority w:val="39"/>
    <w:unhideWhenUsed/>
    <w:pPr>
      <w:pBdr/>
      <w:spacing w:after="100"/>
      <w:ind w:left="220"/>
    </w:pPr>
  </w:style>
  <w:style w:type="paragraph" w:styleId="901">
    <w:name w:val="toc 3"/>
    <w:basedOn w:val="848"/>
    <w:next w:val="848"/>
    <w:uiPriority w:val="39"/>
    <w:unhideWhenUsed/>
    <w:pPr>
      <w:pBdr/>
      <w:spacing w:after="100"/>
      <w:ind w:left="440"/>
    </w:pPr>
  </w:style>
  <w:style w:type="paragraph" w:styleId="902">
    <w:name w:val="toc 4"/>
    <w:basedOn w:val="848"/>
    <w:next w:val="848"/>
    <w:uiPriority w:val="39"/>
    <w:unhideWhenUsed/>
    <w:pPr>
      <w:pBdr/>
      <w:spacing w:after="100"/>
      <w:ind w:left="660"/>
    </w:pPr>
  </w:style>
  <w:style w:type="paragraph" w:styleId="903">
    <w:name w:val="toc 5"/>
    <w:basedOn w:val="848"/>
    <w:next w:val="848"/>
    <w:uiPriority w:val="39"/>
    <w:unhideWhenUsed/>
    <w:pPr>
      <w:pBdr/>
      <w:spacing w:after="100"/>
      <w:ind w:left="880"/>
    </w:pPr>
  </w:style>
  <w:style w:type="paragraph" w:styleId="904">
    <w:name w:val="toc 6"/>
    <w:basedOn w:val="848"/>
    <w:next w:val="848"/>
    <w:uiPriority w:val="39"/>
    <w:unhideWhenUsed/>
    <w:pPr>
      <w:pBdr/>
      <w:spacing w:after="100"/>
      <w:ind w:left="1100"/>
    </w:pPr>
  </w:style>
  <w:style w:type="paragraph" w:styleId="905">
    <w:name w:val="toc 7"/>
    <w:basedOn w:val="848"/>
    <w:next w:val="848"/>
    <w:uiPriority w:val="39"/>
    <w:unhideWhenUsed/>
    <w:pPr>
      <w:pBdr/>
      <w:spacing w:after="100"/>
      <w:ind w:left="1320"/>
    </w:pPr>
  </w:style>
  <w:style w:type="paragraph" w:styleId="906">
    <w:name w:val="toc 8"/>
    <w:basedOn w:val="848"/>
    <w:next w:val="848"/>
    <w:uiPriority w:val="39"/>
    <w:unhideWhenUsed/>
    <w:pPr>
      <w:pBdr/>
      <w:spacing w:after="100"/>
      <w:ind w:left="1540"/>
    </w:pPr>
  </w:style>
  <w:style w:type="paragraph" w:styleId="907">
    <w:name w:val="toc 9"/>
    <w:basedOn w:val="848"/>
    <w:next w:val="848"/>
    <w:uiPriority w:val="39"/>
    <w:unhideWhenUsed/>
    <w:pPr>
      <w:pBdr/>
      <w:spacing w:after="100"/>
      <w:ind w:left="1760"/>
    </w:pPr>
  </w:style>
  <w:style w:type="character" w:styleId="908">
    <w:name w:val="Placeholder Text"/>
    <w:basedOn w:val="858"/>
    <w:uiPriority w:val="99"/>
    <w:semiHidden/>
    <w:pPr>
      <w:pBdr/>
      <w:spacing/>
      <w:ind/>
    </w:pPr>
    <w:rPr>
      <w:color w:val="666666"/>
    </w:rPr>
  </w:style>
  <w:style w:type="paragraph" w:styleId="909">
    <w:name w:val="TOC Heading"/>
    <w:uiPriority w:val="39"/>
    <w:unhideWhenUsed/>
    <w:pPr>
      <w:pBdr/>
      <w:spacing/>
      <w:ind/>
    </w:pPr>
  </w:style>
  <w:style w:type="paragraph" w:styleId="910">
    <w:name w:val="table of figures"/>
    <w:basedOn w:val="848"/>
    <w:next w:val="84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张明</cp:lastModifiedBy>
  <cp:revision>4</cp:revision>
  <dcterms:created xsi:type="dcterms:W3CDTF">2026-03-09T07:20:09Z</dcterms:created>
  <dcterms:modified xsi:type="dcterms:W3CDTF">2026-05-06T07:02:46Z</dcterms:modified>
</cp:coreProperties>
</file>