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AED88" w14:textId="396A6C4D" w:rsidR="00034761" w:rsidRPr="00B3064D" w:rsidRDefault="00000000" w:rsidP="00B3064D">
      <w:pPr>
        <w:spacing w:after="120" w:line="276" w:lineRule="auto"/>
        <w:jc w:val="center"/>
        <w:rPr>
          <w:b/>
          <w:bCs/>
          <w:sz w:val="24"/>
          <w:szCs w:val="24"/>
          <w:lang w:val="en-US"/>
        </w:rPr>
      </w:pPr>
      <w:r w:rsidRPr="00B3064D">
        <w:rPr>
          <w:b/>
          <w:bCs/>
          <w:sz w:val="24"/>
          <w:szCs w:val="24"/>
          <w:lang w:val="en-US"/>
        </w:rPr>
        <w:t xml:space="preserve">New insights into the mechanism of action of </w:t>
      </w:r>
      <w:r w:rsidR="002E4C0B">
        <w:rPr>
          <w:b/>
          <w:bCs/>
          <w:sz w:val="24"/>
          <w:szCs w:val="24"/>
          <w:lang w:val="en-US"/>
        </w:rPr>
        <w:t>Trofinetide</w:t>
      </w:r>
      <w:r w:rsidRPr="00B3064D">
        <w:rPr>
          <w:b/>
          <w:bCs/>
          <w:sz w:val="24"/>
          <w:szCs w:val="24"/>
          <w:lang w:val="en-US"/>
        </w:rPr>
        <w:t>: An exploratory in silico study</w:t>
      </w:r>
      <w:r w:rsidR="006C7CE9">
        <w:rPr>
          <w:b/>
          <w:bCs/>
          <w:sz w:val="24"/>
          <w:szCs w:val="24"/>
          <w:lang w:val="en-US"/>
        </w:rPr>
        <w:t>.</w:t>
      </w:r>
    </w:p>
    <w:p w14:paraId="10773E25" w14:textId="7959752E" w:rsidR="00034761" w:rsidRDefault="00B3064D" w:rsidP="00B3064D">
      <w:pPr>
        <w:spacing w:after="120" w:line="276" w:lineRule="auto"/>
        <w:rPr>
          <w:b/>
          <w:bCs/>
          <w:sz w:val="24"/>
          <w:szCs w:val="24"/>
        </w:rPr>
      </w:pPr>
      <w:r w:rsidRPr="00B3064D">
        <w:rPr>
          <w:b/>
          <w:bCs/>
          <w:sz w:val="24"/>
          <w:szCs w:val="24"/>
        </w:rPr>
        <w:t>Luis Felipe Hernández Ayala,</w:t>
      </w:r>
      <w:r w:rsidR="00BF5F7A">
        <w:rPr>
          <w:b/>
          <w:bCs/>
          <w:sz w:val="24"/>
          <w:szCs w:val="24"/>
        </w:rPr>
        <w:t xml:space="preserve"> Gabriel Eduardo López Guzmán,</w:t>
      </w:r>
      <w:r w:rsidRPr="00B3064D">
        <w:rPr>
          <w:b/>
          <w:bCs/>
          <w:sz w:val="24"/>
          <w:szCs w:val="24"/>
        </w:rPr>
        <w:t xml:space="preserve"> A</w:t>
      </w:r>
      <w:r>
        <w:rPr>
          <w:b/>
          <w:bCs/>
          <w:sz w:val="24"/>
          <w:szCs w:val="24"/>
        </w:rPr>
        <w:t>nnia Galano</w:t>
      </w:r>
    </w:p>
    <w:p w14:paraId="22D10810" w14:textId="77777777" w:rsidR="00201215" w:rsidRPr="00BF5F7A" w:rsidRDefault="00201215" w:rsidP="00B3064D">
      <w:pPr>
        <w:spacing w:after="120" w:line="276" w:lineRule="auto"/>
        <w:rPr>
          <w:sz w:val="24"/>
          <w:szCs w:val="24"/>
        </w:rPr>
      </w:pPr>
    </w:p>
    <w:p w14:paraId="54663E32" w14:textId="34F1297A" w:rsidR="00B3064D" w:rsidRPr="00C4487C" w:rsidRDefault="00B3064D" w:rsidP="00B3064D">
      <w:pPr>
        <w:spacing w:after="120" w:line="276" w:lineRule="auto"/>
        <w:rPr>
          <w:b/>
          <w:bCs/>
          <w:sz w:val="24"/>
          <w:szCs w:val="24"/>
          <w:lang w:val="en-US"/>
        </w:rPr>
      </w:pPr>
      <w:r w:rsidRPr="00C4487C">
        <w:rPr>
          <w:b/>
          <w:bCs/>
          <w:sz w:val="24"/>
          <w:szCs w:val="24"/>
          <w:lang w:val="en-US"/>
        </w:rPr>
        <w:t>Abstract</w:t>
      </w:r>
    </w:p>
    <w:p w14:paraId="214A1616" w14:textId="77777777" w:rsidR="00B3064D" w:rsidRPr="00C4487C" w:rsidRDefault="00B3064D" w:rsidP="00B3064D">
      <w:pPr>
        <w:spacing w:after="120" w:line="276" w:lineRule="auto"/>
        <w:rPr>
          <w:sz w:val="24"/>
          <w:szCs w:val="24"/>
          <w:lang w:val="en-US"/>
        </w:rPr>
      </w:pPr>
    </w:p>
    <w:p w14:paraId="473A061E" w14:textId="77777777" w:rsidR="00B3064D" w:rsidRPr="00C4487C" w:rsidRDefault="00B3064D" w:rsidP="00B3064D">
      <w:pPr>
        <w:spacing w:after="120" w:line="276" w:lineRule="auto"/>
        <w:rPr>
          <w:sz w:val="24"/>
          <w:szCs w:val="24"/>
          <w:lang w:val="en-US"/>
        </w:rPr>
      </w:pPr>
    </w:p>
    <w:p w14:paraId="09C995F4" w14:textId="39B1FC79" w:rsidR="00B3064D" w:rsidRPr="00B3064D" w:rsidRDefault="00B3064D" w:rsidP="00B3064D">
      <w:pPr>
        <w:spacing w:after="120" w:line="276" w:lineRule="auto"/>
        <w:rPr>
          <w:b/>
          <w:bCs/>
          <w:sz w:val="24"/>
          <w:szCs w:val="24"/>
          <w:lang w:val="en-US"/>
        </w:rPr>
      </w:pPr>
      <w:r w:rsidRPr="00B3064D">
        <w:rPr>
          <w:b/>
          <w:bCs/>
          <w:sz w:val="24"/>
          <w:szCs w:val="24"/>
          <w:lang w:val="en-US"/>
        </w:rPr>
        <w:t>Keywords:</w:t>
      </w:r>
    </w:p>
    <w:p w14:paraId="3F52200A" w14:textId="77777777" w:rsidR="00B3064D" w:rsidRDefault="00B3064D" w:rsidP="00B3064D">
      <w:pPr>
        <w:spacing w:after="120" w:line="276" w:lineRule="auto"/>
        <w:rPr>
          <w:sz w:val="24"/>
          <w:szCs w:val="24"/>
          <w:lang w:val="en-US"/>
        </w:rPr>
      </w:pPr>
    </w:p>
    <w:p w14:paraId="4BCE4FCC" w14:textId="77777777" w:rsidR="00B3064D" w:rsidRDefault="00B3064D" w:rsidP="00B3064D">
      <w:pPr>
        <w:spacing w:after="120" w:line="276" w:lineRule="auto"/>
        <w:rPr>
          <w:sz w:val="24"/>
          <w:szCs w:val="24"/>
          <w:lang w:val="en-US"/>
        </w:rPr>
      </w:pPr>
    </w:p>
    <w:p w14:paraId="127630A3" w14:textId="18097ECC" w:rsidR="00B3064D" w:rsidRPr="00B3064D" w:rsidRDefault="00B3064D" w:rsidP="00B3064D">
      <w:pPr>
        <w:spacing w:after="120" w:line="276" w:lineRule="auto"/>
        <w:rPr>
          <w:b/>
          <w:bCs/>
          <w:sz w:val="24"/>
          <w:szCs w:val="24"/>
          <w:lang w:val="en-US"/>
        </w:rPr>
      </w:pPr>
      <w:r w:rsidRPr="00B3064D">
        <w:rPr>
          <w:b/>
          <w:bCs/>
          <w:sz w:val="24"/>
          <w:szCs w:val="24"/>
          <w:lang w:val="en-US"/>
        </w:rPr>
        <w:t xml:space="preserve">Introduction </w:t>
      </w:r>
    </w:p>
    <w:p w14:paraId="4997CCB6" w14:textId="53A2A2BD" w:rsidR="00034761" w:rsidRPr="00B3064D" w:rsidRDefault="00000000" w:rsidP="00B3064D">
      <w:pPr>
        <w:spacing w:after="120" w:line="276" w:lineRule="auto"/>
        <w:rPr>
          <w:sz w:val="24"/>
          <w:szCs w:val="24"/>
          <w:lang w:val="en-US"/>
        </w:rPr>
      </w:pPr>
      <w:r w:rsidRPr="00B3064D">
        <w:rPr>
          <w:sz w:val="24"/>
          <w:szCs w:val="24"/>
          <w:lang w:val="en-US"/>
        </w:rPr>
        <w:t>Rett syndrome (RTT) is a rare and complex genetic neurodevelopmental disorder that primarily affects girls, with an estimated prevalence of 1 in 10,000 to 15,000 live births [1]. It is characterized by a period of apparently normal development, followed by a progressive regression of motor, social, and communication skills. Critical symptoms of the disease include the loss of voluntary use of the hands and the appearance of repetitive movements, gait disturbances, severe cognitive impairment, respiratory irregularities, seizures, dysautonomia, and metabolic alterations such as dyslipidemia, insulin resistance, or mitochondrial dysfunction [2–4]. These manifestations reflect a multisystemic affectation that impacts both the central nervous system as well as the endocrine and bioenergetic systems. The course of the disease leads to a progressive deterioration that compromises the quality of life of patients, who require permanent medical attention and specialized care [5].  Although life expectancy can extend into adulthood, it varies depending on the phenotype, severity of symptoms, and quality of medical management [6].</w:t>
      </w:r>
    </w:p>
    <w:p w14:paraId="5F952F97" w14:textId="77777777" w:rsidR="00034761" w:rsidRPr="00B3064D" w:rsidRDefault="00000000" w:rsidP="00B3064D">
      <w:pPr>
        <w:spacing w:after="120" w:line="276" w:lineRule="auto"/>
        <w:rPr>
          <w:sz w:val="24"/>
          <w:szCs w:val="24"/>
          <w:lang w:val="en-US"/>
        </w:rPr>
      </w:pPr>
      <w:r w:rsidRPr="00B3064D">
        <w:rPr>
          <w:sz w:val="24"/>
          <w:szCs w:val="24"/>
          <w:lang w:val="en-US"/>
        </w:rPr>
        <w:t>The main cause of RTT is the presence of mutations in the MECP2 gene, located on the X chromosome, which encodes the methyl CpG-binding protein 2, a transcription regulator essential for neuronal maturation and synaptic plasticity [7]. There are also atypical variants of the syndrome that occur less frequently and are due to mutations in the CDKL5 or FOXG1 genes [8]. The disease usually appears between 6 and 18 months of age and causes lifelong disability, with no curative treatment currently available. Since in its early stages, symptoms can be confused with disorders such as autism, early diagnosis represents a major clinical challenge.</w:t>
      </w:r>
    </w:p>
    <w:p w14:paraId="794FAD03" w14:textId="33FB854B" w:rsidR="00034761" w:rsidRPr="00B3064D" w:rsidRDefault="00000000" w:rsidP="00B3064D">
      <w:pPr>
        <w:spacing w:after="120" w:line="276" w:lineRule="auto"/>
        <w:rPr>
          <w:sz w:val="24"/>
          <w:szCs w:val="24"/>
          <w:lang w:val="en-US"/>
        </w:rPr>
      </w:pPr>
      <w:r w:rsidRPr="00B3064D">
        <w:rPr>
          <w:sz w:val="24"/>
          <w:szCs w:val="24"/>
          <w:lang w:val="en-US"/>
        </w:rPr>
        <w:t xml:space="preserve">Until recently, the therapeutic approach to RTT was limited to disease control through the use of drugs and physical, occupational, and speech therapies. These actions are primarily aimed at mitigating the most disabling clinical manifestations, such as motor disorders, epileptic seizures, respiratory, digestive, and autonomic disorders, as well as behavioral </w:t>
      </w:r>
      <w:r w:rsidRPr="00B3064D">
        <w:rPr>
          <w:sz w:val="24"/>
          <w:szCs w:val="24"/>
          <w:lang w:val="en-US"/>
        </w:rPr>
        <w:lastRenderedPageBreak/>
        <w:t>problems. In this context, the use of anticonvulsants, anxiolytics, serotonergic modulators, beta-blockers, as well as interdisciplinary functional support strategies, is common [</w:t>
      </w:r>
      <w:r w:rsidR="00773332">
        <w:rPr>
          <w:sz w:val="24"/>
          <w:szCs w:val="24"/>
          <w:lang w:val="en-US"/>
        </w:rPr>
        <w:t>1</w:t>
      </w:r>
      <w:r w:rsidRPr="00B3064D">
        <w:rPr>
          <w:sz w:val="24"/>
          <w:szCs w:val="24"/>
          <w:lang w:val="en-US"/>
        </w:rPr>
        <w:t xml:space="preserve">]. </w:t>
      </w:r>
    </w:p>
    <w:p w14:paraId="00AD4148" w14:textId="1DD0BA27" w:rsidR="00034761" w:rsidRPr="00B3064D" w:rsidRDefault="00000000" w:rsidP="00B3064D">
      <w:pPr>
        <w:spacing w:after="120" w:line="276" w:lineRule="auto"/>
        <w:rPr>
          <w:sz w:val="24"/>
          <w:szCs w:val="24"/>
          <w:lang w:val="en-US"/>
        </w:rPr>
      </w:pPr>
      <w:r w:rsidRPr="00B3064D">
        <w:rPr>
          <w:sz w:val="24"/>
          <w:szCs w:val="24"/>
          <w:lang w:val="en-US"/>
        </w:rPr>
        <w:t xml:space="preserve">In 2023, the FDA approved the drug </w:t>
      </w:r>
      <w:r w:rsidR="002E4C0B">
        <w:rPr>
          <w:sz w:val="24"/>
          <w:szCs w:val="24"/>
          <w:lang w:val="en-US"/>
        </w:rPr>
        <w:t>Trofinetide</w:t>
      </w:r>
      <w:r w:rsidRPr="00B3064D">
        <w:rPr>
          <w:sz w:val="24"/>
          <w:szCs w:val="24"/>
          <w:lang w:val="en-US"/>
        </w:rPr>
        <w:t>, marking a milestone by becoming the first targeted therapy for this disease [</w:t>
      </w:r>
      <w:r w:rsidR="00773332">
        <w:rPr>
          <w:sz w:val="24"/>
          <w:szCs w:val="24"/>
          <w:lang w:val="en-US"/>
        </w:rPr>
        <w:t>9</w:t>
      </w:r>
      <w:r w:rsidRPr="00B3064D">
        <w:rPr>
          <w:sz w:val="24"/>
          <w:szCs w:val="24"/>
          <w:lang w:val="en-US"/>
        </w:rPr>
        <w:t xml:space="preserve">]. </w:t>
      </w:r>
      <w:r w:rsidR="002E4C0B">
        <w:rPr>
          <w:sz w:val="24"/>
          <w:szCs w:val="24"/>
          <w:lang w:val="en-US"/>
        </w:rPr>
        <w:t>Trofinetide</w:t>
      </w:r>
      <w:r w:rsidRPr="00B3064D">
        <w:rPr>
          <w:sz w:val="24"/>
          <w:szCs w:val="24"/>
          <w:lang w:val="en-US"/>
        </w:rPr>
        <w:t xml:space="preserve"> is a</w:t>
      </w:r>
      <w:r w:rsidR="002053D6">
        <w:rPr>
          <w:sz w:val="24"/>
          <w:szCs w:val="24"/>
          <w:lang w:val="en-US"/>
        </w:rPr>
        <w:t>n analogous of Glypromate (Glycine-Proline-Glutamic Acid or simply GPE)</w:t>
      </w:r>
      <w:r w:rsidRPr="00B3064D">
        <w:rPr>
          <w:sz w:val="24"/>
          <w:szCs w:val="24"/>
          <w:lang w:val="en-US"/>
        </w:rPr>
        <w:t xml:space="preserve"> peptide derived from the N-terminus of insulin-like growth factor 1 (IGF-1) and was designed to cross the blood-brain barrier and partially restore impaired neuronal functions in patients with MECP2 deficiency. Clinical trial results have shown that its administration produces significant improvements in some symptoms of the disease, such as non-verbal communication, social interaction, breathing pattern, sleep, and reduction of stereotyped movements [1</w:t>
      </w:r>
      <w:r w:rsidR="00773332">
        <w:rPr>
          <w:sz w:val="24"/>
          <w:szCs w:val="24"/>
          <w:lang w:val="en-US"/>
        </w:rPr>
        <w:t>0</w:t>
      </w:r>
      <w:r w:rsidRPr="00B3064D">
        <w:rPr>
          <w:sz w:val="24"/>
          <w:szCs w:val="24"/>
          <w:lang w:val="en-US"/>
        </w:rPr>
        <w:t>]. However, its use is frequently associated with side effects, particularly diarrhea, decreased appetite, vomiting, and weight loss, which may require dose adjustment or discontinuation of treatment in severe cases [1</w:t>
      </w:r>
      <w:r w:rsidR="00773332">
        <w:rPr>
          <w:sz w:val="24"/>
          <w:szCs w:val="24"/>
          <w:lang w:val="en-US"/>
        </w:rPr>
        <w:t>1</w:t>
      </w:r>
      <w:r w:rsidRPr="00B3064D">
        <w:rPr>
          <w:sz w:val="24"/>
          <w:szCs w:val="24"/>
          <w:lang w:val="en-US"/>
        </w:rPr>
        <w:t>].</w:t>
      </w:r>
    </w:p>
    <w:p w14:paraId="11AE1DEF" w14:textId="2F9D56E0" w:rsidR="00034761" w:rsidRPr="00B3064D" w:rsidRDefault="00000000" w:rsidP="00B3064D">
      <w:pPr>
        <w:spacing w:after="120" w:line="276" w:lineRule="auto"/>
        <w:rPr>
          <w:sz w:val="24"/>
          <w:szCs w:val="24"/>
          <w:lang w:val="en-US"/>
        </w:rPr>
      </w:pPr>
      <w:r w:rsidRPr="00B3064D">
        <w:rPr>
          <w:sz w:val="24"/>
          <w:szCs w:val="24"/>
          <w:lang w:val="en-US"/>
        </w:rPr>
        <w:t xml:space="preserve">Although no information has been reported that allows a precise elucidation of the mechanism of action of </w:t>
      </w:r>
      <w:r w:rsidR="002E4C0B">
        <w:rPr>
          <w:sz w:val="24"/>
          <w:szCs w:val="24"/>
          <w:lang w:val="en-US"/>
        </w:rPr>
        <w:t>Trofinetide</w:t>
      </w:r>
      <w:r w:rsidRPr="00B3064D">
        <w:rPr>
          <w:sz w:val="24"/>
          <w:szCs w:val="24"/>
          <w:lang w:val="en-US"/>
        </w:rPr>
        <w:t>, available preclinical and clinical studies suggest that it modulates different convergent processes in RTT. It is known that the administration of the drug promotes the reduction of neuroinflammation, the activation of microglia, the formation of new neuronal connections and the restoration of dendritic structure [1</w:t>
      </w:r>
      <w:r w:rsidR="00773332">
        <w:rPr>
          <w:sz w:val="24"/>
          <w:szCs w:val="24"/>
          <w:lang w:val="en-US"/>
        </w:rPr>
        <w:t>2</w:t>
      </w:r>
      <w:r w:rsidRPr="00B3064D">
        <w:rPr>
          <w:sz w:val="24"/>
          <w:szCs w:val="24"/>
          <w:lang w:val="en-US"/>
        </w:rPr>
        <w:t>,1</w:t>
      </w:r>
      <w:r w:rsidR="00773332">
        <w:rPr>
          <w:sz w:val="24"/>
          <w:szCs w:val="24"/>
          <w:lang w:val="en-US"/>
        </w:rPr>
        <w:t>3</w:t>
      </w:r>
      <w:r w:rsidRPr="00B3064D">
        <w:rPr>
          <w:sz w:val="24"/>
          <w:szCs w:val="24"/>
          <w:lang w:val="en-US"/>
        </w:rPr>
        <w:t>]. These effects could be related to the signaling pathways regulated by IGF-1, although a specific molecular target that explains its action has not been identified [</w:t>
      </w:r>
      <w:r w:rsidR="008260EF">
        <w:rPr>
          <w:sz w:val="24"/>
          <w:szCs w:val="24"/>
          <w:lang w:val="en-US"/>
        </w:rPr>
        <w:t>10</w:t>
      </w:r>
      <w:r w:rsidRPr="00B3064D">
        <w:rPr>
          <w:sz w:val="24"/>
          <w:szCs w:val="24"/>
          <w:lang w:val="en-US"/>
        </w:rPr>
        <w:t>].</w:t>
      </w:r>
    </w:p>
    <w:p w14:paraId="5FBF04D5" w14:textId="0CFCBF63" w:rsidR="00034761" w:rsidRPr="00626913" w:rsidRDefault="004126D5" w:rsidP="00FD6679">
      <w:pPr>
        <w:spacing w:after="120" w:line="276" w:lineRule="auto"/>
        <w:rPr>
          <w:sz w:val="24"/>
          <w:szCs w:val="24"/>
          <w:lang w:val="en-US"/>
        </w:rPr>
      </w:pPr>
      <w:r w:rsidRPr="004126D5">
        <w:rPr>
          <w:sz w:val="24"/>
          <w:szCs w:val="24"/>
          <w:lang w:val="en-US"/>
        </w:rPr>
        <w:t xml:space="preserve">The present study aims to explore, using structure-based computational tools, the potential interactions of </w:t>
      </w:r>
      <w:r w:rsidR="002E4C0B">
        <w:rPr>
          <w:sz w:val="24"/>
          <w:szCs w:val="24"/>
          <w:lang w:val="en-US"/>
        </w:rPr>
        <w:t>Trofinetide</w:t>
      </w:r>
      <w:r w:rsidRPr="004126D5">
        <w:rPr>
          <w:sz w:val="24"/>
          <w:szCs w:val="24"/>
          <w:lang w:val="en-US"/>
        </w:rPr>
        <w:t xml:space="preserve"> with a set of proteins relevant to the pathophysiology of Rett syndrome, to generate mechanistic hypotheses about its multitarget mode of action. A systematic approach is proposed that analyzes the coupling of </w:t>
      </w:r>
      <w:r w:rsidR="002E4C0B">
        <w:rPr>
          <w:sz w:val="24"/>
          <w:szCs w:val="24"/>
          <w:lang w:val="en-US"/>
        </w:rPr>
        <w:t>Trofinetide</w:t>
      </w:r>
      <w:r w:rsidRPr="004126D5">
        <w:rPr>
          <w:sz w:val="24"/>
          <w:szCs w:val="24"/>
          <w:lang w:val="en-US"/>
        </w:rPr>
        <w:t xml:space="preserve"> with proteins classified into four functional groups</w:t>
      </w:r>
      <w:r w:rsidR="00FD6679">
        <w:rPr>
          <w:sz w:val="24"/>
          <w:szCs w:val="24"/>
          <w:lang w:val="en-US"/>
        </w:rPr>
        <w:t>: i) Neurotransmission, ii) Cellular metabolism, iii) Neuroinflammation and oxidative stress (OS) and iv) Drug metabolism</w:t>
      </w:r>
      <w:r>
        <w:rPr>
          <w:sz w:val="24"/>
          <w:szCs w:val="24"/>
          <w:lang w:val="en-US"/>
        </w:rPr>
        <w:t>.</w:t>
      </w:r>
      <w:r w:rsidR="00626913">
        <w:rPr>
          <w:sz w:val="24"/>
          <w:szCs w:val="24"/>
          <w:lang w:val="en-US"/>
        </w:rPr>
        <w:t xml:space="preserve"> </w:t>
      </w:r>
    </w:p>
    <w:p w14:paraId="380E1AD2" w14:textId="43487935" w:rsidR="004126D5" w:rsidRDefault="004820F9" w:rsidP="00B3064D">
      <w:pPr>
        <w:spacing w:after="120" w:line="276" w:lineRule="auto"/>
        <w:rPr>
          <w:sz w:val="24"/>
          <w:szCs w:val="24"/>
          <w:lang w:val="en-US"/>
        </w:rPr>
      </w:pPr>
      <w:r w:rsidRPr="004820F9">
        <w:rPr>
          <w:sz w:val="24"/>
          <w:szCs w:val="24"/>
          <w:lang w:val="en-US"/>
        </w:rPr>
        <w:t xml:space="preserve">Each system will be analyzed by comparison with reference ligands (endogenous substrates or recognized modulators) as functional comparators. Affinity, steric complementarity, and binding site similarity metrics will be used to assess the plausibility of a relevant direct interaction, as well as to validate the specificity of the computational protocol. This approach will allow for the validation of the appropriateness of the docking protocol, the identification of targets with potential functional relevance, and the formulation of new hypotheses regarding the molecular mechanism of action of </w:t>
      </w:r>
      <w:r w:rsidR="003151F5">
        <w:rPr>
          <w:sz w:val="24"/>
          <w:szCs w:val="24"/>
          <w:lang w:val="en-US"/>
        </w:rPr>
        <w:t>T</w:t>
      </w:r>
      <w:r w:rsidRPr="004820F9">
        <w:rPr>
          <w:sz w:val="24"/>
          <w:szCs w:val="24"/>
          <w:lang w:val="en-US"/>
        </w:rPr>
        <w:t>rofinetide, in order to guide future experimental validations and computational drug design for RTT disease.</w:t>
      </w:r>
    </w:p>
    <w:p w14:paraId="6AF43938" w14:textId="77777777" w:rsidR="004126D5" w:rsidRPr="00B3064D" w:rsidRDefault="004126D5" w:rsidP="00B3064D">
      <w:pPr>
        <w:spacing w:after="120" w:line="276" w:lineRule="auto"/>
        <w:rPr>
          <w:sz w:val="24"/>
          <w:szCs w:val="24"/>
          <w:lang w:val="en-US"/>
        </w:rPr>
      </w:pPr>
    </w:p>
    <w:p w14:paraId="3E294EC3" w14:textId="4F3F50A5" w:rsidR="00034761" w:rsidRPr="00B3064D" w:rsidRDefault="00B3064D" w:rsidP="00B3064D">
      <w:pPr>
        <w:spacing w:after="120" w:line="276" w:lineRule="auto"/>
        <w:rPr>
          <w:b/>
          <w:bCs/>
          <w:sz w:val="24"/>
          <w:szCs w:val="24"/>
          <w:lang w:val="en-US"/>
        </w:rPr>
      </w:pPr>
      <w:r w:rsidRPr="00B3064D">
        <w:rPr>
          <w:b/>
          <w:bCs/>
          <w:sz w:val="24"/>
          <w:szCs w:val="24"/>
          <w:lang w:val="en-US"/>
        </w:rPr>
        <w:t>Methodology</w:t>
      </w:r>
    </w:p>
    <w:p w14:paraId="7D301D79" w14:textId="77777777" w:rsidR="00DE2810" w:rsidRPr="007C3522" w:rsidRDefault="00DE2810" w:rsidP="00DE2810">
      <w:pPr>
        <w:spacing w:after="120" w:line="276" w:lineRule="auto"/>
        <w:rPr>
          <w:i/>
          <w:iCs/>
          <w:sz w:val="24"/>
          <w:szCs w:val="24"/>
          <w:lang w:val="en-US"/>
        </w:rPr>
      </w:pPr>
      <w:r w:rsidRPr="007C3522">
        <w:rPr>
          <w:i/>
          <w:iCs/>
          <w:sz w:val="24"/>
          <w:szCs w:val="24"/>
          <w:lang w:val="en-US"/>
        </w:rPr>
        <w:t>Target election</w:t>
      </w:r>
    </w:p>
    <w:p w14:paraId="39E79E7F" w14:textId="77777777" w:rsidR="00DE2810" w:rsidRPr="00DE2810" w:rsidRDefault="00DE2810" w:rsidP="00DE2810">
      <w:pPr>
        <w:spacing w:after="120" w:line="276" w:lineRule="auto"/>
        <w:rPr>
          <w:sz w:val="24"/>
          <w:szCs w:val="24"/>
          <w:lang w:val="en-US"/>
        </w:rPr>
      </w:pPr>
      <w:r w:rsidRPr="00DE2810">
        <w:rPr>
          <w:sz w:val="24"/>
          <w:szCs w:val="24"/>
          <w:lang w:val="en-US"/>
        </w:rPr>
        <w:lastRenderedPageBreak/>
        <w:t xml:space="preserve">A combination of database searching, target prediction, and literature review was used to select potential therapeutic receptors and estimate the pharmacological efficiency of the designed compounds against RTT. </w:t>
      </w:r>
    </w:p>
    <w:p w14:paraId="5EF98C1F" w14:textId="61656302" w:rsidR="00DE2810" w:rsidRDefault="00DE2810" w:rsidP="00DE2810">
      <w:pPr>
        <w:spacing w:after="120" w:line="276" w:lineRule="auto"/>
        <w:rPr>
          <w:sz w:val="24"/>
          <w:szCs w:val="24"/>
          <w:lang w:val="en-US"/>
        </w:rPr>
      </w:pPr>
      <w:r w:rsidRPr="00DE2810">
        <w:rPr>
          <w:sz w:val="24"/>
          <w:szCs w:val="24"/>
          <w:lang w:val="en-US"/>
        </w:rPr>
        <w:t xml:space="preserve">DrugBank </w:t>
      </w:r>
      <w:r>
        <w:rPr>
          <w:sz w:val="24"/>
          <w:szCs w:val="24"/>
          <w:lang w:val="en-US"/>
        </w:rPr>
        <w:t xml:space="preserve">and </w:t>
      </w:r>
      <w:r w:rsidRPr="00DE2810">
        <w:rPr>
          <w:sz w:val="24"/>
          <w:szCs w:val="24"/>
          <w:lang w:val="en-US"/>
        </w:rPr>
        <w:t>ChEMBL databases [</w:t>
      </w:r>
      <w:r>
        <w:rPr>
          <w:sz w:val="24"/>
          <w:szCs w:val="24"/>
          <w:lang w:val="en-US"/>
        </w:rPr>
        <w:t>2</w:t>
      </w:r>
      <w:r w:rsidR="007C3522">
        <w:rPr>
          <w:sz w:val="24"/>
          <w:szCs w:val="24"/>
          <w:lang w:val="en-US"/>
        </w:rPr>
        <w:t>5</w:t>
      </w:r>
      <w:r w:rsidRPr="00DE2810">
        <w:rPr>
          <w:sz w:val="24"/>
          <w:szCs w:val="24"/>
          <w:lang w:val="en-US"/>
        </w:rPr>
        <w:t>,</w:t>
      </w:r>
      <w:r>
        <w:rPr>
          <w:sz w:val="24"/>
          <w:szCs w:val="24"/>
          <w:lang w:val="en-US"/>
        </w:rPr>
        <w:t>2</w:t>
      </w:r>
      <w:r w:rsidR="007C3522">
        <w:rPr>
          <w:sz w:val="24"/>
          <w:szCs w:val="24"/>
          <w:lang w:val="en-US"/>
        </w:rPr>
        <w:t>6</w:t>
      </w:r>
      <w:r w:rsidRPr="00DE2810">
        <w:rPr>
          <w:sz w:val="24"/>
          <w:szCs w:val="24"/>
          <w:lang w:val="en-US"/>
        </w:rPr>
        <w:t>] were used to search for information about the Trofinetide mechanism of action</w:t>
      </w:r>
      <w:r>
        <w:rPr>
          <w:sz w:val="24"/>
          <w:szCs w:val="24"/>
          <w:lang w:val="en-US"/>
        </w:rPr>
        <w:t xml:space="preserve"> and its experimental reported or computationally predicted molecular targets </w:t>
      </w:r>
      <w:r w:rsidRPr="00DE2810">
        <w:rPr>
          <w:sz w:val="24"/>
          <w:szCs w:val="24"/>
          <w:lang w:val="en-US"/>
        </w:rPr>
        <w:t xml:space="preserve">. </w:t>
      </w:r>
    </w:p>
    <w:p w14:paraId="00435AFA" w14:textId="0A334159" w:rsidR="00D96969" w:rsidRPr="00D96969" w:rsidRDefault="00D96969" w:rsidP="00D96969">
      <w:pPr>
        <w:spacing w:after="120" w:line="276" w:lineRule="auto"/>
        <w:rPr>
          <w:sz w:val="24"/>
          <w:szCs w:val="24"/>
          <w:lang w:val="en-US"/>
        </w:rPr>
      </w:pPr>
      <w:r w:rsidRPr="00D96969">
        <w:rPr>
          <w:sz w:val="24"/>
          <w:szCs w:val="24"/>
          <w:lang w:val="en-US"/>
        </w:rPr>
        <w:t>For the prediction of potential molecular targets of Trofinetide and G</w:t>
      </w:r>
      <w:r w:rsidR="002053D6">
        <w:rPr>
          <w:sz w:val="24"/>
          <w:szCs w:val="24"/>
          <w:lang w:val="en-US"/>
        </w:rPr>
        <w:t>PE</w:t>
      </w:r>
      <w:r w:rsidRPr="00D96969">
        <w:rPr>
          <w:sz w:val="24"/>
          <w:szCs w:val="24"/>
          <w:lang w:val="en-US"/>
        </w:rPr>
        <w:t>, three complementary platforms were used: SwissTargetPrediction (STP)</w:t>
      </w:r>
      <w:r>
        <w:rPr>
          <w:sz w:val="24"/>
          <w:szCs w:val="24"/>
          <w:lang w:val="en-US"/>
        </w:rPr>
        <w:t xml:space="preserve"> </w:t>
      </w:r>
      <w:r w:rsidRPr="00DE2810">
        <w:rPr>
          <w:sz w:val="24"/>
          <w:szCs w:val="24"/>
          <w:lang w:val="en-US"/>
        </w:rPr>
        <w:t>[</w:t>
      </w:r>
      <w:r>
        <w:rPr>
          <w:sz w:val="24"/>
          <w:szCs w:val="24"/>
          <w:lang w:val="en-US"/>
        </w:rPr>
        <w:t>2</w:t>
      </w:r>
      <w:r w:rsidR="007C3522">
        <w:rPr>
          <w:sz w:val="24"/>
          <w:szCs w:val="24"/>
          <w:lang w:val="en-US"/>
        </w:rPr>
        <w:t>7</w:t>
      </w:r>
      <w:r w:rsidRPr="00DE2810">
        <w:rPr>
          <w:sz w:val="24"/>
          <w:szCs w:val="24"/>
          <w:lang w:val="en-US"/>
        </w:rPr>
        <w:t>]</w:t>
      </w:r>
      <w:r w:rsidRPr="00D96969">
        <w:rPr>
          <w:sz w:val="24"/>
          <w:szCs w:val="24"/>
          <w:lang w:val="en-US"/>
        </w:rPr>
        <w:t>, PharmMapper (PM)</w:t>
      </w:r>
      <w:r>
        <w:rPr>
          <w:sz w:val="24"/>
          <w:szCs w:val="24"/>
          <w:lang w:val="en-US"/>
        </w:rPr>
        <w:t xml:space="preserve"> </w:t>
      </w:r>
      <w:r w:rsidRPr="00DE2810">
        <w:rPr>
          <w:sz w:val="24"/>
          <w:szCs w:val="24"/>
          <w:lang w:val="en-US"/>
        </w:rPr>
        <w:t>[</w:t>
      </w:r>
      <w:r>
        <w:rPr>
          <w:sz w:val="24"/>
          <w:szCs w:val="24"/>
          <w:lang w:val="en-US"/>
        </w:rPr>
        <w:t>2</w:t>
      </w:r>
      <w:r w:rsidR="007C3522">
        <w:rPr>
          <w:sz w:val="24"/>
          <w:szCs w:val="24"/>
          <w:lang w:val="en-US"/>
        </w:rPr>
        <w:t>8</w:t>
      </w:r>
      <w:r w:rsidRPr="00DE2810">
        <w:rPr>
          <w:sz w:val="24"/>
          <w:szCs w:val="24"/>
          <w:lang w:val="en-US"/>
        </w:rPr>
        <w:t>]</w:t>
      </w:r>
      <w:r w:rsidRPr="00D96969">
        <w:rPr>
          <w:sz w:val="24"/>
          <w:szCs w:val="24"/>
          <w:lang w:val="en-US"/>
        </w:rPr>
        <w:t xml:space="preserve"> and PASS Online (PO)</w:t>
      </w:r>
      <w:r>
        <w:rPr>
          <w:sz w:val="24"/>
          <w:szCs w:val="24"/>
          <w:lang w:val="en-US"/>
        </w:rPr>
        <w:t xml:space="preserve"> </w:t>
      </w:r>
      <w:r w:rsidRPr="00DE2810">
        <w:rPr>
          <w:sz w:val="24"/>
          <w:szCs w:val="24"/>
          <w:lang w:val="en-US"/>
        </w:rPr>
        <w:t>[</w:t>
      </w:r>
      <w:r w:rsidR="007C3522">
        <w:rPr>
          <w:sz w:val="24"/>
          <w:szCs w:val="24"/>
          <w:lang w:val="en-US"/>
        </w:rPr>
        <w:t>29</w:t>
      </w:r>
      <w:r w:rsidRPr="00DE2810">
        <w:rPr>
          <w:sz w:val="24"/>
          <w:szCs w:val="24"/>
          <w:lang w:val="en-US"/>
        </w:rPr>
        <w:t>]</w:t>
      </w:r>
      <w:r w:rsidRPr="00D96969">
        <w:rPr>
          <w:sz w:val="24"/>
          <w:szCs w:val="24"/>
          <w:lang w:val="en-US"/>
        </w:rPr>
        <w:t>, each with different approaches based on structural chemistry or biological activity.</w:t>
      </w:r>
      <w:r>
        <w:rPr>
          <w:sz w:val="24"/>
          <w:szCs w:val="24"/>
          <w:lang w:val="en-US"/>
        </w:rPr>
        <w:t xml:space="preserve"> </w:t>
      </w:r>
      <w:r w:rsidRPr="00D96969">
        <w:rPr>
          <w:sz w:val="24"/>
          <w:szCs w:val="24"/>
          <w:lang w:val="en-US"/>
        </w:rPr>
        <w:t xml:space="preserve">The selection of relevant targets was based on two main criteria: high probability or predicted affinity (Probability ≥ 0.1 in STP, NormFit &gt; 0.8 in PM, or Pa &gt; 0.7 in PO) and relevance in the context of Rett syndrome. This approach allows to prioritize highest biological plausibility </w:t>
      </w:r>
      <w:r>
        <w:rPr>
          <w:sz w:val="24"/>
          <w:szCs w:val="24"/>
          <w:lang w:val="en-US"/>
        </w:rPr>
        <w:t>targets.</w:t>
      </w:r>
    </w:p>
    <w:p w14:paraId="2F354FB7" w14:textId="7AFCC010" w:rsidR="00C9115E" w:rsidRDefault="00C9115E" w:rsidP="00DE2810">
      <w:pPr>
        <w:spacing w:after="120" w:line="276" w:lineRule="auto"/>
        <w:rPr>
          <w:sz w:val="24"/>
          <w:szCs w:val="24"/>
          <w:lang w:val="en-US"/>
        </w:rPr>
      </w:pPr>
      <w:r w:rsidRPr="00C9115E">
        <w:rPr>
          <w:sz w:val="24"/>
          <w:szCs w:val="24"/>
          <w:lang w:val="en-US"/>
        </w:rPr>
        <w:t>In addition, information on phase 3 clinical trials of drugs targeting Rett syndrome was obtained through the US National Institutes of Health's ClinicalTrials.gov platform [</w:t>
      </w:r>
      <w:r>
        <w:rPr>
          <w:sz w:val="24"/>
          <w:szCs w:val="24"/>
          <w:lang w:val="en-US"/>
        </w:rPr>
        <w:t>3</w:t>
      </w:r>
      <w:r w:rsidR="007C3522">
        <w:rPr>
          <w:sz w:val="24"/>
          <w:szCs w:val="24"/>
          <w:lang w:val="en-US"/>
        </w:rPr>
        <w:t>0</w:t>
      </w:r>
      <w:r w:rsidRPr="00C9115E">
        <w:rPr>
          <w:sz w:val="24"/>
          <w:szCs w:val="24"/>
          <w:lang w:val="en-US"/>
        </w:rPr>
        <w:t xml:space="preserve">]. The goal is to identify therapeutic targets modulated by </w:t>
      </w:r>
      <w:r w:rsidR="00384A4C" w:rsidRPr="00C9115E">
        <w:rPr>
          <w:sz w:val="24"/>
          <w:szCs w:val="24"/>
          <w:lang w:val="en-US"/>
        </w:rPr>
        <w:t>investigation</w:t>
      </w:r>
      <w:r w:rsidRPr="00C9115E">
        <w:rPr>
          <w:sz w:val="24"/>
          <w:szCs w:val="24"/>
          <w:lang w:val="en-US"/>
        </w:rPr>
        <w:t xml:space="preserve"> agents with known mechanisms of action.</w:t>
      </w:r>
    </w:p>
    <w:p w14:paraId="592F643C" w14:textId="0B5A93F0" w:rsidR="00B3064D" w:rsidRDefault="00DE2810" w:rsidP="00DE2810">
      <w:pPr>
        <w:spacing w:after="120" w:line="276" w:lineRule="auto"/>
        <w:rPr>
          <w:sz w:val="24"/>
          <w:szCs w:val="24"/>
          <w:lang w:val="en-US"/>
        </w:rPr>
      </w:pPr>
      <w:r w:rsidRPr="00DE2810">
        <w:rPr>
          <w:sz w:val="24"/>
          <w:szCs w:val="24"/>
          <w:lang w:val="en-US"/>
        </w:rPr>
        <w:t>And at the same time, a review of the recent literature was carried out to complement the receptors with a therapeutic potential with promising potential for the condition [1-1</w:t>
      </w:r>
      <w:r w:rsidR="00C9115E">
        <w:rPr>
          <w:sz w:val="24"/>
          <w:szCs w:val="24"/>
          <w:lang w:val="en-US"/>
        </w:rPr>
        <w:t>9</w:t>
      </w:r>
      <w:r w:rsidRPr="00DE2810">
        <w:rPr>
          <w:sz w:val="24"/>
          <w:szCs w:val="24"/>
          <w:lang w:val="en-US"/>
        </w:rPr>
        <w:t>,</w:t>
      </w:r>
      <w:r w:rsidR="00C9115E">
        <w:rPr>
          <w:sz w:val="24"/>
          <w:szCs w:val="24"/>
          <w:lang w:val="en-US"/>
        </w:rPr>
        <w:t>20</w:t>
      </w:r>
      <w:r w:rsidRPr="00DE2810">
        <w:rPr>
          <w:sz w:val="24"/>
          <w:szCs w:val="24"/>
          <w:lang w:val="en-US"/>
        </w:rPr>
        <w:t>-</w:t>
      </w:r>
      <w:r w:rsidR="00C9115E">
        <w:rPr>
          <w:sz w:val="24"/>
          <w:szCs w:val="24"/>
          <w:lang w:val="en-US"/>
        </w:rPr>
        <w:t>26,27,</w:t>
      </w:r>
      <w:r w:rsidR="008260EF">
        <w:rPr>
          <w:sz w:val="24"/>
          <w:szCs w:val="24"/>
          <w:lang w:val="en-US"/>
        </w:rPr>
        <w:t>3</w:t>
      </w:r>
      <w:r w:rsidR="007C3522">
        <w:rPr>
          <w:sz w:val="24"/>
          <w:szCs w:val="24"/>
          <w:lang w:val="en-US"/>
        </w:rPr>
        <w:t>1</w:t>
      </w:r>
      <w:r w:rsidR="008260EF">
        <w:rPr>
          <w:sz w:val="24"/>
          <w:szCs w:val="24"/>
          <w:lang w:val="en-US"/>
        </w:rPr>
        <w:t>-</w:t>
      </w:r>
      <w:r w:rsidR="00B84994">
        <w:rPr>
          <w:sz w:val="24"/>
          <w:szCs w:val="24"/>
          <w:lang w:val="en-US"/>
        </w:rPr>
        <w:t>79</w:t>
      </w:r>
      <w:r w:rsidRPr="00DE2810">
        <w:rPr>
          <w:sz w:val="24"/>
          <w:szCs w:val="24"/>
          <w:lang w:val="en-US"/>
        </w:rPr>
        <w:t>]. Finally, a refinement was carried out, choosing only the receptors whose structure is reported in the protein data bank [</w:t>
      </w:r>
      <w:r w:rsidR="00085D82">
        <w:rPr>
          <w:sz w:val="24"/>
          <w:szCs w:val="24"/>
          <w:lang w:val="en-US"/>
        </w:rPr>
        <w:t>80</w:t>
      </w:r>
      <w:r w:rsidRPr="00DE2810">
        <w:rPr>
          <w:sz w:val="24"/>
          <w:szCs w:val="24"/>
          <w:lang w:val="en-US"/>
        </w:rPr>
        <w:t>], to carry out molecular docking studies.</w:t>
      </w:r>
    </w:p>
    <w:p w14:paraId="2FEC5D1B" w14:textId="77777777" w:rsidR="00BF5F7A" w:rsidRDefault="00BF5F7A" w:rsidP="00B3064D">
      <w:pPr>
        <w:spacing w:after="120" w:line="276" w:lineRule="auto"/>
        <w:rPr>
          <w:sz w:val="24"/>
          <w:szCs w:val="24"/>
          <w:lang w:val="en-US"/>
        </w:rPr>
      </w:pPr>
    </w:p>
    <w:p w14:paraId="2B6B39A1" w14:textId="7676356C" w:rsidR="00B3064D" w:rsidRPr="008C5EBA" w:rsidRDefault="00BF5F7A" w:rsidP="00B3064D">
      <w:pPr>
        <w:spacing w:after="120" w:line="276" w:lineRule="auto"/>
        <w:rPr>
          <w:i/>
          <w:iCs/>
          <w:sz w:val="24"/>
          <w:szCs w:val="24"/>
          <w:lang w:val="en-US"/>
        </w:rPr>
      </w:pPr>
      <w:r w:rsidRPr="008C5EBA">
        <w:rPr>
          <w:i/>
          <w:iCs/>
          <w:sz w:val="24"/>
          <w:szCs w:val="24"/>
          <w:lang w:val="en-US"/>
        </w:rPr>
        <w:t>Protonation States</w:t>
      </w:r>
    </w:p>
    <w:p w14:paraId="7617ACE3" w14:textId="605F4C03" w:rsidR="00BF5F7A" w:rsidRPr="00BF5F7A" w:rsidRDefault="00085D82" w:rsidP="00B3064D">
      <w:pPr>
        <w:spacing w:after="120" w:line="276" w:lineRule="auto"/>
        <w:rPr>
          <w:sz w:val="24"/>
          <w:szCs w:val="24"/>
          <w:lang w:val="en-US"/>
        </w:rPr>
      </w:pPr>
      <w:r w:rsidRPr="00085D82">
        <w:rPr>
          <w:sz w:val="24"/>
          <w:szCs w:val="24"/>
          <w:lang w:val="en-US"/>
        </w:rPr>
        <w:t>The deprotonation pathway of Trofinetide and GPE were estimated using the Marvin Suite platform [</w:t>
      </w:r>
      <w:r>
        <w:rPr>
          <w:sz w:val="24"/>
          <w:szCs w:val="24"/>
          <w:lang w:val="en-US"/>
        </w:rPr>
        <w:t>8</w:t>
      </w:r>
      <w:r w:rsidRPr="00085D82">
        <w:rPr>
          <w:sz w:val="24"/>
          <w:szCs w:val="24"/>
          <w:lang w:val="en-US"/>
        </w:rPr>
        <w:t>1] as a reference. Then, the pKa values ​​were refined through a parametric fitting protocol based on density functional theory (DFT) electronic structure calculations [</w:t>
      </w:r>
      <w:r>
        <w:rPr>
          <w:sz w:val="24"/>
          <w:szCs w:val="24"/>
          <w:lang w:val="en-US"/>
        </w:rPr>
        <w:t>8</w:t>
      </w:r>
      <w:r w:rsidRPr="00085D82">
        <w:rPr>
          <w:sz w:val="24"/>
          <w:szCs w:val="24"/>
          <w:lang w:val="en-US"/>
        </w:rPr>
        <w:t xml:space="preserve">2]. The calculations were performed with Gaussian 09 </w:t>
      </w:r>
      <w:r w:rsidR="00F20E39" w:rsidRPr="00085D82">
        <w:rPr>
          <w:sz w:val="24"/>
          <w:szCs w:val="24"/>
          <w:lang w:val="en-US"/>
        </w:rPr>
        <w:t>[</w:t>
      </w:r>
      <w:r w:rsidR="00F20E39">
        <w:rPr>
          <w:sz w:val="24"/>
          <w:szCs w:val="24"/>
          <w:lang w:val="en-US"/>
        </w:rPr>
        <w:t>83</w:t>
      </w:r>
      <w:r w:rsidR="00F20E39" w:rsidRPr="00085D82">
        <w:rPr>
          <w:sz w:val="24"/>
          <w:szCs w:val="24"/>
          <w:lang w:val="en-US"/>
        </w:rPr>
        <w:t>]</w:t>
      </w:r>
      <w:r w:rsidR="00F20E39">
        <w:rPr>
          <w:sz w:val="24"/>
          <w:szCs w:val="24"/>
          <w:lang w:val="en-US"/>
        </w:rPr>
        <w:t xml:space="preserve"> </w:t>
      </w:r>
      <w:r w:rsidRPr="00085D82">
        <w:rPr>
          <w:sz w:val="24"/>
          <w:szCs w:val="24"/>
          <w:lang w:val="en-US"/>
        </w:rPr>
        <w:t>with a M05/6-311+G(d,p) level of theory. The accurate determination of pKa is essential in the context of drug design, since it regulates the fraction of neutral species present at physiological pH, which have a higher probability of crossing biological barriers by passive diffusion. This methodology has been previously validated, showing a satisfactory correlation with experimental values ​​reported in the literature [</w:t>
      </w:r>
      <w:r>
        <w:rPr>
          <w:sz w:val="24"/>
          <w:szCs w:val="24"/>
          <w:lang w:val="en-US"/>
        </w:rPr>
        <w:t>8</w:t>
      </w:r>
      <w:r w:rsidR="00F20E39">
        <w:rPr>
          <w:sz w:val="24"/>
          <w:szCs w:val="24"/>
          <w:lang w:val="en-US"/>
        </w:rPr>
        <w:t>4</w:t>
      </w:r>
      <w:r w:rsidRPr="00085D82">
        <w:rPr>
          <w:sz w:val="24"/>
          <w:szCs w:val="24"/>
          <w:lang w:val="en-US"/>
        </w:rPr>
        <w:t>].</w:t>
      </w:r>
    </w:p>
    <w:p w14:paraId="7CCC6D35" w14:textId="77777777" w:rsidR="00BF5F7A" w:rsidRDefault="00BF5F7A" w:rsidP="00B3064D">
      <w:pPr>
        <w:spacing w:after="120" w:line="276" w:lineRule="auto"/>
        <w:rPr>
          <w:i/>
          <w:iCs/>
          <w:sz w:val="24"/>
          <w:szCs w:val="24"/>
          <w:lang w:val="en-US"/>
        </w:rPr>
      </w:pPr>
    </w:p>
    <w:p w14:paraId="20AFF4D6" w14:textId="337EC702" w:rsidR="00066AE0" w:rsidRPr="00066AE0" w:rsidRDefault="00066AE0" w:rsidP="00B3064D">
      <w:pPr>
        <w:spacing w:after="120" w:line="276" w:lineRule="auto"/>
        <w:rPr>
          <w:i/>
          <w:iCs/>
          <w:sz w:val="24"/>
          <w:szCs w:val="24"/>
          <w:lang w:val="en-US"/>
        </w:rPr>
      </w:pPr>
      <w:r w:rsidRPr="00066AE0">
        <w:rPr>
          <w:i/>
          <w:iCs/>
          <w:sz w:val="24"/>
          <w:szCs w:val="24"/>
          <w:lang w:val="en-US"/>
        </w:rPr>
        <w:t>Molecular Do</w:t>
      </w:r>
      <w:r w:rsidR="008C5EBA">
        <w:rPr>
          <w:i/>
          <w:iCs/>
          <w:sz w:val="24"/>
          <w:szCs w:val="24"/>
          <w:lang w:val="en-US"/>
        </w:rPr>
        <w:t>c</w:t>
      </w:r>
      <w:r w:rsidRPr="00066AE0">
        <w:rPr>
          <w:i/>
          <w:iCs/>
          <w:sz w:val="24"/>
          <w:szCs w:val="24"/>
          <w:lang w:val="en-US"/>
        </w:rPr>
        <w:t>king</w:t>
      </w:r>
    </w:p>
    <w:p w14:paraId="27753933" w14:textId="4D9C7CB9" w:rsidR="00874DDA" w:rsidRPr="00874DDA" w:rsidRDefault="00874DDA" w:rsidP="00874DDA">
      <w:pPr>
        <w:spacing w:after="120" w:line="276" w:lineRule="auto"/>
        <w:rPr>
          <w:rFonts w:asciiTheme="majorBidi" w:hAnsiTheme="majorBidi" w:cstheme="majorBidi"/>
          <w:sz w:val="24"/>
          <w:szCs w:val="24"/>
          <w:lang w:val="en-US"/>
        </w:rPr>
      </w:pPr>
      <w:r w:rsidRPr="00874DDA">
        <w:rPr>
          <w:rFonts w:asciiTheme="majorBidi" w:hAnsiTheme="majorBidi" w:cstheme="majorBidi"/>
          <w:sz w:val="24"/>
          <w:szCs w:val="24"/>
          <w:lang w:val="en-US"/>
        </w:rPr>
        <w:t>The structures of the crystallized proteins were obtained from protein data bank [</w:t>
      </w:r>
      <w:r w:rsidR="00F20E39">
        <w:rPr>
          <w:rFonts w:asciiTheme="majorBidi" w:hAnsiTheme="majorBidi" w:cstheme="majorBidi"/>
          <w:sz w:val="24"/>
          <w:szCs w:val="24"/>
          <w:lang w:val="en-US"/>
        </w:rPr>
        <w:t>85</w:t>
      </w:r>
      <w:r w:rsidRPr="00874DDA">
        <w:rPr>
          <w:rFonts w:asciiTheme="majorBidi" w:hAnsiTheme="majorBidi" w:cstheme="majorBidi"/>
          <w:sz w:val="24"/>
          <w:szCs w:val="24"/>
          <w:lang w:val="en-US"/>
        </w:rPr>
        <w:t xml:space="preserve">], the data of the proteins code and co-crystallized ligands are in the </w:t>
      </w:r>
      <w:r w:rsidRPr="00F20E39">
        <w:rPr>
          <w:rFonts w:asciiTheme="majorBidi" w:hAnsiTheme="majorBidi" w:cstheme="majorBidi"/>
          <w:sz w:val="24"/>
          <w:szCs w:val="24"/>
          <w:highlight w:val="yellow"/>
          <w:lang w:val="en-US"/>
        </w:rPr>
        <w:t>Table SX2</w:t>
      </w:r>
      <w:r w:rsidRPr="00874DDA">
        <w:rPr>
          <w:rFonts w:asciiTheme="majorBidi" w:hAnsiTheme="majorBidi" w:cstheme="majorBidi"/>
          <w:sz w:val="24"/>
          <w:szCs w:val="24"/>
          <w:lang w:val="en-US"/>
        </w:rPr>
        <w:t xml:space="preserve"> in supporting information (SI). Misplaced loop regions in the proteins were fixed using Modeller [</w:t>
      </w:r>
      <w:r w:rsidR="00F20E39">
        <w:rPr>
          <w:rFonts w:asciiTheme="majorBidi" w:hAnsiTheme="majorBidi" w:cstheme="majorBidi"/>
          <w:sz w:val="24"/>
          <w:szCs w:val="24"/>
          <w:lang w:val="en-US"/>
        </w:rPr>
        <w:t>86</w:t>
      </w:r>
      <w:r w:rsidRPr="00874DDA">
        <w:rPr>
          <w:rFonts w:asciiTheme="majorBidi" w:hAnsiTheme="majorBidi" w:cstheme="majorBidi"/>
          <w:sz w:val="24"/>
          <w:szCs w:val="24"/>
          <w:lang w:val="en-US"/>
        </w:rPr>
        <w:t xml:space="preserve">]. </w:t>
      </w:r>
      <w:r w:rsidRPr="00874DDA">
        <w:rPr>
          <w:rFonts w:asciiTheme="majorBidi" w:hAnsiTheme="majorBidi" w:cstheme="majorBidi"/>
          <w:sz w:val="24"/>
          <w:szCs w:val="24"/>
          <w:lang w:val="en-US"/>
        </w:rPr>
        <w:lastRenderedPageBreak/>
        <w:t>Water molecules, ions and non-relevant species of the protein were removed using Autodock Tools [</w:t>
      </w:r>
      <w:r w:rsidR="00F20E39">
        <w:rPr>
          <w:rFonts w:asciiTheme="majorBidi" w:hAnsiTheme="majorBidi" w:cstheme="majorBidi"/>
          <w:sz w:val="24"/>
          <w:szCs w:val="24"/>
          <w:lang w:val="en-US"/>
        </w:rPr>
        <w:t>87</w:t>
      </w:r>
      <w:r w:rsidRPr="00874DDA">
        <w:rPr>
          <w:rFonts w:asciiTheme="majorBidi" w:hAnsiTheme="majorBidi" w:cstheme="majorBidi"/>
          <w:sz w:val="24"/>
          <w:szCs w:val="24"/>
          <w:lang w:val="en-US"/>
        </w:rPr>
        <w:t>]. The protonation state of the side chains was considered at physiological pH= 7.4. Aspartic and glutamic acid were considered as deprotonated species. Arginine, lysine and histidine were considered with its protonated lateral chains. GROMOS96 [</w:t>
      </w:r>
      <w:r w:rsidR="00F20E39">
        <w:rPr>
          <w:rFonts w:asciiTheme="majorBidi" w:hAnsiTheme="majorBidi" w:cstheme="majorBidi"/>
          <w:sz w:val="24"/>
          <w:szCs w:val="24"/>
          <w:lang w:val="en-US"/>
        </w:rPr>
        <w:t>88</w:t>
      </w:r>
      <w:r w:rsidRPr="00874DDA">
        <w:rPr>
          <w:rFonts w:asciiTheme="majorBidi" w:hAnsiTheme="majorBidi" w:cstheme="majorBidi"/>
          <w:sz w:val="24"/>
          <w:szCs w:val="24"/>
          <w:lang w:val="en-US"/>
        </w:rPr>
        <w:t>] force field in the Deep View/Swiss PDB Viewer 4.1.0 software [</w:t>
      </w:r>
      <w:r w:rsidR="00F20E39">
        <w:rPr>
          <w:rFonts w:asciiTheme="majorBidi" w:hAnsiTheme="majorBidi" w:cstheme="majorBidi"/>
          <w:sz w:val="24"/>
          <w:szCs w:val="24"/>
          <w:lang w:val="en-US"/>
        </w:rPr>
        <w:t>89</w:t>
      </w:r>
      <w:r w:rsidRPr="00874DDA">
        <w:rPr>
          <w:rFonts w:asciiTheme="majorBidi" w:hAnsiTheme="majorBidi" w:cstheme="majorBidi"/>
          <w:sz w:val="24"/>
          <w:szCs w:val="24"/>
          <w:lang w:val="en-US"/>
        </w:rPr>
        <w:t xml:space="preserve">] were applied for protein energy minimization. Atomic charges of all ligands were estimated as single points, using the NBO protocol with the DFT theory at M05-2X/6-311+G(d,p) level. The charges of the protein were added as Kollman type </w:t>
      </w:r>
      <w:r w:rsidRPr="00874DDA">
        <w:rPr>
          <w:rFonts w:asciiTheme="majorBidi" w:hAnsiTheme="majorBidi" w:cstheme="majorBidi"/>
          <w:sz w:val="24"/>
          <w:szCs w:val="24"/>
          <w:highlight w:val="yellow"/>
          <w:lang w:val="en-US"/>
        </w:rPr>
        <w:t>[</w:t>
      </w:r>
      <w:r w:rsidR="00F20E39">
        <w:rPr>
          <w:rFonts w:asciiTheme="majorBidi" w:hAnsiTheme="majorBidi" w:cstheme="majorBidi"/>
          <w:sz w:val="24"/>
          <w:szCs w:val="24"/>
          <w:highlight w:val="yellow"/>
          <w:lang w:val="en-US"/>
        </w:rPr>
        <w:t>90</w:t>
      </w:r>
      <w:r w:rsidRPr="00874DDA">
        <w:rPr>
          <w:rFonts w:asciiTheme="majorBidi" w:hAnsiTheme="majorBidi" w:cstheme="majorBidi"/>
          <w:sz w:val="24"/>
          <w:szCs w:val="24"/>
          <w:highlight w:val="yellow"/>
          <w:lang w:val="en-US"/>
        </w:rPr>
        <w:t>]</w:t>
      </w:r>
      <w:r w:rsidRPr="00874DDA">
        <w:rPr>
          <w:rFonts w:asciiTheme="majorBidi" w:hAnsiTheme="majorBidi" w:cstheme="majorBidi"/>
          <w:sz w:val="24"/>
          <w:szCs w:val="24"/>
          <w:lang w:val="en-US"/>
        </w:rPr>
        <w:t xml:space="preserve">. All the docking simulations were carried out with AutoDock Vina 1.2.0 </w:t>
      </w:r>
      <w:r w:rsidRPr="00874DDA">
        <w:rPr>
          <w:rFonts w:asciiTheme="majorBidi" w:hAnsiTheme="majorBidi" w:cstheme="majorBidi"/>
          <w:sz w:val="24"/>
          <w:szCs w:val="24"/>
          <w:highlight w:val="yellow"/>
          <w:lang w:val="en-US"/>
        </w:rPr>
        <w:t>[</w:t>
      </w:r>
      <w:r w:rsidR="00F20E39">
        <w:rPr>
          <w:rFonts w:asciiTheme="majorBidi" w:hAnsiTheme="majorBidi" w:cstheme="majorBidi"/>
          <w:sz w:val="24"/>
          <w:szCs w:val="24"/>
          <w:highlight w:val="yellow"/>
          <w:lang w:val="en-US"/>
        </w:rPr>
        <w:t>91</w:t>
      </w:r>
      <w:r w:rsidRPr="00874DDA">
        <w:rPr>
          <w:rFonts w:asciiTheme="majorBidi" w:hAnsiTheme="majorBidi" w:cstheme="majorBidi"/>
          <w:sz w:val="24"/>
          <w:szCs w:val="24"/>
          <w:highlight w:val="yellow"/>
          <w:lang w:val="en-US"/>
        </w:rPr>
        <w:t>]</w:t>
      </w:r>
      <w:r w:rsidRPr="00874DDA">
        <w:rPr>
          <w:rFonts w:asciiTheme="majorBidi" w:hAnsiTheme="majorBidi" w:cstheme="majorBidi"/>
          <w:sz w:val="24"/>
          <w:szCs w:val="24"/>
          <w:lang w:val="en-US"/>
        </w:rPr>
        <w:t xml:space="preserve">. A gradient optimization algorithm was performed on the active or allosteric sites in the proteins (see </w:t>
      </w:r>
      <w:r w:rsidRPr="00F20E39">
        <w:rPr>
          <w:rFonts w:asciiTheme="majorBidi" w:hAnsiTheme="majorBidi" w:cstheme="majorBidi"/>
          <w:sz w:val="24"/>
          <w:szCs w:val="24"/>
          <w:highlight w:val="yellow"/>
          <w:lang w:val="en-US"/>
        </w:rPr>
        <w:t>Table SX1</w:t>
      </w:r>
      <w:r w:rsidRPr="00874DDA">
        <w:rPr>
          <w:rFonts w:asciiTheme="majorBidi" w:hAnsiTheme="majorBidi" w:cstheme="majorBidi"/>
          <w:sz w:val="24"/>
          <w:szCs w:val="24"/>
          <w:lang w:val="en-US"/>
        </w:rPr>
        <w:t xml:space="preserve"> in SI). For the</w:t>
      </w:r>
      <w:r w:rsidR="00F20E39">
        <w:rPr>
          <w:rFonts w:asciiTheme="majorBidi" w:hAnsiTheme="majorBidi" w:cstheme="majorBidi"/>
          <w:sz w:val="24"/>
          <w:szCs w:val="24"/>
          <w:lang w:val="en-US"/>
        </w:rPr>
        <w:t xml:space="preserve"> copper-zinc</w:t>
      </w:r>
      <w:r w:rsidRPr="00874DDA">
        <w:rPr>
          <w:rFonts w:asciiTheme="majorBidi" w:hAnsiTheme="majorBidi" w:cstheme="majorBidi"/>
          <w:sz w:val="24"/>
          <w:szCs w:val="24"/>
          <w:lang w:val="en-US"/>
        </w:rPr>
        <w:t xml:space="preserve"> superoxide dismutase (SOD) a blind docking was done since a no ligand co-crystallized structure was found in the database, then, a new docking simulation was performed in the site of major affinity. Docking scores (ΔG</w:t>
      </w:r>
      <w:r w:rsidRPr="00874DDA">
        <w:rPr>
          <w:rFonts w:asciiTheme="majorBidi" w:hAnsiTheme="majorBidi" w:cstheme="majorBidi"/>
          <w:sz w:val="24"/>
          <w:szCs w:val="24"/>
          <w:vertAlign w:val="subscript"/>
          <w:lang w:val="en-US"/>
        </w:rPr>
        <w:t>B</w:t>
      </w:r>
      <w:r w:rsidRPr="00874DDA">
        <w:rPr>
          <w:rFonts w:asciiTheme="majorBidi" w:hAnsiTheme="majorBidi" w:cstheme="majorBidi"/>
          <w:sz w:val="24"/>
          <w:szCs w:val="24"/>
          <w:lang w:val="en-US"/>
        </w:rPr>
        <w:t>) were reported for the best pose and weighted (</w:t>
      </w:r>
      <w:bookmarkStart w:id="0" w:name="_Hlk173355950"/>
      <w:r w:rsidRPr="00874DDA">
        <w:rPr>
          <w:rFonts w:asciiTheme="majorBidi" w:hAnsiTheme="majorBidi" w:cstheme="majorBidi"/>
          <w:sz w:val="24"/>
          <w:szCs w:val="24"/>
          <w:lang w:val="en-US"/>
        </w:rPr>
        <w:t>ΔG</w:t>
      </w:r>
      <w:r w:rsidRPr="00874DDA">
        <w:rPr>
          <w:rFonts w:asciiTheme="majorBidi" w:hAnsiTheme="majorBidi" w:cstheme="majorBidi"/>
          <w:sz w:val="24"/>
          <w:szCs w:val="24"/>
          <w:vertAlign w:val="subscript"/>
          <w:lang w:val="en-US"/>
        </w:rPr>
        <w:t>B</w:t>
      </w:r>
      <w:r w:rsidRPr="00874DDA">
        <w:rPr>
          <w:rFonts w:asciiTheme="majorBidi" w:hAnsiTheme="majorBidi" w:cstheme="majorBidi"/>
          <w:sz w:val="24"/>
          <w:szCs w:val="24"/>
          <w:vertAlign w:val="superscript"/>
          <w:lang w:val="en-US"/>
        </w:rPr>
        <w:t>W</w:t>
      </w:r>
      <w:bookmarkEnd w:id="0"/>
      <w:r w:rsidRPr="00874DDA">
        <w:rPr>
          <w:rFonts w:asciiTheme="majorBidi" w:hAnsiTheme="majorBidi" w:cstheme="majorBidi"/>
          <w:sz w:val="24"/>
          <w:szCs w:val="24"/>
          <w:lang w:val="en-US"/>
        </w:rPr>
        <w:t>) according to the molar fractions of most relevant species at pH = 7.4.</w:t>
      </w:r>
    </w:p>
    <w:p w14:paraId="57202376" w14:textId="77777777" w:rsidR="00874DDA" w:rsidRPr="00874DDA" w:rsidRDefault="00000000" w:rsidP="00874DDA">
      <w:pPr>
        <w:spacing w:after="120" w:line="276" w:lineRule="auto"/>
        <w:rPr>
          <w:rFonts w:asciiTheme="majorBidi" w:hAnsiTheme="majorBidi" w:cstheme="majorBidi"/>
          <w:sz w:val="24"/>
          <w:szCs w:val="24"/>
          <w:lang w:val="en-US"/>
        </w:rPr>
      </w:pPr>
      <m:oMathPara>
        <m:oMath>
          <m:sSubSup>
            <m:sSubSupPr>
              <m:ctrlPr>
                <w:rPr>
                  <w:rFonts w:ascii="Cambria Math" w:hAnsi="Cambria Math" w:cstheme="majorBidi"/>
                  <w:i/>
                  <w:sz w:val="24"/>
                  <w:szCs w:val="24"/>
                  <w:lang w:val="en-US"/>
                </w:rPr>
              </m:ctrlPr>
            </m:sSubSupPr>
            <m:e>
              <m:r>
                <w:rPr>
                  <w:rFonts w:ascii="Cambria Math" w:hAnsi="Cambria Math" w:cstheme="majorBidi"/>
                  <w:sz w:val="24"/>
                  <w:szCs w:val="24"/>
                  <w:lang w:val="en-US"/>
                </w:rPr>
                <m:t>∆G</m:t>
              </m:r>
            </m:e>
            <m:sub>
              <m:r>
                <w:rPr>
                  <w:rFonts w:ascii="Cambria Math" w:hAnsi="Cambria Math" w:cstheme="majorBidi"/>
                  <w:sz w:val="24"/>
                  <w:szCs w:val="24"/>
                  <w:lang w:val="en-US"/>
                </w:rPr>
                <m:t>B</m:t>
              </m:r>
            </m:sub>
            <m:sup>
              <m:r>
                <w:rPr>
                  <w:rFonts w:ascii="Cambria Math" w:hAnsi="Cambria Math" w:cstheme="majorBidi"/>
                  <w:sz w:val="24"/>
                  <w:szCs w:val="24"/>
                  <w:lang w:val="en-US"/>
                </w:rPr>
                <m:t>W</m:t>
              </m:r>
            </m:sup>
          </m:sSubSup>
          <m:r>
            <w:rPr>
              <w:rFonts w:ascii="Cambria Math" w:hAnsi="Cambria Math" w:cstheme="majorBidi"/>
              <w:sz w:val="24"/>
              <w:szCs w:val="24"/>
              <w:lang w:val="en-US"/>
            </w:rPr>
            <m:t>=</m:t>
          </m:r>
          <m:nary>
            <m:naryPr>
              <m:chr m:val="∑"/>
              <m:limLoc m:val="undOvr"/>
              <m:ctrlPr>
                <w:rPr>
                  <w:rFonts w:ascii="Cambria Math" w:hAnsi="Cambria Math" w:cstheme="majorBidi"/>
                  <w:i/>
                  <w:sz w:val="24"/>
                  <w:szCs w:val="24"/>
                  <w:lang w:val="en-US"/>
                </w:rPr>
              </m:ctrlPr>
            </m:naryPr>
            <m:sub>
              <m:r>
                <w:rPr>
                  <w:rFonts w:ascii="Cambria Math" w:hAnsi="Cambria Math" w:cstheme="majorBidi"/>
                  <w:sz w:val="24"/>
                  <w:szCs w:val="24"/>
                  <w:lang w:val="en-US"/>
                </w:rPr>
                <m:t>i=1</m:t>
              </m:r>
            </m:sub>
            <m:sup>
              <m:r>
                <w:rPr>
                  <w:rFonts w:ascii="Cambria Math" w:hAnsi="Cambria Math" w:cstheme="majorBidi"/>
                  <w:sz w:val="24"/>
                  <w:szCs w:val="24"/>
                  <w:lang w:val="en-US"/>
                </w:rPr>
                <m:t>n</m:t>
              </m:r>
            </m:sup>
            <m:e>
              <m:sSub>
                <m:sSubPr>
                  <m:ctrlPr>
                    <w:rPr>
                      <w:rFonts w:ascii="Cambria Math" w:hAnsi="Cambria Math" w:cstheme="majorBidi"/>
                      <w:i/>
                      <w:sz w:val="24"/>
                      <w:szCs w:val="24"/>
                      <w:lang w:val="en-US"/>
                    </w:rPr>
                  </m:ctrlPr>
                </m:sSubPr>
                <m:e>
                  <m:r>
                    <w:rPr>
                      <w:rFonts w:ascii="Cambria Math" w:hAnsi="Cambria Math" w:cstheme="majorBidi"/>
                      <w:sz w:val="24"/>
                      <w:szCs w:val="24"/>
                      <w:lang w:val="en-US"/>
                    </w:rPr>
                    <m:t>X</m:t>
                  </m:r>
                </m:e>
                <m:sub>
                  <m:r>
                    <w:rPr>
                      <w:rFonts w:ascii="Cambria Math" w:hAnsi="Cambria Math" w:cstheme="majorBidi"/>
                      <w:sz w:val="24"/>
                      <w:szCs w:val="24"/>
                      <w:lang w:val="en-US"/>
                    </w:rPr>
                    <m:t>(i)</m:t>
                  </m:r>
                </m:sub>
              </m:sSub>
              <m:sSub>
                <m:sSubPr>
                  <m:ctrlPr>
                    <w:rPr>
                      <w:rFonts w:ascii="Cambria Math" w:hAnsi="Cambria Math" w:cstheme="majorBidi"/>
                      <w:i/>
                      <w:sz w:val="24"/>
                      <w:szCs w:val="24"/>
                      <w:lang w:val="en-US"/>
                    </w:rPr>
                  </m:ctrlPr>
                </m:sSubPr>
                <m:e>
                  <m:r>
                    <w:rPr>
                      <w:rFonts w:ascii="Cambria Math" w:hAnsi="Cambria Math" w:cstheme="majorBidi"/>
                      <w:sz w:val="24"/>
                      <w:szCs w:val="24"/>
                      <w:lang w:val="en-US"/>
                    </w:rPr>
                    <m:t>∆G</m:t>
                  </m:r>
                </m:e>
                <m:sub>
                  <m:r>
                    <w:rPr>
                      <w:rFonts w:ascii="Cambria Math" w:hAnsi="Cambria Math" w:cstheme="majorBidi"/>
                      <w:sz w:val="24"/>
                      <w:szCs w:val="24"/>
                      <w:lang w:val="en-US"/>
                    </w:rPr>
                    <m:t>B(i)</m:t>
                  </m:r>
                </m:sub>
              </m:sSub>
            </m:e>
          </m:nary>
        </m:oMath>
      </m:oMathPara>
    </w:p>
    <w:p w14:paraId="71311F09" w14:textId="21F8C938" w:rsidR="00807C52" w:rsidRDefault="00874DDA" w:rsidP="00F20E39">
      <w:pPr>
        <w:spacing w:after="120" w:line="276" w:lineRule="auto"/>
        <w:rPr>
          <w:rFonts w:asciiTheme="majorBidi" w:hAnsiTheme="majorBidi" w:cstheme="majorBidi"/>
          <w:sz w:val="24"/>
          <w:szCs w:val="24"/>
          <w:lang w:val="en-US"/>
        </w:rPr>
      </w:pPr>
      <w:r w:rsidRPr="00874DDA">
        <w:rPr>
          <w:rFonts w:asciiTheme="majorBidi" w:hAnsiTheme="majorBidi" w:cstheme="majorBidi"/>
          <w:sz w:val="24"/>
          <w:szCs w:val="24"/>
          <w:lang w:val="en-US"/>
        </w:rPr>
        <w:t xml:space="preserve">Validation of the docking protocol was carried out using redocking simulations. These simulations were performed with co-crystallized ligands that, in </w:t>
      </w:r>
      <w:r w:rsidR="00807C52" w:rsidRPr="00874DDA">
        <w:rPr>
          <w:rFonts w:asciiTheme="majorBidi" w:hAnsiTheme="majorBidi" w:cstheme="majorBidi"/>
          <w:sz w:val="24"/>
          <w:szCs w:val="24"/>
          <w:lang w:val="en-US"/>
        </w:rPr>
        <w:t>most</w:t>
      </w:r>
      <w:r w:rsidRPr="00874DDA">
        <w:rPr>
          <w:rFonts w:asciiTheme="majorBidi" w:hAnsiTheme="majorBidi" w:cstheme="majorBidi"/>
          <w:sz w:val="24"/>
          <w:szCs w:val="24"/>
          <w:lang w:val="en-US"/>
        </w:rPr>
        <w:t xml:space="preserve"> cases, act as reference drugs (RD). The obtained RMSD values are in the range of 0.62 to 2.99 Å. For analysis purposes, the simulations of  </w:t>
      </w:r>
      <w:r w:rsidR="00AE7B53">
        <w:rPr>
          <w:rFonts w:asciiTheme="majorBidi" w:hAnsiTheme="majorBidi" w:cstheme="majorBidi"/>
          <w:sz w:val="24"/>
          <w:szCs w:val="24"/>
          <w:lang w:val="en-US"/>
        </w:rPr>
        <w:t>endogenous</w:t>
      </w:r>
      <w:r w:rsidRPr="00874DDA">
        <w:rPr>
          <w:rFonts w:asciiTheme="majorBidi" w:hAnsiTheme="majorBidi" w:cstheme="majorBidi"/>
          <w:sz w:val="24"/>
          <w:szCs w:val="24"/>
          <w:lang w:val="en-US"/>
        </w:rPr>
        <w:t xml:space="preserve"> substrates</w:t>
      </w:r>
      <w:r w:rsidR="00AE7B53">
        <w:rPr>
          <w:rFonts w:asciiTheme="majorBidi" w:hAnsiTheme="majorBidi" w:cstheme="majorBidi"/>
          <w:sz w:val="24"/>
          <w:szCs w:val="24"/>
          <w:lang w:val="en-US"/>
        </w:rPr>
        <w:t xml:space="preserve"> (ES)</w:t>
      </w:r>
      <w:r w:rsidRPr="00874DDA">
        <w:rPr>
          <w:rFonts w:asciiTheme="majorBidi" w:hAnsiTheme="majorBidi" w:cstheme="majorBidi"/>
          <w:sz w:val="24"/>
          <w:szCs w:val="24"/>
          <w:lang w:val="en-US"/>
        </w:rPr>
        <w:t xml:space="preserve"> with the corresponding receptors were also performed.</w:t>
      </w:r>
      <w:r w:rsidR="00F20E39">
        <w:rPr>
          <w:rFonts w:asciiTheme="majorBidi" w:hAnsiTheme="majorBidi" w:cstheme="majorBidi"/>
          <w:sz w:val="24"/>
          <w:szCs w:val="24"/>
          <w:lang w:val="en-US"/>
        </w:rPr>
        <w:t xml:space="preserve"> </w:t>
      </w:r>
      <w:r w:rsidR="00AE7B53">
        <w:rPr>
          <w:rFonts w:asciiTheme="majorBidi" w:hAnsiTheme="majorBidi" w:cstheme="majorBidi"/>
          <w:sz w:val="24"/>
          <w:szCs w:val="24"/>
          <w:lang w:val="en-US"/>
        </w:rPr>
        <w:t xml:space="preserve">To compare </w:t>
      </w:r>
      <w:r w:rsidR="00AE7B53" w:rsidRPr="00AE7B53">
        <w:rPr>
          <w:rFonts w:asciiTheme="majorBidi" w:hAnsiTheme="majorBidi" w:cstheme="majorBidi"/>
          <w:sz w:val="24"/>
          <w:szCs w:val="24"/>
          <w:lang w:val="en-US"/>
        </w:rPr>
        <w:t>A polygenic index (PS) was designed. Two variants were calculated: one relative to reference modulators (</w:t>
      </w:r>
      <m:oMath>
        <m:sSubSup>
          <m:sSubSupPr>
            <m:ctrlPr>
              <w:rPr>
                <w:rFonts w:ascii="Cambria Math" w:hAnsi="Cambria Math" w:cstheme="majorBidi"/>
                <w:i/>
                <w:sz w:val="22"/>
                <w:szCs w:val="22"/>
              </w:rPr>
            </m:ctrlPr>
          </m:sSubSupPr>
          <m:e>
            <m:r>
              <w:rPr>
                <w:rFonts w:ascii="Cambria Math" w:hAnsi="Cambria Math" w:cstheme="majorBidi"/>
                <w:sz w:val="22"/>
                <w:szCs w:val="22"/>
              </w:rPr>
              <m:t>P</m:t>
            </m:r>
          </m:e>
          <m:sub>
            <m:r>
              <w:rPr>
                <w:rFonts w:ascii="Cambria Math" w:hAnsi="Cambria Math" w:cstheme="majorBidi"/>
                <w:sz w:val="22"/>
                <w:szCs w:val="22"/>
              </w:rPr>
              <m:t>S</m:t>
            </m:r>
          </m:sub>
          <m:sup>
            <m:r>
              <w:rPr>
                <w:rFonts w:ascii="Cambria Math" w:hAnsi="Cambria Math" w:cstheme="majorBidi"/>
                <w:sz w:val="22"/>
                <w:szCs w:val="22"/>
              </w:rPr>
              <m:t>RM</m:t>
            </m:r>
          </m:sup>
        </m:sSubSup>
      </m:oMath>
      <w:r w:rsidR="00AE7B53" w:rsidRPr="00AE7B53">
        <w:rPr>
          <w:rFonts w:asciiTheme="majorBidi" w:hAnsiTheme="majorBidi" w:cstheme="majorBidi"/>
          <w:sz w:val="24"/>
          <w:szCs w:val="24"/>
          <w:lang w:val="en-US"/>
        </w:rPr>
        <w:t>) and another relative to endogenous substrates (</w:t>
      </w:r>
      <m:oMath>
        <m:sSubSup>
          <m:sSubSupPr>
            <m:ctrlPr>
              <w:rPr>
                <w:rFonts w:ascii="Cambria Math" w:hAnsi="Cambria Math" w:cstheme="majorBidi"/>
                <w:i/>
                <w:sz w:val="22"/>
                <w:szCs w:val="22"/>
              </w:rPr>
            </m:ctrlPr>
          </m:sSubSupPr>
          <m:e>
            <m:r>
              <w:rPr>
                <w:rFonts w:ascii="Cambria Math" w:hAnsi="Cambria Math" w:cstheme="majorBidi"/>
                <w:sz w:val="22"/>
                <w:szCs w:val="22"/>
              </w:rPr>
              <m:t>P</m:t>
            </m:r>
          </m:e>
          <m:sub>
            <m:r>
              <w:rPr>
                <w:rFonts w:ascii="Cambria Math" w:hAnsi="Cambria Math" w:cstheme="majorBidi"/>
                <w:sz w:val="22"/>
                <w:szCs w:val="22"/>
              </w:rPr>
              <m:t>S</m:t>
            </m:r>
          </m:sub>
          <m:sup>
            <m:r>
              <w:rPr>
                <w:rFonts w:ascii="Cambria Math" w:hAnsi="Cambria Math" w:cstheme="majorBidi"/>
                <w:sz w:val="22"/>
                <w:szCs w:val="22"/>
              </w:rPr>
              <m:t>ES</m:t>
            </m:r>
          </m:sup>
        </m:sSubSup>
      </m:oMath>
      <w:r w:rsidR="00AE7B53" w:rsidRPr="00AE7B53">
        <w:rPr>
          <w:rFonts w:asciiTheme="majorBidi" w:hAnsiTheme="majorBidi" w:cstheme="majorBidi"/>
          <w:sz w:val="24"/>
          <w:szCs w:val="24"/>
          <w:lang w:val="en-US"/>
        </w:rPr>
        <w:t>). Mathematically, these indices have the following form:</w:t>
      </w:r>
    </w:p>
    <w:p w14:paraId="56684583" w14:textId="301B3D9F" w:rsidR="00AE7B53" w:rsidRPr="00F11639" w:rsidRDefault="00000000" w:rsidP="00AE7B53">
      <w:pPr>
        <w:rPr>
          <w:rFonts w:ascii="Minion Pro" w:hAnsi="Minion Pro" w:cstheme="majorBidi"/>
          <w:sz w:val="24"/>
          <w:szCs w:val="24"/>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P</m:t>
              </m:r>
            </m:e>
            <m:sub>
              <m:r>
                <w:rPr>
                  <w:rFonts w:ascii="Cambria Math" w:hAnsi="Cambria Math" w:cstheme="majorBidi"/>
                  <w:sz w:val="24"/>
                  <w:szCs w:val="24"/>
                </w:rPr>
                <m:t>S</m:t>
              </m:r>
            </m:sub>
            <m:sup>
              <m:r>
                <w:rPr>
                  <w:rFonts w:ascii="Cambria Math" w:hAnsi="Cambria Math" w:cstheme="majorBidi"/>
                  <w:sz w:val="24"/>
                  <w:szCs w:val="24"/>
                </w:rPr>
                <m:t>RM</m:t>
              </m:r>
            </m:sup>
          </m:sSubSup>
          <m:r>
            <w:rPr>
              <w:rFonts w:ascii="Cambria Math" w:hAnsi="Cambria Math" w:cstheme="majorBidi"/>
              <w:sz w:val="24"/>
              <w:szCs w:val="24"/>
            </w:rPr>
            <m:t xml:space="preserve">= log </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sSup>
                    <m:sSupPr>
                      <m:ctrlPr>
                        <w:rPr>
                          <w:rFonts w:ascii="Cambria Math" w:hAnsi="Cambria Math" w:cstheme="majorBidi"/>
                          <w:i/>
                          <w:sz w:val="24"/>
                          <w:szCs w:val="24"/>
                        </w:rPr>
                      </m:ctrlPr>
                    </m:sSupPr>
                    <m:e>
                      <m:r>
                        <w:rPr>
                          <w:rFonts w:ascii="Cambria Math" w:hAnsi="Cambria Math" w:cstheme="majorBidi"/>
                          <w:sz w:val="24"/>
                          <w:szCs w:val="24"/>
                        </w:rPr>
                        <m:t>G</m:t>
                      </m:r>
                    </m:e>
                    <m:sup>
                      <m:r>
                        <w:rPr>
                          <w:rFonts w:ascii="Cambria Math" w:hAnsi="Cambria Math" w:cstheme="majorBidi"/>
                          <w:sz w:val="24"/>
                          <w:szCs w:val="24"/>
                        </w:rPr>
                        <m:t>W</m:t>
                      </m:r>
                    </m:sup>
                  </m:sSup>
                </m:e>
                <m:sub>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p</m:t>
                      </m:r>
                    </m:sub>
                  </m:sSub>
                </m:sub>
              </m:sSub>
            </m:num>
            <m:den>
              <m:sSub>
                <m:sSubPr>
                  <m:ctrlPr>
                    <w:rPr>
                      <w:rFonts w:ascii="Cambria Math" w:hAnsi="Cambria Math" w:cstheme="majorBidi"/>
                      <w:i/>
                      <w:sz w:val="24"/>
                      <w:szCs w:val="24"/>
                    </w:rPr>
                  </m:ctrlPr>
                </m:sSubPr>
                <m:e>
                  <m:r>
                    <w:rPr>
                      <w:rFonts w:ascii="Cambria Math" w:hAnsi="Cambria Math" w:cstheme="majorBidi"/>
                      <w:sz w:val="24"/>
                      <w:szCs w:val="24"/>
                    </w:rPr>
                    <m:t>∆G</m:t>
                  </m:r>
                </m:e>
                <m:sub>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RM</m:t>
                      </m:r>
                    </m:sub>
                  </m:sSub>
                </m:sub>
              </m:sSub>
            </m:den>
          </m:f>
          <m:r>
            <w:rPr>
              <w:rFonts w:ascii="Cambria Math" w:hAnsi="Cambria Math" w:cstheme="majorBidi"/>
              <w:sz w:val="24"/>
              <w:szCs w:val="24"/>
            </w:rPr>
            <m:t xml:space="preserve">                   </m:t>
          </m:r>
          <m:sSubSup>
            <m:sSubSupPr>
              <m:ctrlPr>
                <w:rPr>
                  <w:rFonts w:ascii="Cambria Math" w:hAnsi="Cambria Math" w:cstheme="majorBidi"/>
                  <w:i/>
                  <w:sz w:val="24"/>
                  <w:szCs w:val="24"/>
                </w:rPr>
              </m:ctrlPr>
            </m:sSubSupPr>
            <m:e>
              <m:r>
                <w:rPr>
                  <w:rFonts w:ascii="Cambria Math" w:hAnsi="Cambria Math" w:cstheme="majorBidi"/>
                  <w:sz w:val="24"/>
                  <w:szCs w:val="24"/>
                </w:rPr>
                <m:t>P</m:t>
              </m:r>
            </m:e>
            <m:sub>
              <m:r>
                <w:rPr>
                  <w:rFonts w:ascii="Cambria Math" w:hAnsi="Cambria Math" w:cstheme="majorBidi"/>
                  <w:sz w:val="24"/>
                  <w:szCs w:val="24"/>
                </w:rPr>
                <m:t>S</m:t>
              </m:r>
            </m:sub>
            <m:sup>
              <m:r>
                <w:rPr>
                  <w:rFonts w:ascii="Cambria Math" w:hAnsi="Cambria Math" w:cstheme="majorBidi"/>
                  <w:sz w:val="24"/>
                  <w:szCs w:val="24"/>
                </w:rPr>
                <m:t>ES</m:t>
              </m:r>
            </m:sup>
          </m:sSubSup>
          <m:r>
            <w:rPr>
              <w:rFonts w:ascii="Cambria Math" w:hAnsi="Cambria Math" w:cstheme="majorBidi"/>
              <w:sz w:val="24"/>
              <w:szCs w:val="24"/>
            </w:rPr>
            <m:t xml:space="preserve">= log </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sSup>
                    <m:sSupPr>
                      <m:ctrlPr>
                        <w:rPr>
                          <w:rFonts w:ascii="Cambria Math" w:hAnsi="Cambria Math" w:cstheme="majorBidi"/>
                          <w:i/>
                          <w:sz w:val="24"/>
                          <w:szCs w:val="24"/>
                        </w:rPr>
                      </m:ctrlPr>
                    </m:sSupPr>
                    <m:e>
                      <m:r>
                        <w:rPr>
                          <w:rFonts w:ascii="Cambria Math" w:hAnsi="Cambria Math" w:cstheme="majorBidi"/>
                          <w:sz w:val="24"/>
                          <w:szCs w:val="24"/>
                        </w:rPr>
                        <m:t>G</m:t>
                      </m:r>
                    </m:e>
                    <m:sup>
                      <m:r>
                        <w:rPr>
                          <w:rFonts w:ascii="Cambria Math" w:hAnsi="Cambria Math" w:cstheme="majorBidi"/>
                          <w:sz w:val="24"/>
                          <w:szCs w:val="24"/>
                        </w:rPr>
                        <m:t>W</m:t>
                      </m:r>
                    </m:sup>
                  </m:sSup>
                </m:e>
                <m:sub>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p</m:t>
                      </m:r>
                    </m:sub>
                  </m:sSub>
                </m:sub>
              </m:sSub>
            </m:num>
            <m:den>
              <m:sSub>
                <m:sSubPr>
                  <m:ctrlPr>
                    <w:rPr>
                      <w:rFonts w:ascii="Cambria Math" w:hAnsi="Cambria Math" w:cstheme="majorBidi"/>
                      <w:i/>
                      <w:sz w:val="24"/>
                      <w:szCs w:val="24"/>
                    </w:rPr>
                  </m:ctrlPr>
                </m:sSubPr>
                <m:e>
                  <m:r>
                    <w:rPr>
                      <w:rFonts w:ascii="Cambria Math" w:hAnsi="Cambria Math" w:cstheme="majorBidi"/>
                      <w:sz w:val="24"/>
                      <w:szCs w:val="24"/>
                    </w:rPr>
                    <m:t>∆G</m:t>
                  </m:r>
                </m:e>
                <m:sub>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ES</m:t>
                      </m:r>
                    </m:sub>
                  </m:sSub>
                </m:sub>
              </m:sSub>
            </m:den>
          </m:f>
        </m:oMath>
      </m:oMathPara>
    </w:p>
    <w:p w14:paraId="2A31DFED" w14:textId="77777777" w:rsidR="00AE7B53" w:rsidRDefault="00AE7B53" w:rsidP="00F20E39">
      <w:pPr>
        <w:spacing w:after="120" w:line="276" w:lineRule="auto"/>
        <w:rPr>
          <w:rFonts w:asciiTheme="majorBidi" w:hAnsiTheme="majorBidi" w:cstheme="majorBidi"/>
          <w:sz w:val="24"/>
          <w:szCs w:val="24"/>
          <w:lang w:val="en-US"/>
        </w:rPr>
      </w:pPr>
    </w:p>
    <w:p w14:paraId="4608D13A" w14:textId="7576B676" w:rsidR="00AE7B53" w:rsidRPr="00AE7B53" w:rsidRDefault="00AE7B53" w:rsidP="00AE7B53">
      <w:pPr>
        <w:rPr>
          <w:rFonts w:asciiTheme="majorBidi" w:hAnsiTheme="majorBidi" w:cstheme="majorBidi"/>
          <w:sz w:val="24"/>
          <w:szCs w:val="24"/>
          <w:lang w:val="en-US"/>
        </w:rPr>
      </w:pPr>
      <w:r w:rsidRPr="00AE7B53">
        <w:rPr>
          <w:rFonts w:asciiTheme="majorBidi" w:hAnsiTheme="majorBidi" w:cstheme="majorBidi"/>
          <w:sz w:val="24"/>
          <w:szCs w:val="24"/>
          <w:lang w:val="en-US"/>
        </w:rPr>
        <w:t xml:space="preserve">where </w:t>
      </w:r>
      <m:oMath>
        <m:r>
          <w:rPr>
            <w:rFonts w:ascii="Cambria Math" w:hAnsi="Cambria Math" w:cstheme="majorBidi"/>
            <w:sz w:val="22"/>
            <w:szCs w:val="22"/>
            <w:lang w:val="en-US"/>
          </w:rPr>
          <m:t>∆</m:t>
        </m:r>
        <m:sSub>
          <m:sSubPr>
            <m:ctrlPr>
              <w:rPr>
                <w:rFonts w:ascii="Cambria Math" w:hAnsi="Cambria Math" w:cstheme="majorBidi"/>
                <w:i/>
                <w:sz w:val="22"/>
                <w:szCs w:val="22"/>
              </w:rPr>
            </m:ctrlPr>
          </m:sSubPr>
          <m:e>
            <m:sSup>
              <m:sSupPr>
                <m:ctrlPr>
                  <w:rPr>
                    <w:rFonts w:ascii="Cambria Math" w:hAnsi="Cambria Math" w:cstheme="majorBidi"/>
                    <w:i/>
                    <w:sz w:val="22"/>
                    <w:szCs w:val="22"/>
                  </w:rPr>
                </m:ctrlPr>
              </m:sSupPr>
              <m:e>
                <m:r>
                  <w:rPr>
                    <w:rFonts w:ascii="Cambria Math" w:hAnsi="Cambria Math" w:cstheme="majorBidi"/>
                    <w:sz w:val="22"/>
                    <w:szCs w:val="22"/>
                  </w:rPr>
                  <m:t>G</m:t>
                </m:r>
              </m:e>
              <m:sup>
                <m:r>
                  <w:rPr>
                    <w:rFonts w:ascii="Cambria Math" w:hAnsi="Cambria Math" w:cstheme="majorBidi"/>
                    <w:sz w:val="22"/>
                    <w:szCs w:val="22"/>
                  </w:rPr>
                  <m:t>W</m:t>
                </m:r>
              </m:sup>
            </m:sSup>
          </m:e>
          <m:sub>
            <m:sSub>
              <m:sSubPr>
                <m:ctrlPr>
                  <w:rPr>
                    <w:rFonts w:ascii="Cambria Math" w:hAnsi="Cambria Math" w:cstheme="majorBidi"/>
                    <w:i/>
                    <w:sz w:val="22"/>
                    <w:szCs w:val="22"/>
                  </w:rPr>
                </m:ctrlPr>
              </m:sSubPr>
              <m:e>
                <m:r>
                  <w:rPr>
                    <w:rFonts w:ascii="Cambria Math" w:hAnsi="Cambria Math" w:cstheme="majorBidi"/>
                    <w:sz w:val="22"/>
                    <w:szCs w:val="22"/>
                  </w:rPr>
                  <m:t>B</m:t>
                </m:r>
              </m:e>
              <m:sub>
                <m:r>
                  <w:rPr>
                    <w:rFonts w:ascii="Cambria Math" w:hAnsi="Cambria Math" w:cstheme="majorBidi"/>
                    <w:sz w:val="22"/>
                    <w:szCs w:val="22"/>
                  </w:rPr>
                  <m:t>p</m:t>
                </m:r>
              </m:sub>
            </m:sSub>
          </m:sub>
        </m:sSub>
      </m:oMath>
      <w:r w:rsidRPr="00AE7B53">
        <w:rPr>
          <w:rFonts w:asciiTheme="majorBidi" w:hAnsiTheme="majorBidi" w:cstheme="majorBidi"/>
          <w:sz w:val="24"/>
          <w:szCs w:val="24"/>
          <w:lang w:val="en-US"/>
        </w:rPr>
        <w:t xml:space="preserve"> is the </w:t>
      </w:r>
      <w:r w:rsidR="00467369">
        <w:rPr>
          <w:rFonts w:asciiTheme="majorBidi" w:hAnsiTheme="majorBidi" w:cstheme="majorBidi"/>
          <w:sz w:val="24"/>
          <w:szCs w:val="24"/>
          <w:lang w:val="en-US"/>
        </w:rPr>
        <w:t xml:space="preserve">weighted  docking score </w:t>
      </w:r>
      <w:r w:rsidRPr="00AE7B53">
        <w:rPr>
          <w:rFonts w:asciiTheme="majorBidi" w:hAnsiTheme="majorBidi" w:cstheme="majorBidi"/>
          <w:sz w:val="24"/>
          <w:szCs w:val="24"/>
          <w:lang w:val="en-US"/>
        </w:rPr>
        <w:t xml:space="preserve">for </w:t>
      </w:r>
      <w:r w:rsidR="00467369">
        <w:rPr>
          <w:rFonts w:asciiTheme="majorBidi" w:hAnsiTheme="majorBidi" w:cstheme="majorBidi"/>
          <w:sz w:val="24"/>
          <w:szCs w:val="24"/>
          <w:lang w:val="en-US"/>
        </w:rPr>
        <w:t xml:space="preserve">Trofinetide or </w:t>
      </w:r>
      <w:r w:rsidR="00F11639">
        <w:rPr>
          <w:rFonts w:asciiTheme="majorBidi" w:hAnsiTheme="majorBidi" w:cstheme="majorBidi"/>
          <w:sz w:val="24"/>
          <w:szCs w:val="24"/>
          <w:lang w:val="en-US"/>
        </w:rPr>
        <w:t>GPE</w:t>
      </w:r>
      <w:r w:rsidRPr="00AE7B53">
        <w:rPr>
          <w:rFonts w:asciiTheme="majorBidi" w:hAnsiTheme="majorBidi" w:cstheme="majorBidi"/>
          <w:sz w:val="24"/>
          <w:szCs w:val="24"/>
          <w:lang w:val="en-US"/>
        </w:rPr>
        <w:t xml:space="preserve"> and, </w:t>
      </w:r>
      <m:oMath>
        <m:sSub>
          <m:sSubPr>
            <m:ctrlPr>
              <w:rPr>
                <w:rFonts w:ascii="Cambria Math" w:hAnsi="Cambria Math" w:cstheme="majorBidi"/>
                <w:i/>
                <w:sz w:val="22"/>
                <w:szCs w:val="22"/>
              </w:rPr>
            </m:ctrlPr>
          </m:sSubPr>
          <m:e>
            <m:r>
              <w:rPr>
                <w:rFonts w:ascii="Cambria Math" w:hAnsi="Cambria Math" w:cstheme="majorBidi"/>
                <w:sz w:val="22"/>
                <w:szCs w:val="22"/>
                <w:lang w:val="en-US"/>
              </w:rPr>
              <m:t>∆</m:t>
            </m:r>
            <m:r>
              <w:rPr>
                <w:rFonts w:ascii="Cambria Math" w:hAnsi="Cambria Math" w:cstheme="majorBidi"/>
                <w:sz w:val="22"/>
                <w:szCs w:val="22"/>
              </w:rPr>
              <m:t>G</m:t>
            </m:r>
          </m:e>
          <m:sub>
            <m:sSub>
              <m:sSubPr>
                <m:ctrlPr>
                  <w:rPr>
                    <w:rFonts w:ascii="Cambria Math" w:hAnsi="Cambria Math" w:cstheme="majorBidi"/>
                    <w:i/>
                    <w:sz w:val="22"/>
                    <w:szCs w:val="22"/>
                  </w:rPr>
                </m:ctrlPr>
              </m:sSubPr>
              <m:e>
                <m:r>
                  <w:rPr>
                    <w:rFonts w:ascii="Cambria Math" w:hAnsi="Cambria Math" w:cstheme="majorBidi"/>
                    <w:sz w:val="22"/>
                    <w:szCs w:val="22"/>
                  </w:rPr>
                  <m:t>B</m:t>
                </m:r>
              </m:e>
              <m:sub>
                <m:r>
                  <w:rPr>
                    <w:rFonts w:ascii="Cambria Math" w:hAnsi="Cambria Math" w:cstheme="majorBidi"/>
                    <w:sz w:val="22"/>
                    <w:szCs w:val="22"/>
                  </w:rPr>
                  <m:t>RM</m:t>
                </m:r>
              </m:sub>
            </m:sSub>
          </m:sub>
        </m:sSub>
      </m:oMath>
      <w:r w:rsidRPr="00AE7B53">
        <w:rPr>
          <w:rFonts w:asciiTheme="majorBidi" w:hAnsiTheme="majorBidi" w:cstheme="majorBidi"/>
          <w:sz w:val="24"/>
          <w:szCs w:val="24"/>
          <w:lang w:val="en-US"/>
        </w:rPr>
        <w:t xml:space="preserve"> and </w:t>
      </w:r>
      <m:oMath>
        <m:sSub>
          <m:sSubPr>
            <m:ctrlPr>
              <w:rPr>
                <w:rFonts w:ascii="Cambria Math" w:hAnsi="Cambria Math" w:cstheme="majorBidi"/>
                <w:i/>
                <w:sz w:val="22"/>
                <w:szCs w:val="22"/>
              </w:rPr>
            </m:ctrlPr>
          </m:sSubPr>
          <m:e>
            <m:r>
              <w:rPr>
                <w:rFonts w:ascii="Cambria Math" w:hAnsi="Cambria Math" w:cstheme="majorBidi"/>
                <w:sz w:val="22"/>
                <w:szCs w:val="22"/>
                <w:lang w:val="en-US"/>
              </w:rPr>
              <m:t>∆</m:t>
            </m:r>
            <m:r>
              <w:rPr>
                <w:rFonts w:ascii="Cambria Math" w:hAnsi="Cambria Math" w:cstheme="majorBidi"/>
                <w:sz w:val="22"/>
                <w:szCs w:val="22"/>
              </w:rPr>
              <m:t>G</m:t>
            </m:r>
          </m:e>
          <m:sub>
            <m:sSub>
              <m:sSubPr>
                <m:ctrlPr>
                  <w:rPr>
                    <w:rFonts w:ascii="Cambria Math" w:hAnsi="Cambria Math" w:cstheme="majorBidi"/>
                    <w:i/>
                    <w:sz w:val="22"/>
                    <w:szCs w:val="22"/>
                  </w:rPr>
                </m:ctrlPr>
              </m:sSubPr>
              <m:e>
                <m:r>
                  <w:rPr>
                    <w:rFonts w:ascii="Cambria Math" w:hAnsi="Cambria Math" w:cstheme="majorBidi"/>
                    <w:sz w:val="22"/>
                    <w:szCs w:val="22"/>
                  </w:rPr>
                  <m:t>B</m:t>
                </m:r>
              </m:e>
              <m:sub>
                <m:r>
                  <w:rPr>
                    <w:rFonts w:ascii="Cambria Math" w:hAnsi="Cambria Math" w:cstheme="majorBidi"/>
                    <w:sz w:val="22"/>
                    <w:szCs w:val="22"/>
                  </w:rPr>
                  <m:t>ES</m:t>
                </m:r>
              </m:sub>
            </m:sSub>
          </m:sub>
        </m:sSub>
      </m:oMath>
      <w:r w:rsidRPr="00AE7B53">
        <w:rPr>
          <w:rFonts w:asciiTheme="majorBidi" w:hAnsiTheme="majorBidi" w:cstheme="majorBidi"/>
          <w:sz w:val="24"/>
          <w:szCs w:val="24"/>
          <w:lang w:val="en-US"/>
        </w:rPr>
        <w:t xml:space="preserve"> are the scores for the</w:t>
      </w:r>
      <w:r w:rsidR="00F11639">
        <w:rPr>
          <w:rFonts w:asciiTheme="majorBidi" w:hAnsiTheme="majorBidi" w:cstheme="majorBidi"/>
          <w:sz w:val="24"/>
          <w:szCs w:val="24"/>
          <w:lang w:val="en-US"/>
        </w:rPr>
        <w:t xml:space="preserve"> corresponding</w:t>
      </w:r>
      <w:r w:rsidRPr="00AE7B53">
        <w:rPr>
          <w:rFonts w:asciiTheme="majorBidi" w:hAnsiTheme="majorBidi" w:cstheme="majorBidi"/>
          <w:sz w:val="24"/>
          <w:szCs w:val="24"/>
          <w:lang w:val="en-US"/>
        </w:rPr>
        <w:t xml:space="preserve"> </w:t>
      </w:r>
      <w:r w:rsidR="00F11639">
        <w:rPr>
          <w:rFonts w:asciiTheme="majorBidi" w:hAnsiTheme="majorBidi" w:cstheme="majorBidi"/>
          <w:sz w:val="24"/>
          <w:szCs w:val="24"/>
          <w:lang w:val="en-US"/>
        </w:rPr>
        <w:t>reference modulator</w:t>
      </w:r>
      <w:r w:rsidRPr="00AE7B53">
        <w:rPr>
          <w:rFonts w:asciiTheme="majorBidi" w:hAnsiTheme="majorBidi" w:cstheme="majorBidi"/>
          <w:sz w:val="24"/>
          <w:szCs w:val="24"/>
          <w:lang w:val="en-US"/>
        </w:rPr>
        <w:t xml:space="preserve"> and endogenous substrate </w:t>
      </w:r>
      <w:r w:rsidR="00F11639">
        <w:rPr>
          <w:rFonts w:asciiTheme="majorBidi" w:hAnsiTheme="majorBidi" w:cstheme="majorBidi"/>
          <w:sz w:val="24"/>
          <w:szCs w:val="24"/>
          <w:lang w:val="en-US"/>
        </w:rPr>
        <w:t>respectively</w:t>
      </w:r>
      <w:r w:rsidRPr="00AE7B53">
        <w:rPr>
          <w:rFonts w:asciiTheme="majorBidi" w:hAnsiTheme="majorBidi" w:cstheme="majorBidi"/>
          <w:sz w:val="24"/>
          <w:szCs w:val="24"/>
          <w:lang w:val="en-US"/>
        </w:rPr>
        <w:t xml:space="preserve">. </w:t>
      </w:r>
    </w:p>
    <w:p w14:paraId="54ABFADB" w14:textId="0D62DB69" w:rsidR="00F11639" w:rsidRPr="00F11639" w:rsidRDefault="00874DDA" w:rsidP="00F11639">
      <w:pPr>
        <w:spacing w:after="120" w:line="276" w:lineRule="auto"/>
        <w:rPr>
          <w:rFonts w:asciiTheme="majorBidi" w:hAnsiTheme="majorBidi" w:cstheme="majorBidi"/>
          <w:sz w:val="24"/>
          <w:szCs w:val="24"/>
          <w:lang w:val="en-US"/>
        </w:rPr>
      </w:pPr>
      <w:r w:rsidRPr="00874DDA">
        <w:rPr>
          <w:rFonts w:asciiTheme="majorBidi" w:hAnsiTheme="majorBidi" w:cstheme="majorBidi"/>
          <w:sz w:val="24"/>
          <w:szCs w:val="24"/>
          <w:lang w:val="en-US"/>
        </w:rPr>
        <w:t>The protein-ligand conformations with the major  were drawn and analyzed with Discovery Studio software [</w:t>
      </w:r>
      <w:r w:rsidR="00F2115E">
        <w:rPr>
          <w:rFonts w:asciiTheme="majorBidi" w:hAnsiTheme="majorBidi" w:cstheme="majorBidi"/>
          <w:sz w:val="24"/>
          <w:szCs w:val="24"/>
          <w:lang w:val="en-US"/>
        </w:rPr>
        <w:t>92</w:t>
      </w:r>
      <w:r w:rsidRPr="00874DDA">
        <w:rPr>
          <w:rFonts w:asciiTheme="majorBidi" w:hAnsiTheme="majorBidi" w:cstheme="majorBidi"/>
          <w:sz w:val="24"/>
          <w:szCs w:val="24"/>
          <w:lang w:val="en-US"/>
        </w:rPr>
        <w:t xml:space="preserve">]. </w:t>
      </w:r>
      <w:r w:rsidR="00F20E39">
        <w:rPr>
          <w:rFonts w:asciiTheme="majorBidi" w:hAnsiTheme="majorBidi" w:cstheme="majorBidi"/>
          <w:sz w:val="24"/>
          <w:szCs w:val="24"/>
          <w:lang w:val="en-US"/>
        </w:rPr>
        <w:t>Then, the interaction similarity score</w:t>
      </w:r>
      <w:r w:rsidR="0046065B">
        <w:rPr>
          <w:rFonts w:asciiTheme="majorBidi" w:hAnsiTheme="majorBidi" w:cstheme="majorBidi"/>
          <w:sz w:val="24"/>
          <w:szCs w:val="24"/>
          <w:lang w:val="en-US"/>
        </w:rPr>
        <w:t xml:space="preserve"> </w:t>
      </w:r>
      <w:r w:rsidR="0046065B" w:rsidRPr="0046065B">
        <w:rPr>
          <w:rFonts w:asciiTheme="majorBidi" w:hAnsiTheme="majorBidi" w:cstheme="majorBidi"/>
          <w:i/>
          <w:iCs/>
          <w:sz w:val="24"/>
          <w:szCs w:val="24"/>
          <w:lang w:val="en-US"/>
        </w:rPr>
        <w:t>S</w:t>
      </w:r>
      <w:r w:rsidR="0046065B" w:rsidRPr="0046065B">
        <w:rPr>
          <w:rFonts w:asciiTheme="majorBidi" w:hAnsiTheme="majorBidi" w:cstheme="majorBidi"/>
          <w:i/>
          <w:iCs/>
          <w:sz w:val="24"/>
          <w:szCs w:val="24"/>
          <w:vertAlign w:val="subscript"/>
          <w:lang w:val="en-US"/>
        </w:rPr>
        <w:t>SI</w:t>
      </w:r>
      <w:r w:rsidR="00F20E39">
        <w:rPr>
          <w:rFonts w:asciiTheme="majorBidi" w:hAnsiTheme="majorBidi" w:cstheme="majorBidi"/>
          <w:sz w:val="24"/>
          <w:szCs w:val="24"/>
          <w:lang w:val="en-US"/>
        </w:rPr>
        <w:t xml:space="preserve"> </w:t>
      </w:r>
      <w:r w:rsidR="00F20E39" w:rsidRPr="00874DDA">
        <w:rPr>
          <w:rFonts w:asciiTheme="majorBidi" w:hAnsiTheme="majorBidi" w:cstheme="majorBidi"/>
          <w:sz w:val="24"/>
          <w:szCs w:val="24"/>
          <w:lang w:val="en-US"/>
        </w:rPr>
        <w:t>[</w:t>
      </w:r>
      <w:r w:rsidR="00F2115E">
        <w:rPr>
          <w:rFonts w:asciiTheme="majorBidi" w:hAnsiTheme="majorBidi" w:cstheme="majorBidi"/>
          <w:sz w:val="24"/>
          <w:szCs w:val="24"/>
          <w:lang w:val="en-US"/>
        </w:rPr>
        <w:t>93</w:t>
      </w:r>
      <w:r w:rsidR="00F20E39" w:rsidRPr="00874DDA">
        <w:rPr>
          <w:rFonts w:asciiTheme="majorBidi" w:hAnsiTheme="majorBidi" w:cstheme="majorBidi"/>
          <w:sz w:val="24"/>
          <w:szCs w:val="24"/>
          <w:lang w:val="en-US"/>
        </w:rPr>
        <w:t>]</w:t>
      </w:r>
      <w:r w:rsidR="00F20E39">
        <w:rPr>
          <w:rFonts w:asciiTheme="majorBidi" w:hAnsiTheme="majorBidi" w:cstheme="majorBidi"/>
          <w:sz w:val="24"/>
          <w:szCs w:val="24"/>
          <w:lang w:val="en-US"/>
        </w:rPr>
        <w:t xml:space="preserve"> was estimated to</w:t>
      </w:r>
      <w:r w:rsidR="0046065B">
        <w:rPr>
          <w:rFonts w:asciiTheme="majorBidi" w:hAnsiTheme="majorBidi" w:cstheme="majorBidi"/>
          <w:sz w:val="24"/>
          <w:szCs w:val="24"/>
          <w:lang w:val="en-US"/>
        </w:rPr>
        <w:t xml:space="preserve"> taken</w:t>
      </w:r>
      <w:r w:rsidR="00F20E39">
        <w:rPr>
          <w:rFonts w:asciiTheme="majorBidi" w:hAnsiTheme="majorBidi" w:cstheme="majorBidi"/>
          <w:sz w:val="24"/>
          <w:szCs w:val="24"/>
          <w:lang w:val="en-US"/>
        </w:rPr>
        <w:t xml:space="preserve"> </w:t>
      </w:r>
      <w:r w:rsidR="0046065B">
        <w:rPr>
          <w:rFonts w:asciiTheme="majorBidi" w:hAnsiTheme="majorBidi" w:cstheme="majorBidi"/>
          <w:sz w:val="24"/>
          <w:szCs w:val="24"/>
          <w:lang w:val="en-US"/>
        </w:rPr>
        <w:t>into</w:t>
      </w:r>
      <w:r w:rsidR="00F20E39">
        <w:rPr>
          <w:rFonts w:asciiTheme="majorBidi" w:hAnsiTheme="majorBidi" w:cstheme="majorBidi"/>
          <w:sz w:val="24"/>
          <w:szCs w:val="24"/>
          <w:lang w:val="en-US"/>
        </w:rPr>
        <w:t xml:space="preserve"> account the </w:t>
      </w:r>
      <w:r w:rsidR="0046065B">
        <w:rPr>
          <w:rFonts w:asciiTheme="majorBidi" w:hAnsiTheme="majorBidi" w:cstheme="majorBidi"/>
          <w:sz w:val="24"/>
          <w:szCs w:val="24"/>
          <w:lang w:val="en-US"/>
        </w:rPr>
        <w:t>conformation profile in relation to the endogenous substrate and modulator reference conformations.</w:t>
      </w:r>
      <w:r w:rsidR="00F11639">
        <w:rPr>
          <w:rFonts w:asciiTheme="majorBidi" w:hAnsiTheme="majorBidi" w:cstheme="majorBidi"/>
          <w:sz w:val="24"/>
          <w:szCs w:val="24"/>
          <w:lang w:val="en-US"/>
        </w:rPr>
        <w:t xml:space="preserve"> </w:t>
      </w:r>
      <w:r w:rsidR="00F11639" w:rsidRPr="00F11639">
        <w:rPr>
          <w:rFonts w:asciiTheme="majorBidi" w:hAnsiTheme="majorBidi" w:cstheme="majorBidi"/>
          <w:sz w:val="24"/>
          <w:szCs w:val="24"/>
          <w:lang w:val="en-US"/>
        </w:rPr>
        <w:t xml:space="preserve">This </w:t>
      </w:r>
      <w:r w:rsidR="00F11639" w:rsidRPr="0046065B">
        <w:rPr>
          <w:rFonts w:asciiTheme="majorBidi" w:hAnsiTheme="majorBidi" w:cstheme="majorBidi"/>
          <w:i/>
          <w:iCs/>
          <w:sz w:val="24"/>
          <w:szCs w:val="24"/>
          <w:lang w:val="en-US"/>
        </w:rPr>
        <w:t>S</w:t>
      </w:r>
      <w:r w:rsidR="00F11639" w:rsidRPr="0046065B">
        <w:rPr>
          <w:rFonts w:asciiTheme="majorBidi" w:hAnsiTheme="majorBidi" w:cstheme="majorBidi"/>
          <w:i/>
          <w:iCs/>
          <w:sz w:val="24"/>
          <w:szCs w:val="24"/>
          <w:vertAlign w:val="subscript"/>
          <w:lang w:val="en-US"/>
        </w:rPr>
        <w:t>SI</w:t>
      </w:r>
      <w:r w:rsidR="00F11639" w:rsidRPr="00F11639">
        <w:rPr>
          <w:rFonts w:asciiTheme="majorBidi" w:hAnsiTheme="majorBidi" w:cstheme="majorBidi"/>
          <w:sz w:val="24"/>
          <w:szCs w:val="24"/>
          <w:lang w:val="en-US"/>
        </w:rPr>
        <w:t xml:space="preserve"> is defined as follows:</w:t>
      </w:r>
    </w:p>
    <w:p w14:paraId="6F3A6B12" w14:textId="77777777" w:rsidR="00F11639" w:rsidRPr="0014742B" w:rsidRDefault="00000000" w:rsidP="00F11639">
      <w:pPr>
        <w:pStyle w:val="TSP31text"/>
        <w:spacing w:afterLines="120" w:after="288" w:line="276" w:lineRule="auto"/>
        <w:ind w:firstLine="0"/>
        <w:rPr>
          <w:rFonts w:asciiTheme="majorHAnsi" w:hAnsiTheme="majorHAns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SI</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MR</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MI</m:t>
                  </m:r>
                </m:sub>
              </m:sSub>
            </m:num>
            <m:den>
              <m:sSub>
                <m:sSubPr>
                  <m:ctrlPr>
                    <w:rPr>
                      <w:rFonts w:ascii="Cambria Math" w:hAnsi="Cambria Math" w:cstheme="majorBidi"/>
                      <w:i/>
                      <w:sz w:val="24"/>
                      <w:szCs w:val="24"/>
                    </w:rPr>
                  </m:ctrlPr>
                </m:sSubPr>
                <m:e>
                  <m:r>
                    <w:rPr>
                      <w:rFonts w:ascii="Cambria Math" w:hAnsi="Cambria Math" w:cstheme="majorBidi"/>
                      <w:sz w:val="24"/>
                      <w:szCs w:val="24"/>
                    </w:rPr>
                    <m:t>2N</m:t>
                  </m:r>
                </m:e>
                <m:sub>
                  <m:r>
                    <w:rPr>
                      <w:rFonts w:ascii="Cambria Math" w:hAnsi="Cambria Math" w:cstheme="majorBidi"/>
                      <w:sz w:val="24"/>
                      <w:szCs w:val="24"/>
                    </w:rPr>
                    <m:t>RR</m:t>
                  </m:r>
                </m:sub>
              </m:sSub>
            </m:den>
          </m:f>
        </m:oMath>
      </m:oMathPara>
    </w:p>
    <w:p w14:paraId="06FD524B" w14:textId="07985649" w:rsidR="00874DDA" w:rsidRPr="00874DDA" w:rsidRDefault="00F11639" w:rsidP="00F11639">
      <w:pPr>
        <w:spacing w:after="120" w:line="276" w:lineRule="auto"/>
        <w:rPr>
          <w:rFonts w:asciiTheme="majorBidi" w:hAnsiTheme="majorBidi" w:cstheme="majorBidi"/>
          <w:sz w:val="24"/>
          <w:szCs w:val="24"/>
          <w:lang w:val="en-US"/>
        </w:rPr>
      </w:pPr>
      <w:r>
        <w:rPr>
          <w:rFonts w:asciiTheme="majorBidi" w:hAnsiTheme="majorBidi" w:cstheme="majorBidi"/>
          <w:sz w:val="24"/>
          <w:szCs w:val="24"/>
          <w:lang w:val="en-US"/>
        </w:rPr>
        <w:lastRenderedPageBreak/>
        <w:t>w</w:t>
      </w:r>
      <w:r w:rsidRPr="00F11639">
        <w:rPr>
          <w:rFonts w:asciiTheme="majorBidi" w:hAnsiTheme="majorBidi" w:cstheme="majorBidi"/>
          <w:sz w:val="24"/>
          <w:szCs w:val="24"/>
          <w:lang w:val="en-US"/>
        </w:rPr>
        <w:t xml:space="preserve">here </w:t>
      </w:r>
      <w:r w:rsidRPr="00F11639">
        <w:rPr>
          <w:rFonts w:asciiTheme="majorBidi" w:hAnsiTheme="majorBidi" w:cstheme="majorBidi"/>
          <w:i/>
          <w:iCs/>
          <w:sz w:val="24"/>
          <w:szCs w:val="24"/>
          <w:lang w:val="en-US"/>
        </w:rPr>
        <w:t>N</w:t>
      </w:r>
      <w:r w:rsidRPr="00F11639">
        <w:rPr>
          <w:rFonts w:asciiTheme="majorBidi" w:hAnsiTheme="majorBidi" w:cstheme="majorBidi"/>
          <w:i/>
          <w:iCs/>
          <w:sz w:val="24"/>
          <w:szCs w:val="24"/>
          <w:vertAlign w:val="subscript"/>
          <w:lang w:val="en-US"/>
        </w:rPr>
        <w:t>MR</w:t>
      </w:r>
      <w:r w:rsidRPr="00F11639">
        <w:rPr>
          <w:rFonts w:asciiTheme="majorBidi" w:hAnsiTheme="majorBidi" w:cstheme="majorBidi"/>
          <w:sz w:val="24"/>
          <w:szCs w:val="24"/>
          <w:lang w:val="en-US"/>
        </w:rPr>
        <w:t xml:space="preserve"> is the number of residues present in both the compound and the reference ligand, </w:t>
      </w:r>
      <w:r w:rsidRPr="00F11639">
        <w:rPr>
          <w:rFonts w:asciiTheme="majorBidi" w:hAnsiTheme="majorBidi" w:cstheme="majorBidi"/>
          <w:i/>
          <w:iCs/>
          <w:sz w:val="24"/>
          <w:szCs w:val="24"/>
          <w:lang w:val="en-US"/>
        </w:rPr>
        <w:t>N</w:t>
      </w:r>
      <w:r w:rsidRPr="00F11639">
        <w:rPr>
          <w:rFonts w:asciiTheme="majorBidi" w:hAnsiTheme="majorBidi" w:cstheme="majorBidi"/>
          <w:i/>
          <w:iCs/>
          <w:sz w:val="24"/>
          <w:szCs w:val="24"/>
          <w:vertAlign w:val="subscript"/>
          <w:lang w:val="en-US"/>
        </w:rPr>
        <w:t>MI</w:t>
      </w:r>
      <w:r w:rsidRPr="00F11639">
        <w:rPr>
          <w:rFonts w:asciiTheme="majorBidi" w:hAnsiTheme="majorBidi" w:cstheme="majorBidi"/>
          <w:sz w:val="24"/>
          <w:szCs w:val="24"/>
          <w:lang w:val="en-US"/>
        </w:rPr>
        <w:t xml:space="preserve"> is the number of exact matches in the type of interaction (hydrogen bonding, π forces, etc.) between those residues, and </w:t>
      </w:r>
      <w:r w:rsidRPr="00F11639">
        <w:rPr>
          <w:rFonts w:asciiTheme="majorBidi" w:hAnsiTheme="majorBidi" w:cstheme="majorBidi"/>
          <w:i/>
          <w:iCs/>
          <w:sz w:val="24"/>
          <w:szCs w:val="24"/>
          <w:lang w:val="en-US"/>
        </w:rPr>
        <w:t>N</w:t>
      </w:r>
      <w:r w:rsidRPr="00F11639">
        <w:rPr>
          <w:rFonts w:asciiTheme="majorBidi" w:hAnsiTheme="majorBidi" w:cstheme="majorBidi"/>
          <w:i/>
          <w:iCs/>
          <w:sz w:val="24"/>
          <w:szCs w:val="24"/>
          <w:vertAlign w:val="subscript"/>
          <w:lang w:val="en-US"/>
        </w:rPr>
        <w:t>RR</w:t>
      </w:r>
      <w:r w:rsidRPr="00F11639">
        <w:rPr>
          <w:rFonts w:asciiTheme="majorBidi" w:hAnsiTheme="majorBidi" w:cstheme="majorBidi"/>
          <w:sz w:val="24"/>
          <w:szCs w:val="24"/>
          <w:lang w:val="en-US"/>
        </w:rPr>
        <w:t xml:space="preserve"> is the total number of residues involved in the interaction between the enzyme and the reference ligand.</w:t>
      </w:r>
    </w:p>
    <w:p w14:paraId="3D8253C6" w14:textId="77777777" w:rsidR="00066AE0" w:rsidRDefault="00066AE0" w:rsidP="00B3064D">
      <w:pPr>
        <w:spacing w:after="120" w:line="276" w:lineRule="auto"/>
        <w:rPr>
          <w:sz w:val="24"/>
          <w:szCs w:val="24"/>
          <w:lang w:val="en-US"/>
        </w:rPr>
      </w:pPr>
    </w:p>
    <w:p w14:paraId="35CFFA25" w14:textId="06ADEB7A" w:rsidR="00B3064D" w:rsidRPr="00B3064D" w:rsidRDefault="00B3064D" w:rsidP="00B3064D">
      <w:pPr>
        <w:spacing w:after="120" w:line="276" w:lineRule="auto"/>
        <w:rPr>
          <w:b/>
          <w:bCs/>
          <w:sz w:val="24"/>
          <w:szCs w:val="24"/>
          <w:lang w:val="en-US"/>
        </w:rPr>
      </w:pPr>
      <w:r w:rsidRPr="00B3064D">
        <w:rPr>
          <w:b/>
          <w:bCs/>
          <w:sz w:val="24"/>
          <w:szCs w:val="24"/>
          <w:lang w:val="en-US"/>
        </w:rPr>
        <w:t>Results</w:t>
      </w:r>
    </w:p>
    <w:p w14:paraId="6164ABF8" w14:textId="4B431D17" w:rsidR="008C5EBA" w:rsidRPr="008C5EBA" w:rsidRDefault="008C5EBA" w:rsidP="00FD6679">
      <w:pPr>
        <w:spacing w:after="120" w:line="276" w:lineRule="auto"/>
        <w:rPr>
          <w:i/>
          <w:iCs/>
          <w:sz w:val="24"/>
          <w:szCs w:val="24"/>
          <w:lang w:val="en-US"/>
        </w:rPr>
      </w:pPr>
      <w:r w:rsidRPr="008C5EBA">
        <w:rPr>
          <w:i/>
          <w:iCs/>
          <w:sz w:val="24"/>
          <w:szCs w:val="24"/>
          <w:lang w:val="en-US"/>
        </w:rPr>
        <w:t>Target selection</w:t>
      </w:r>
    </w:p>
    <w:p w14:paraId="709B4A6E" w14:textId="21A566C7" w:rsidR="00FD6679" w:rsidRPr="00FD6679" w:rsidRDefault="00FD6679" w:rsidP="00FD6679">
      <w:pPr>
        <w:spacing w:after="120" w:line="276" w:lineRule="auto"/>
        <w:rPr>
          <w:sz w:val="24"/>
          <w:szCs w:val="24"/>
          <w:lang w:val="en-US"/>
        </w:rPr>
      </w:pPr>
      <w:r w:rsidRPr="00FD6679">
        <w:rPr>
          <w:sz w:val="24"/>
          <w:szCs w:val="24"/>
          <w:lang w:val="en-US"/>
        </w:rPr>
        <w:t xml:space="preserve">The differences in the molecular interaction profiles between </w:t>
      </w:r>
      <w:r w:rsidR="002053D6">
        <w:rPr>
          <w:sz w:val="24"/>
          <w:szCs w:val="24"/>
          <w:lang w:val="en-US"/>
        </w:rPr>
        <w:t>T</w:t>
      </w:r>
      <w:r w:rsidRPr="00FD6679">
        <w:rPr>
          <w:sz w:val="24"/>
          <w:szCs w:val="24"/>
          <w:lang w:val="en-US"/>
        </w:rPr>
        <w:t xml:space="preserve">rofinetide and </w:t>
      </w:r>
      <w:r w:rsidR="002053D6">
        <w:rPr>
          <w:sz w:val="24"/>
          <w:szCs w:val="24"/>
          <w:lang w:val="en-US"/>
        </w:rPr>
        <w:t>GPE</w:t>
      </w:r>
      <w:r w:rsidRPr="00FD6679">
        <w:rPr>
          <w:sz w:val="24"/>
          <w:szCs w:val="24"/>
          <w:lang w:val="en-US"/>
        </w:rPr>
        <w:t>, observed in the results predicted by target fishing, may be partially explained by their structural differences. Although both share the GPE (Gly-Pro-Glu) core, trofinetide features a structural modification with an additional methyl group at the glutamic terminus, which improves its metabolic stability and permeability in the CNS (ref). Additionally, this modification could allow greater versatility in molecular recognition, facilitating interaction with targets such as PPARγ, MAO-B, or PTP1B, which were predicted by the platforms exclusively for trofinetide and not for GPE.</w:t>
      </w:r>
    </w:p>
    <w:p w14:paraId="3AC93CD9" w14:textId="5DE18C7A" w:rsidR="00FD6679" w:rsidRDefault="00FD6679" w:rsidP="00FD6679">
      <w:pPr>
        <w:spacing w:after="120" w:line="276" w:lineRule="auto"/>
        <w:rPr>
          <w:sz w:val="24"/>
          <w:szCs w:val="24"/>
          <w:lang w:val="en-US"/>
        </w:rPr>
      </w:pPr>
      <w:r w:rsidRPr="00FD6679">
        <w:rPr>
          <w:sz w:val="24"/>
          <w:szCs w:val="24"/>
          <w:lang w:val="en-US"/>
        </w:rPr>
        <w:t xml:space="preserve">Trofinetide showed greater affinity for experimentally supported targets in RTT models, supported by the cross-reference between the targets predicted by target fishing (Table S1) and the curated data of relevant targets in RTT (Table 1). Notably, </w:t>
      </w:r>
      <w:r>
        <w:rPr>
          <w:sz w:val="24"/>
          <w:szCs w:val="24"/>
          <w:lang w:val="en-US"/>
        </w:rPr>
        <w:t>T</w:t>
      </w:r>
      <w:r w:rsidRPr="00FD6679">
        <w:rPr>
          <w:sz w:val="24"/>
          <w:szCs w:val="24"/>
          <w:lang w:val="en-US"/>
        </w:rPr>
        <w:t>rofinetide presented matches with GSK3β, PTP1B, MAO-B, σ</w:t>
      </w:r>
      <w:r w:rsidRPr="002053D6">
        <w:rPr>
          <w:sz w:val="24"/>
          <w:szCs w:val="24"/>
          <w:vertAlign w:val="subscript"/>
          <w:lang w:val="en-US"/>
        </w:rPr>
        <w:t>1</w:t>
      </w:r>
      <w:r w:rsidRPr="00FD6679">
        <w:rPr>
          <w:sz w:val="24"/>
          <w:szCs w:val="24"/>
          <w:lang w:val="en-US"/>
        </w:rPr>
        <w:t xml:space="preserve">R, and COMT, all with preclinical or clinical evidence in RTT, whereas </w:t>
      </w:r>
      <w:r>
        <w:rPr>
          <w:sz w:val="24"/>
          <w:szCs w:val="24"/>
          <w:lang w:val="en-US"/>
        </w:rPr>
        <w:t>GPE</w:t>
      </w:r>
      <w:r w:rsidRPr="00FD6679">
        <w:rPr>
          <w:sz w:val="24"/>
          <w:szCs w:val="24"/>
          <w:lang w:val="en-US"/>
        </w:rPr>
        <w:t xml:space="preserve"> only shared AMPA and P2X7, with only indirect support for the pathophysiology of the disease. This greater concordance suggests that the structural modification of </w:t>
      </w:r>
      <w:r>
        <w:rPr>
          <w:sz w:val="24"/>
          <w:szCs w:val="24"/>
          <w:lang w:val="en-US"/>
        </w:rPr>
        <w:t>T</w:t>
      </w:r>
      <w:r w:rsidRPr="00FD6679">
        <w:rPr>
          <w:sz w:val="24"/>
          <w:szCs w:val="24"/>
          <w:lang w:val="en-US"/>
        </w:rPr>
        <w:t>rofinetide not only improves its pharmacokinetic profile but potentially optimizes its ability to modulate functional targets in RTT, which could contribute to its observed clinical efficacy.</w:t>
      </w:r>
    </w:p>
    <w:p w14:paraId="3C731AE1" w14:textId="1874589F" w:rsidR="002053D6" w:rsidRDefault="002053D6" w:rsidP="00FD6679">
      <w:pPr>
        <w:spacing w:after="120" w:line="276" w:lineRule="auto"/>
        <w:rPr>
          <w:sz w:val="24"/>
          <w:szCs w:val="24"/>
          <w:lang w:val="en-US"/>
        </w:rPr>
      </w:pPr>
      <w:r w:rsidRPr="002053D6">
        <w:rPr>
          <w:sz w:val="24"/>
          <w:szCs w:val="24"/>
          <w:lang w:val="en-US"/>
        </w:rPr>
        <w:t xml:space="preserve">In the databases reviewed and in the FDA clinical information, </w:t>
      </w:r>
      <w:r>
        <w:rPr>
          <w:sz w:val="24"/>
          <w:szCs w:val="24"/>
          <w:lang w:val="en-US"/>
        </w:rPr>
        <w:t>T</w:t>
      </w:r>
      <w:r w:rsidRPr="002053D6">
        <w:rPr>
          <w:sz w:val="24"/>
          <w:szCs w:val="24"/>
          <w:lang w:val="en-US"/>
        </w:rPr>
        <w:t>rofinetide was identified as a substrate for UGT2B15 and the hepatic transporter OATP1B1, which are involved in processes related to drug metabolism and excretion, respectively. However, no interactions with cytochrome P450 enzymes were observed, suggesting a distinct elimination pathway from many neuroactive drugs. Although these proteins are not directly involved in the pathophysiology of RTT, they will be incorporated as validation controls in the molecular docking protocol: UGT2B15 and OATP1B1 as positive controls, as they have documented interactions, and CYP450 as a negative control, as it lacks them.</w:t>
      </w:r>
    </w:p>
    <w:p w14:paraId="52E79145" w14:textId="5655CEF3" w:rsidR="00B3064D" w:rsidRDefault="00201215" w:rsidP="00201215">
      <w:pPr>
        <w:spacing w:after="120" w:line="276" w:lineRule="auto"/>
        <w:rPr>
          <w:sz w:val="24"/>
          <w:szCs w:val="24"/>
          <w:lang w:val="en-US"/>
        </w:rPr>
      </w:pPr>
      <w:r w:rsidRPr="00201215">
        <w:rPr>
          <w:sz w:val="24"/>
          <w:szCs w:val="24"/>
          <w:lang w:val="en-US"/>
        </w:rPr>
        <w:t xml:space="preserve">Finally, to define the most relevant molecular targets for docking studies, we conducted a literature review based on experimental and clinical data associated with Rett syndrome (RTT). This process included a systematic review of clinical trials, mechanistic studies, pharmacological interventions, and receptor alterations reported in RTT models. The list was refined through cross-validation with databases and expanded by incorporating targets predicted by computational methods. As a result, a total of 28 molecular targets were </w:t>
      </w:r>
      <w:r w:rsidRPr="00201215">
        <w:rPr>
          <w:sz w:val="24"/>
          <w:szCs w:val="24"/>
          <w:lang w:val="en-US"/>
        </w:rPr>
        <w:lastRenderedPageBreak/>
        <w:t>selected, covering neurotransmission, synaptic plasticity, metabolic regulation, oxidative stress, inflammation, and drug metabolism. In this context, Table 1 summarizes the proteins selected for molecular docking with trofinetide, highlighting their acronym and their reported or proposed relevance in the pathophysiology of RTT, based on experimental models or clinical evidence.</w:t>
      </w:r>
    </w:p>
    <w:tbl>
      <w:tblPr>
        <w:tblStyle w:val="Tablaconcuadrcula"/>
        <w:tblpPr w:leftFromText="141" w:rightFromText="141" w:vertAnchor="text" w:tblpY="240"/>
        <w:tblW w:w="0" w:type="auto"/>
        <w:tblLook w:val="04A0" w:firstRow="1" w:lastRow="0" w:firstColumn="1" w:lastColumn="0" w:noHBand="0" w:noVBand="1"/>
      </w:tblPr>
      <w:tblGrid>
        <w:gridCol w:w="641"/>
        <w:gridCol w:w="2444"/>
        <w:gridCol w:w="1601"/>
        <w:gridCol w:w="4368"/>
      </w:tblGrid>
      <w:tr w:rsidR="00FD6679" w:rsidRPr="008B3BD9" w14:paraId="2120BC84" w14:textId="77777777" w:rsidTr="003648DE">
        <w:tc>
          <w:tcPr>
            <w:tcW w:w="9054" w:type="dxa"/>
            <w:gridSpan w:val="4"/>
            <w:vAlign w:val="center"/>
          </w:tcPr>
          <w:p w14:paraId="104AD02B" w14:textId="77777777" w:rsidR="00FD6679" w:rsidRPr="00626913" w:rsidRDefault="00FD6679" w:rsidP="003648DE">
            <w:pPr>
              <w:spacing w:after="120" w:line="276" w:lineRule="auto"/>
              <w:jc w:val="left"/>
              <w:rPr>
                <w:rFonts w:asciiTheme="majorBidi" w:hAnsiTheme="majorBidi" w:cstheme="majorBidi"/>
                <w:sz w:val="22"/>
                <w:szCs w:val="22"/>
                <w:lang w:val="en-US"/>
              </w:rPr>
            </w:pPr>
            <w:r w:rsidRPr="00B429BC">
              <w:rPr>
                <w:rFonts w:asciiTheme="majorBidi" w:hAnsiTheme="majorBidi" w:cstheme="majorBidi"/>
                <w:b/>
                <w:bCs/>
                <w:sz w:val="22"/>
                <w:szCs w:val="22"/>
                <w:lang w:val="en-US"/>
              </w:rPr>
              <w:t>Table 1.</w:t>
            </w:r>
            <w:r w:rsidRPr="00FD6679">
              <w:rPr>
                <w:rFonts w:asciiTheme="majorBidi" w:hAnsiTheme="majorBidi" w:cstheme="majorBidi"/>
                <w:sz w:val="22"/>
                <w:szCs w:val="22"/>
                <w:lang w:val="en-US"/>
              </w:rPr>
              <w:t xml:space="preserve"> </w:t>
            </w:r>
            <w:r w:rsidRPr="00626913">
              <w:rPr>
                <w:rFonts w:asciiTheme="majorBidi" w:hAnsiTheme="majorBidi" w:cstheme="majorBidi"/>
                <w:sz w:val="22"/>
                <w:szCs w:val="22"/>
                <w:lang w:val="en-US"/>
              </w:rPr>
              <w:t>Molecular targets ans their r</w:t>
            </w:r>
            <w:r>
              <w:rPr>
                <w:rFonts w:asciiTheme="majorBidi" w:hAnsiTheme="majorBidi" w:cstheme="majorBidi"/>
                <w:sz w:val="22"/>
                <w:szCs w:val="22"/>
                <w:lang w:val="en-US"/>
              </w:rPr>
              <w:t>elevance in RTT</w:t>
            </w:r>
          </w:p>
        </w:tc>
      </w:tr>
      <w:tr w:rsidR="00FD6679" w:rsidRPr="003478DF" w14:paraId="6CB880A3" w14:textId="77777777" w:rsidTr="003648DE">
        <w:tc>
          <w:tcPr>
            <w:tcW w:w="3085" w:type="dxa"/>
            <w:gridSpan w:val="2"/>
            <w:vAlign w:val="center"/>
          </w:tcPr>
          <w:p w14:paraId="7FECE4F2"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Protein</w:t>
            </w:r>
          </w:p>
        </w:tc>
        <w:tc>
          <w:tcPr>
            <w:tcW w:w="1601" w:type="dxa"/>
            <w:vAlign w:val="center"/>
          </w:tcPr>
          <w:p w14:paraId="3E1825AE"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Acronym</w:t>
            </w:r>
          </w:p>
        </w:tc>
        <w:tc>
          <w:tcPr>
            <w:tcW w:w="4368" w:type="dxa"/>
            <w:vAlign w:val="center"/>
          </w:tcPr>
          <w:p w14:paraId="3F6A512A"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Relevance in RTT</w:t>
            </w:r>
          </w:p>
        </w:tc>
      </w:tr>
      <w:tr w:rsidR="00FD6679" w:rsidRPr="003478DF" w14:paraId="4203670B" w14:textId="77777777" w:rsidTr="003648DE">
        <w:tc>
          <w:tcPr>
            <w:tcW w:w="641" w:type="dxa"/>
            <w:vMerge w:val="restart"/>
            <w:textDirection w:val="btLr"/>
            <w:vAlign w:val="center"/>
          </w:tcPr>
          <w:p w14:paraId="7D2BD8E2" w14:textId="77777777" w:rsidR="00FD6679" w:rsidRPr="003478DF" w:rsidRDefault="00FD6679" w:rsidP="003648DE">
            <w:pPr>
              <w:spacing w:after="120" w:line="276" w:lineRule="auto"/>
              <w:ind w:left="113" w:right="113"/>
              <w:jc w:val="center"/>
              <w:rPr>
                <w:rFonts w:asciiTheme="majorBidi" w:hAnsiTheme="majorBidi" w:cstheme="majorBidi"/>
                <w:sz w:val="22"/>
                <w:szCs w:val="22"/>
                <w:lang w:val="en-US"/>
              </w:rPr>
            </w:pPr>
            <w:r>
              <w:rPr>
                <w:rFonts w:asciiTheme="majorBidi" w:hAnsiTheme="majorBidi" w:cstheme="majorBidi"/>
                <w:sz w:val="22"/>
                <w:szCs w:val="22"/>
                <w:lang w:val="en-US"/>
              </w:rPr>
              <w:t xml:space="preserve">Neurotransmission </w:t>
            </w:r>
          </w:p>
        </w:tc>
        <w:tc>
          <w:tcPr>
            <w:tcW w:w="2444" w:type="dxa"/>
            <w:tcBorders>
              <w:top w:val="single" w:sz="4" w:space="0" w:color="auto"/>
              <w:left w:val="nil"/>
              <w:bottom w:val="single" w:sz="4" w:space="0" w:color="auto"/>
              <w:right w:val="nil"/>
            </w:tcBorders>
          </w:tcPr>
          <w:p w14:paraId="162C570E" w14:textId="77777777" w:rsidR="00FD6679" w:rsidRPr="00773332" w:rsidRDefault="00FD6679" w:rsidP="003648DE">
            <w:pPr>
              <w:spacing w:after="120" w:line="276" w:lineRule="auto"/>
              <w:jc w:val="center"/>
              <w:rPr>
                <w:rFonts w:asciiTheme="majorBidi" w:hAnsiTheme="majorBidi" w:cstheme="majorBidi"/>
                <w:sz w:val="22"/>
                <w:szCs w:val="22"/>
                <w:lang w:val="pt-BR"/>
              </w:rPr>
            </w:pPr>
            <w:r w:rsidRPr="00773332">
              <w:rPr>
                <w:lang w:val="pt-BR"/>
              </w:rPr>
              <w:t>N-Methyl-D-Aspartate receptor</w:t>
            </w:r>
          </w:p>
        </w:tc>
        <w:tc>
          <w:tcPr>
            <w:tcW w:w="1601" w:type="dxa"/>
          </w:tcPr>
          <w:p w14:paraId="3E147ECA" w14:textId="77777777" w:rsidR="00FD6679" w:rsidRPr="003478DF" w:rsidRDefault="00FD6679" w:rsidP="003648DE">
            <w:pPr>
              <w:spacing w:after="120" w:line="276" w:lineRule="auto"/>
              <w:jc w:val="center"/>
              <w:rPr>
                <w:rFonts w:asciiTheme="majorBidi" w:hAnsiTheme="majorBidi" w:cstheme="majorBidi"/>
                <w:sz w:val="22"/>
                <w:szCs w:val="22"/>
                <w:lang w:val="en-US"/>
              </w:rPr>
            </w:pPr>
            <w:r>
              <w:t>NMDA</w:t>
            </w:r>
          </w:p>
        </w:tc>
        <w:tc>
          <w:tcPr>
            <w:tcW w:w="4368" w:type="dxa"/>
          </w:tcPr>
          <w:p w14:paraId="3350E8E5" w14:textId="77777777" w:rsidR="00FD6679" w:rsidRPr="003478DF" w:rsidRDefault="00FD6679" w:rsidP="003648DE">
            <w:pPr>
              <w:spacing w:after="120" w:line="276" w:lineRule="auto"/>
              <w:rPr>
                <w:rFonts w:asciiTheme="majorBidi" w:hAnsiTheme="majorBidi" w:cstheme="majorBidi"/>
                <w:sz w:val="22"/>
                <w:szCs w:val="22"/>
                <w:lang w:val="en-US"/>
              </w:rPr>
            </w:pPr>
            <w:r>
              <w:rPr>
                <w:lang w:val="en-US"/>
              </w:rPr>
              <w:t>Its</w:t>
            </w:r>
            <w:r w:rsidRPr="00773332">
              <w:rPr>
                <w:lang w:val="en-US"/>
              </w:rPr>
              <w:t xml:space="preserve"> modulation improves respiratory patterns and short-term plasticity. In vivo studies with memantine, ketamine, and dextromethorphan</w:t>
            </w:r>
            <w:r>
              <w:rPr>
                <w:lang w:val="en-US"/>
              </w:rPr>
              <w:t xml:space="preserve"> </w:t>
            </w:r>
            <w:r w:rsidRPr="00773332">
              <w:rPr>
                <w:sz w:val="22"/>
                <w:szCs w:val="22"/>
                <w:lang w:val="en-US"/>
              </w:rPr>
              <w:t>[1</w:t>
            </w:r>
            <w:r>
              <w:rPr>
                <w:sz w:val="22"/>
                <w:szCs w:val="22"/>
                <w:lang w:val="en-US"/>
              </w:rPr>
              <w:t>4,15</w:t>
            </w:r>
            <w:r w:rsidRPr="00773332">
              <w:rPr>
                <w:sz w:val="22"/>
                <w:szCs w:val="22"/>
                <w:lang w:val="en-US"/>
              </w:rPr>
              <w:t>]</w:t>
            </w:r>
            <w:r w:rsidRPr="00773332">
              <w:rPr>
                <w:lang w:val="en-US"/>
              </w:rPr>
              <w:t>.</w:t>
            </w:r>
          </w:p>
        </w:tc>
      </w:tr>
      <w:tr w:rsidR="00FD6679" w:rsidRPr="008B3BD9" w14:paraId="7A8D8274" w14:textId="77777777" w:rsidTr="003648DE">
        <w:tc>
          <w:tcPr>
            <w:tcW w:w="641" w:type="dxa"/>
            <w:vMerge/>
            <w:vAlign w:val="center"/>
          </w:tcPr>
          <w:p w14:paraId="1794E046"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tcBorders>
              <w:top w:val="single" w:sz="4" w:space="0" w:color="auto"/>
              <w:left w:val="nil"/>
              <w:bottom w:val="single" w:sz="4" w:space="0" w:color="auto"/>
              <w:right w:val="nil"/>
            </w:tcBorders>
          </w:tcPr>
          <w:p w14:paraId="456C97A6" w14:textId="77777777" w:rsidR="00FD6679" w:rsidRPr="003478DF" w:rsidRDefault="00FD6679" w:rsidP="003648DE">
            <w:pPr>
              <w:spacing w:after="120" w:line="276" w:lineRule="auto"/>
              <w:jc w:val="center"/>
              <w:rPr>
                <w:rFonts w:asciiTheme="majorBidi" w:hAnsiTheme="majorBidi" w:cstheme="majorBidi"/>
                <w:sz w:val="22"/>
                <w:szCs w:val="22"/>
                <w:lang w:val="en-US"/>
              </w:rPr>
            </w:pPr>
            <w:r>
              <w:t>GABA transporter 1</w:t>
            </w:r>
          </w:p>
        </w:tc>
        <w:tc>
          <w:tcPr>
            <w:tcW w:w="1601" w:type="dxa"/>
          </w:tcPr>
          <w:p w14:paraId="72029A50" w14:textId="77777777" w:rsidR="00FD6679" w:rsidRPr="003478DF" w:rsidRDefault="00FD6679" w:rsidP="003648DE">
            <w:pPr>
              <w:spacing w:after="120" w:line="276" w:lineRule="auto"/>
              <w:jc w:val="center"/>
              <w:rPr>
                <w:rFonts w:asciiTheme="majorBidi" w:hAnsiTheme="majorBidi" w:cstheme="majorBidi"/>
                <w:sz w:val="22"/>
                <w:szCs w:val="22"/>
                <w:lang w:val="en-US"/>
              </w:rPr>
            </w:pPr>
            <w:r>
              <w:t>GAT1</w:t>
            </w:r>
          </w:p>
        </w:tc>
        <w:tc>
          <w:tcPr>
            <w:tcW w:w="4368" w:type="dxa"/>
          </w:tcPr>
          <w:p w14:paraId="68E6D530" w14:textId="77777777" w:rsidR="00FD6679" w:rsidRPr="003478DF" w:rsidRDefault="00FD6679" w:rsidP="003648DE">
            <w:pPr>
              <w:spacing w:after="120" w:line="276" w:lineRule="auto"/>
              <w:rPr>
                <w:rFonts w:asciiTheme="majorBidi" w:hAnsiTheme="majorBidi" w:cstheme="majorBidi"/>
                <w:sz w:val="22"/>
                <w:szCs w:val="22"/>
                <w:lang w:val="en-US"/>
              </w:rPr>
            </w:pPr>
            <w:r w:rsidRPr="004B77A2">
              <w:rPr>
                <w:lang w:val="en-US"/>
              </w:rPr>
              <w:t>Its dysregulation has been observed in RTT models, affecting the excitatory-inhibitory balance</w:t>
            </w:r>
            <w:r>
              <w:rPr>
                <w:lang w:val="en-US"/>
              </w:rPr>
              <w:t xml:space="preserve"> </w:t>
            </w:r>
            <w:r w:rsidRPr="00773332">
              <w:rPr>
                <w:sz w:val="22"/>
                <w:szCs w:val="22"/>
                <w:lang w:val="en-US"/>
              </w:rPr>
              <w:t>[1</w:t>
            </w:r>
            <w:r>
              <w:rPr>
                <w:sz w:val="22"/>
                <w:szCs w:val="22"/>
                <w:lang w:val="en-US"/>
              </w:rPr>
              <w:t>6,17</w:t>
            </w:r>
            <w:r w:rsidRPr="00773332">
              <w:rPr>
                <w:sz w:val="22"/>
                <w:szCs w:val="22"/>
                <w:lang w:val="en-US"/>
              </w:rPr>
              <w:t>]</w:t>
            </w:r>
            <w:r w:rsidRPr="004B77A2">
              <w:rPr>
                <w:lang w:val="en-US"/>
              </w:rPr>
              <w:t>.</w:t>
            </w:r>
          </w:p>
        </w:tc>
      </w:tr>
      <w:tr w:rsidR="00FD6679" w:rsidRPr="003478DF" w14:paraId="09E55373" w14:textId="77777777" w:rsidTr="003648DE">
        <w:tc>
          <w:tcPr>
            <w:tcW w:w="641" w:type="dxa"/>
            <w:vMerge/>
            <w:vAlign w:val="center"/>
          </w:tcPr>
          <w:p w14:paraId="21D28B30"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tcBorders>
              <w:top w:val="single" w:sz="4" w:space="0" w:color="auto"/>
              <w:left w:val="nil"/>
              <w:bottom w:val="single" w:sz="4" w:space="0" w:color="auto"/>
              <w:right w:val="nil"/>
            </w:tcBorders>
            <w:vAlign w:val="center"/>
          </w:tcPr>
          <w:p w14:paraId="25326B68"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Metabotropic GABA receptor type B</w:t>
            </w:r>
          </w:p>
        </w:tc>
        <w:tc>
          <w:tcPr>
            <w:tcW w:w="1601" w:type="dxa"/>
            <w:vAlign w:val="center"/>
          </w:tcPr>
          <w:p w14:paraId="1A4F4CC0"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color w:val="000000"/>
                <w:sz w:val="22"/>
                <w:szCs w:val="22"/>
                <w:lang w:val="en-US"/>
              </w:rPr>
              <w:t>GABAB</w:t>
            </w:r>
          </w:p>
        </w:tc>
        <w:tc>
          <w:tcPr>
            <w:tcW w:w="4368" w:type="dxa"/>
            <w:vAlign w:val="center"/>
          </w:tcPr>
          <w:p w14:paraId="6F401EAA"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Altered expression has been associated with motor and behavioral dysfunction in RTT. Preclinical evidence in KO mice</w:t>
            </w:r>
            <w:r>
              <w:rPr>
                <w:lang w:val="en-US"/>
              </w:rPr>
              <w:t xml:space="preserve"> </w:t>
            </w:r>
            <w:r w:rsidRPr="00773332">
              <w:rPr>
                <w:sz w:val="22"/>
                <w:szCs w:val="22"/>
                <w:lang w:val="en-US"/>
              </w:rPr>
              <w:t>[1</w:t>
            </w:r>
            <w:r>
              <w:rPr>
                <w:sz w:val="22"/>
                <w:szCs w:val="22"/>
                <w:lang w:val="en-US"/>
              </w:rPr>
              <w:t>4,16</w:t>
            </w:r>
            <w:r w:rsidRPr="00773332">
              <w:rPr>
                <w:sz w:val="22"/>
                <w:szCs w:val="22"/>
                <w:lang w:val="en-US"/>
              </w:rPr>
              <w:t>]</w:t>
            </w:r>
            <w:r w:rsidRPr="003478DF">
              <w:rPr>
                <w:lang w:val="en-US"/>
              </w:rPr>
              <w:t>.</w:t>
            </w:r>
            <w:r>
              <w:rPr>
                <w:lang w:val="en-US"/>
              </w:rPr>
              <w:t xml:space="preserve"> </w:t>
            </w:r>
          </w:p>
        </w:tc>
      </w:tr>
      <w:tr w:rsidR="00FD6679" w:rsidRPr="003478DF" w14:paraId="6DACCE5E" w14:textId="77777777" w:rsidTr="003648DE">
        <w:tc>
          <w:tcPr>
            <w:tcW w:w="641" w:type="dxa"/>
            <w:vMerge/>
            <w:vAlign w:val="center"/>
          </w:tcPr>
          <w:p w14:paraId="3DBF27A3"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tcBorders>
              <w:top w:val="single" w:sz="4" w:space="0" w:color="auto"/>
              <w:left w:val="nil"/>
              <w:bottom w:val="single" w:sz="4" w:space="0" w:color="auto"/>
              <w:right w:val="nil"/>
            </w:tcBorders>
            <w:vAlign w:val="center"/>
          </w:tcPr>
          <w:p w14:paraId="69606F48"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Ionotropic GABA receptor type A</w:t>
            </w:r>
          </w:p>
        </w:tc>
        <w:tc>
          <w:tcPr>
            <w:tcW w:w="1601" w:type="dxa"/>
            <w:vAlign w:val="center"/>
          </w:tcPr>
          <w:p w14:paraId="3399F98B"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color w:val="000000"/>
                <w:sz w:val="22"/>
                <w:szCs w:val="22"/>
                <w:lang w:val="en-US"/>
              </w:rPr>
              <w:t>GABAA</w:t>
            </w:r>
          </w:p>
        </w:tc>
        <w:tc>
          <w:tcPr>
            <w:tcW w:w="4368" w:type="dxa"/>
            <w:vAlign w:val="center"/>
          </w:tcPr>
          <w:p w14:paraId="350721EA"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Its imbalance with glutamatergic receptors contributes to the clinical phenotype of RTT. Targeted in GABA-based therapies</w:t>
            </w:r>
            <w:r>
              <w:rPr>
                <w:lang w:val="en-US"/>
              </w:rPr>
              <w:t xml:space="preserve"> </w:t>
            </w:r>
            <w:r w:rsidRPr="00773332">
              <w:rPr>
                <w:sz w:val="22"/>
                <w:szCs w:val="22"/>
                <w:lang w:val="en-US"/>
              </w:rPr>
              <w:t>[1</w:t>
            </w:r>
            <w:r>
              <w:rPr>
                <w:sz w:val="22"/>
                <w:szCs w:val="22"/>
                <w:lang w:val="en-US"/>
              </w:rPr>
              <w:t>5,17</w:t>
            </w:r>
            <w:r w:rsidRPr="00773332">
              <w:rPr>
                <w:sz w:val="22"/>
                <w:szCs w:val="22"/>
                <w:lang w:val="en-US"/>
              </w:rPr>
              <w:t>]</w:t>
            </w:r>
            <w:r w:rsidRPr="003478DF">
              <w:rPr>
                <w:lang w:val="en-US"/>
              </w:rPr>
              <w:t>.</w:t>
            </w:r>
          </w:p>
        </w:tc>
      </w:tr>
      <w:tr w:rsidR="00FD6679" w:rsidRPr="008B3BD9" w14:paraId="6DF7B930" w14:textId="77777777" w:rsidTr="003648DE">
        <w:tc>
          <w:tcPr>
            <w:tcW w:w="641" w:type="dxa"/>
            <w:vMerge/>
            <w:vAlign w:val="center"/>
          </w:tcPr>
          <w:p w14:paraId="1975ED7A"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tcBorders>
              <w:top w:val="single" w:sz="4" w:space="0" w:color="auto"/>
              <w:left w:val="nil"/>
              <w:bottom w:val="single" w:sz="4" w:space="0" w:color="auto"/>
              <w:right w:val="nil"/>
            </w:tcBorders>
            <w:vAlign w:val="center"/>
          </w:tcPr>
          <w:p w14:paraId="5C242893" w14:textId="77777777" w:rsidR="00FD6679" w:rsidRPr="00626913" w:rsidRDefault="00FD6679" w:rsidP="003648DE">
            <w:pPr>
              <w:spacing w:after="120" w:line="276" w:lineRule="auto"/>
              <w:jc w:val="center"/>
              <w:rPr>
                <w:rFonts w:asciiTheme="majorBidi" w:hAnsiTheme="majorBidi" w:cstheme="majorBidi"/>
                <w:sz w:val="22"/>
                <w:szCs w:val="22"/>
                <w:lang w:val="pt-BR"/>
              </w:rPr>
            </w:pPr>
            <w:r w:rsidRPr="003478DF">
              <w:rPr>
                <w:lang w:val="en-US"/>
              </w:rPr>
              <w:t>Muscarinic acetylcholine receptor M1</w:t>
            </w:r>
          </w:p>
        </w:tc>
        <w:tc>
          <w:tcPr>
            <w:tcW w:w="1601" w:type="dxa"/>
            <w:vAlign w:val="center"/>
          </w:tcPr>
          <w:p w14:paraId="723585A3"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color w:val="000000"/>
                <w:sz w:val="22"/>
                <w:szCs w:val="22"/>
                <w:lang w:val="en-US"/>
              </w:rPr>
              <w:t>CHRM1</w:t>
            </w:r>
          </w:p>
        </w:tc>
        <w:tc>
          <w:tcPr>
            <w:tcW w:w="4368" w:type="dxa"/>
            <w:vAlign w:val="center"/>
          </w:tcPr>
          <w:p w14:paraId="0A54B02F"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Cholinergic alterations have been identified in RTT models</w:t>
            </w:r>
            <w:r>
              <w:rPr>
                <w:lang w:val="en-US"/>
              </w:rPr>
              <w:t xml:space="preserve"> </w:t>
            </w:r>
            <w:r w:rsidRPr="00773332">
              <w:rPr>
                <w:sz w:val="22"/>
                <w:szCs w:val="22"/>
                <w:lang w:val="en-US"/>
              </w:rPr>
              <w:t>[1</w:t>
            </w:r>
            <w:r>
              <w:rPr>
                <w:sz w:val="22"/>
                <w:szCs w:val="22"/>
                <w:lang w:val="en-US"/>
              </w:rPr>
              <w:t>6</w:t>
            </w:r>
            <w:r w:rsidRPr="00773332">
              <w:rPr>
                <w:sz w:val="22"/>
                <w:szCs w:val="22"/>
                <w:lang w:val="en-US"/>
              </w:rPr>
              <w:t>]</w:t>
            </w:r>
            <w:r w:rsidRPr="003478DF">
              <w:rPr>
                <w:lang w:val="en-US"/>
              </w:rPr>
              <w:t>.</w:t>
            </w:r>
          </w:p>
        </w:tc>
      </w:tr>
      <w:tr w:rsidR="00FD6679" w:rsidRPr="008B3BD9" w14:paraId="29673642" w14:textId="77777777" w:rsidTr="003648DE">
        <w:tc>
          <w:tcPr>
            <w:tcW w:w="641" w:type="dxa"/>
            <w:vMerge/>
            <w:vAlign w:val="center"/>
          </w:tcPr>
          <w:p w14:paraId="53885688"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tcBorders>
              <w:top w:val="single" w:sz="4" w:space="0" w:color="auto"/>
              <w:left w:val="nil"/>
              <w:bottom w:val="single" w:sz="4" w:space="0" w:color="auto"/>
              <w:right w:val="nil"/>
            </w:tcBorders>
            <w:vAlign w:val="center"/>
          </w:tcPr>
          <w:p w14:paraId="306C6F0E"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Dopamine receptor D2</w:t>
            </w:r>
          </w:p>
        </w:tc>
        <w:tc>
          <w:tcPr>
            <w:tcW w:w="1601" w:type="dxa"/>
            <w:vAlign w:val="center"/>
          </w:tcPr>
          <w:p w14:paraId="4AED4926"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color w:val="000000"/>
                <w:sz w:val="22"/>
                <w:szCs w:val="22"/>
                <w:lang w:val="en-US"/>
              </w:rPr>
              <w:t>D2Dr</w:t>
            </w:r>
          </w:p>
        </w:tc>
        <w:tc>
          <w:tcPr>
            <w:tcW w:w="4368" w:type="dxa"/>
            <w:vAlign w:val="center"/>
          </w:tcPr>
          <w:p w14:paraId="0C1C0136"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The D2 agonist sarizotan was evaluated in clinical trials for respiratory symptoms in RTT</w:t>
            </w:r>
            <w:r>
              <w:rPr>
                <w:lang w:val="en-US"/>
              </w:rPr>
              <w:t xml:space="preserve"> </w:t>
            </w:r>
            <w:r w:rsidRPr="00773332">
              <w:rPr>
                <w:sz w:val="22"/>
                <w:szCs w:val="22"/>
                <w:lang w:val="en-US"/>
              </w:rPr>
              <w:t>[1</w:t>
            </w:r>
            <w:r>
              <w:rPr>
                <w:sz w:val="22"/>
                <w:szCs w:val="22"/>
                <w:lang w:val="en-US"/>
              </w:rPr>
              <w:t>5</w:t>
            </w:r>
            <w:r w:rsidRPr="00773332">
              <w:rPr>
                <w:sz w:val="22"/>
                <w:szCs w:val="22"/>
                <w:lang w:val="en-US"/>
              </w:rPr>
              <w:t>]</w:t>
            </w:r>
            <w:r w:rsidRPr="003478DF">
              <w:rPr>
                <w:lang w:val="en-US"/>
              </w:rPr>
              <w:t>.</w:t>
            </w:r>
          </w:p>
        </w:tc>
      </w:tr>
      <w:tr w:rsidR="00FD6679" w:rsidRPr="008B3BD9" w14:paraId="1BA9EC53" w14:textId="77777777" w:rsidTr="003648DE">
        <w:tc>
          <w:tcPr>
            <w:tcW w:w="641" w:type="dxa"/>
            <w:vMerge/>
            <w:vAlign w:val="center"/>
          </w:tcPr>
          <w:p w14:paraId="779939F2"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tcBorders>
              <w:top w:val="single" w:sz="4" w:space="0" w:color="auto"/>
              <w:left w:val="nil"/>
              <w:bottom w:val="single" w:sz="4" w:space="0" w:color="auto"/>
              <w:right w:val="nil"/>
            </w:tcBorders>
            <w:vAlign w:val="center"/>
          </w:tcPr>
          <w:p w14:paraId="4C50ED0D"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Serotonin</w:t>
            </w:r>
            <w:r>
              <w:rPr>
                <w:lang w:val="en-US"/>
              </w:rPr>
              <w:t xml:space="preserve"> </w:t>
            </w:r>
            <w:r w:rsidRPr="003478DF">
              <w:rPr>
                <w:lang w:val="en-US"/>
              </w:rPr>
              <w:t>receptor 2A</w:t>
            </w:r>
          </w:p>
        </w:tc>
        <w:tc>
          <w:tcPr>
            <w:tcW w:w="1601" w:type="dxa"/>
            <w:vAlign w:val="center"/>
          </w:tcPr>
          <w:p w14:paraId="57A2FA8A"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color w:val="000000"/>
                <w:sz w:val="22"/>
                <w:szCs w:val="22"/>
                <w:lang w:val="en-US"/>
              </w:rPr>
              <w:t>5HT2A</w:t>
            </w:r>
          </w:p>
        </w:tc>
        <w:tc>
          <w:tcPr>
            <w:tcW w:w="4368" w:type="dxa"/>
            <w:vAlign w:val="center"/>
          </w:tcPr>
          <w:p w14:paraId="227272C6"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Serotonergic dysregulation has been observed in RTT</w:t>
            </w:r>
            <w:r>
              <w:rPr>
                <w:lang w:val="en-US"/>
              </w:rPr>
              <w:t xml:space="preserve"> </w:t>
            </w:r>
            <w:r w:rsidRPr="00773332">
              <w:rPr>
                <w:sz w:val="22"/>
                <w:szCs w:val="22"/>
                <w:lang w:val="en-US"/>
              </w:rPr>
              <w:t>[1</w:t>
            </w:r>
            <w:r>
              <w:rPr>
                <w:sz w:val="22"/>
                <w:szCs w:val="22"/>
                <w:lang w:val="en-US"/>
              </w:rPr>
              <w:t>5</w:t>
            </w:r>
            <w:r w:rsidRPr="00773332">
              <w:rPr>
                <w:sz w:val="22"/>
                <w:szCs w:val="22"/>
                <w:lang w:val="en-US"/>
              </w:rPr>
              <w:t>]</w:t>
            </w:r>
            <w:r w:rsidRPr="003478DF">
              <w:rPr>
                <w:lang w:val="en-US"/>
              </w:rPr>
              <w:t>.</w:t>
            </w:r>
          </w:p>
        </w:tc>
      </w:tr>
      <w:tr w:rsidR="00FD6679" w:rsidRPr="008B3BD9" w14:paraId="404F546E" w14:textId="77777777" w:rsidTr="003648DE">
        <w:tc>
          <w:tcPr>
            <w:tcW w:w="641" w:type="dxa"/>
            <w:vMerge/>
            <w:vAlign w:val="center"/>
          </w:tcPr>
          <w:p w14:paraId="60DBF030"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tcBorders>
              <w:top w:val="single" w:sz="4" w:space="0" w:color="auto"/>
              <w:left w:val="nil"/>
              <w:bottom w:val="single" w:sz="4" w:space="0" w:color="auto"/>
              <w:right w:val="nil"/>
            </w:tcBorders>
            <w:vAlign w:val="center"/>
          </w:tcPr>
          <w:p w14:paraId="709A3894"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Adenosine receptor A2A</w:t>
            </w:r>
          </w:p>
        </w:tc>
        <w:tc>
          <w:tcPr>
            <w:tcW w:w="1601" w:type="dxa"/>
            <w:vAlign w:val="center"/>
          </w:tcPr>
          <w:p w14:paraId="6779691E"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color w:val="000000"/>
                <w:sz w:val="22"/>
                <w:szCs w:val="22"/>
                <w:lang w:val="en-US"/>
              </w:rPr>
              <w:t>A2AR</w:t>
            </w:r>
          </w:p>
        </w:tc>
        <w:tc>
          <w:tcPr>
            <w:tcW w:w="4368" w:type="dxa"/>
            <w:vAlign w:val="center"/>
          </w:tcPr>
          <w:p w14:paraId="37C29EB5"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Activation exerts neuroprotective effects. Functional studies in neurological models suggest involvement in RTT</w:t>
            </w:r>
            <w:r>
              <w:rPr>
                <w:lang w:val="en-US"/>
              </w:rPr>
              <w:t xml:space="preserve"> </w:t>
            </w:r>
            <w:r w:rsidRPr="00773332">
              <w:rPr>
                <w:sz w:val="22"/>
                <w:szCs w:val="22"/>
                <w:lang w:val="en-US"/>
              </w:rPr>
              <w:t>[1</w:t>
            </w:r>
            <w:r>
              <w:rPr>
                <w:sz w:val="22"/>
                <w:szCs w:val="22"/>
                <w:lang w:val="en-US"/>
              </w:rPr>
              <w:t>6</w:t>
            </w:r>
            <w:r w:rsidRPr="00773332">
              <w:rPr>
                <w:sz w:val="22"/>
                <w:szCs w:val="22"/>
                <w:lang w:val="en-US"/>
              </w:rPr>
              <w:t>]</w:t>
            </w:r>
            <w:r w:rsidRPr="003478DF">
              <w:rPr>
                <w:lang w:val="en-US"/>
              </w:rPr>
              <w:t>.</w:t>
            </w:r>
          </w:p>
        </w:tc>
      </w:tr>
      <w:tr w:rsidR="00FD6679" w:rsidRPr="008B3BD9" w14:paraId="18230714" w14:textId="77777777" w:rsidTr="003648DE">
        <w:tc>
          <w:tcPr>
            <w:tcW w:w="641" w:type="dxa"/>
            <w:vMerge/>
            <w:vAlign w:val="center"/>
          </w:tcPr>
          <w:p w14:paraId="3E66CF29"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tcBorders>
              <w:top w:val="single" w:sz="4" w:space="0" w:color="auto"/>
              <w:left w:val="nil"/>
              <w:bottom w:val="single" w:sz="4" w:space="0" w:color="auto"/>
              <w:right w:val="nil"/>
            </w:tcBorders>
            <w:vAlign w:val="center"/>
          </w:tcPr>
          <w:p w14:paraId="09263183" w14:textId="77777777" w:rsidR="00FD6679" w:rsidRDefault="00FD6679" w:rsidP="003648DE">
            <w:pPr>
              <w:spacing w:after="120" w:line="276" w:lineRule="auto"/>
              <w:jc w:val="center"/>
              <w:rPr>
                <w:lang w:val="en-US"/>
              </w:rPr>
            </w:pPr>
            <w:r w:rsidRPr="003478DF">
              <w:rPr>
                <w:lang w:val="en-US"/>
              </w:rPr>
              <w:t xml:space="preserve">Na⁺/K⁺/Cl⁻ </w:t>
            </w:r>
          </w:p>
          <w:p w14:paraId="19462B5C"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cotransporter 1</w:t>
            </w:r>
          </w:p>
        </w:tc>
        <w:tc>
          <w:tcPr>
            <w:tcW w:w="1601" w:type="dxa"/>
            <w:vAlign w:val="center"/>
          </w:tcPr>
          <w:p w14:paraId="33FA27D0"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color w:val="000000"/>
                <w:sz w:val="22"/>
                <w:szCs w:val="22"/>
                <w:lang w:val="en-US"/>
              </w:rPr>
              <w:t>NKCC1</w:t>
            </w:r>
          </w:p>
        </w:tc>
        <w:tc>
          <w:tcPr>
            <w:tcW w:w="4368" w:type="dxa"/>
            <w:vAlign w:val="center"/>
          </w:tcPr>
          <w:p w14:paraId="1ED623AB"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GABA signaling analyses in RTT models show that altered function contributes to excitatory/inhibitory imbalance</w:t>
            </w:r>
            <w:r>
              <w:rPr>
                <w:lang w:val="en-US"/>
              </w:rPr>
              <w:t xml:space="preserve"> </w:t>
            </w:r>
            <w:r w:rsidRPr="00773332">
              <w:rPr>
                <w:sz w:val="22"/>
                <w:szCs w:val="22"/>
                <w:lang w:val="en-US"/>
              </w:rPr>
              <w:t>[1</w:t>
            </w:r>
            <w:r>
              <w:rPr>
                <w:sz w:val="22"/>
                <w:szCs w:val="22"/>
                <w:lang w:val="en-US"/>
              </w:rPr>
              <w:t>6</w:t>
            </w:r>
            <w:r w:rsidRPr="00773332">
              <w:rPr>
                <w:sz w:val="22"/>
                <w:szCs w:val="22"/>
                <w:lang w:val="en-US"/>
              </w:rPr>
              <w:t>]</w:t>
            </w:r>
            <w:r w:rsidRPr="003478DF">
              <w:rPr>
                <w:lang w:val="en-US"/>
              </w:rPr>
              <w:t>.</w:t>
            </w:r>
          </w:p>
        </w:tc>
      </w:tr>
      <w:tr w:rsidR="00FD6679" w:rsidRPr="008B3BD9" w14:paraId="33CCD80C" w14:textId="77777777" w:rsidTr="003648DE">
        <w:tc>
          <w:tcPr>
            <w:tcW w:w="641" w:type="dxa"/>
            <w:vMerge/>
            <w:vAlign w:val="center"/>
          </w:tcPr>
          <w:p w14:paraId="12D34756"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tcBorders>
              <w:top w:val="single" w:sz="4" w:space="0" w:color="auto"/>
              <w:left w:val="nil"/>
              <w:bottom w:val="single" w:sz="4" w:space="0" w:color="auto"/>
              <w:right w:val="nil"/>
            </w:tcBorders>
            <w:vAlign w:val="center"/>
          </w:tcPr>
          <w:p w14:paraId="4E646324"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Serotonin transporter</w:t>
            </w:r>
          </w:p>
        </w:tc>
        <w:tc>
          <w:tcPr>
            <w:tcW w:w="1601" w:type="dxa"/>
            <w:vAlign w:val="center"/>
          </w:tcPr>
          <w:p w14:paraId="7C3C3F0E"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color w:val="000000"/>
                <w:sz w:val="22"/>
                <w:szCs w:val="22"/>
                <w:lang w:val="en-US"/>
              </w:rPr>
              <w:t>hSERT</w:t>
            </w:r>
          </w:p>
        </w:tc>
        <w:tc>
          <w:tcPr>
            <w:tcW w:w="4368" w:type="dxa"/>
            <w:vAlign w:val="center"/>
          </w:tcPr>
          <w:p w14:paraId="2E4BFA44" w14:textId="77777777" w:rsidR="00FD6679" w:rsidRPr="003478DF" w:rsidRDefault="00FD6679" w:rsidP="003648DE">
            <w:pPr>
              <w:spacing w:after="120" w:line="276" w:lineRule="auto"/>
              <w:rPr>
                <w:rFonts w:asciiTheme="majorBidi" w:hAnsiTheme="majorBidi" w:cstheme="majorBidi"/>
                <w:sz w:val="22"/>
                <w:szCs w:val="22"/>
                <w:lang w:val="en-US"/>
              </w:rPr>
            </w:pPr>
            <w:r w:rsidRPr="004820F9">
              <w:rPr>
                <w:lang w:val="en-US"/>
              </w:rPr>
              <w:t xml:space="preserve">Selective </w:t>
            </w:r>
            <w:r>
              <w:rPr>
                <w:lang w:val="en-US"/>
              </w:rPr>
              <w:t>s</w:t>
            </w:r>
            <w:r w:rsidRPr="004820F9">
              <w:rPr>
                <w:lang w:val="en-US"/>
              </w:rPr>
              <w:t xml:space="preserve">erotonin </w:t>
            </w:r>
            <w:r>
              <w:rPr>
                <w:lang w:val="en-US"/>
              </w:rPr>
              <w:t>r</w:t>
            </w:r>
            <w:r w:rsidRPr="004820F9">
              <w:rPr>
                <w:lang w:val="en-US"/>
              </w:rPr>
              <w:t xml:space="preserve">euptake </w:t>
            </w:r>
            <w:r>
              <w:rPr>
                <w:lang w:val="en-US"/>
              </w:rPr>
              <w:t>i</w:t>
            </w:r>
            <w:r w:rsidRPr="004820F9">
              <w:rPr>
                <w:lang w:val="en-US"/>
              </w:rPr>
              <w:t xml:space="preserve">hibitors </w:t>
            </w:r>
            <w:r w:rsidRPr="003478DF">
              <w:rPr>
                <w:lang w:val="en-US"/>
              </w:rPr>
              <w:t xml:space="preserve"> increases MeCP2 expression and have shown partial clinical benefit in RTT</w:t>
            </w:r>
            <w:r>
              <w:rPr>
                <w:lang w:val="en-US"/>
              </w:rPr>
              <w:t xml:space="preserve"> </w:t>
            </w:r>
            <w:r w:rsidRPr="00773332">
              <w:rPr>
                <w:sz w:val="22"/>
                <w:szCs w:val="22"/>
                <w:lang w:val="en-US"/>
              </w:rPr>
              <w:t>[1</w:t>
            </w:r>
            <w:r>
              <w:rPr>
                <w:sz w:val="22"/>
                <w:szCs w:val="22"/>
                <w:lang w:val="en-US"/>
              </w:rPr>
              <w:t>4</w:t>
            </w:r>
            <w:r w:rsidRPr="00773332">
              <w:rPr>
                <w:sz w:val="22"/>
                <w:szCs w:val="22"/>
                <w:lang w:val="en-US"/>
              </w:rPr>
              <w:t>]</w:t>
            </w:r>
            <w:r w:rsidRPr="003478DF">
              <w:rPr>
                <w:lang w:val="en-US"/>
              </w:rPr>
              <w:t>.</w:t>
            </w:r>
          </w:p>
        </w:tc>
      </w:tr>
      <w:tr w:rsidR="00FD6679" w:rsidRPr="008B3BD9" w14:paraId="7D7C874C" w14:textId="77777777" w:rsidTr="003648DE">
        <w:tc>
          <w:tcPr>
            <w:tcW w:w="641" w:type="dxa"/>
            <w:vMerge/>
            <w:vAlign w:val="center"/>
          </w:tcPr>
          <w:p w14:paraId="548919ED"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tcBorders>
              <w:top w:val="single" w:sz="4" w:space="0" w:color="auto"/>
              <w:left w:val="nil"/>
              <w:bottom w:val="single" w:sz="4" w:space="0" w:color="auto"/>
              <w:right w:val="nil"/>
            </w:tcBorders>
            <w:vAlign w:val="center"/>
          </w:tcPr>
          <w:p w14:paraId="2AB48393"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Acetylcholinesterase</w:t>
            </w:r>
          </w:p>
        </w:tc>
        <w:tc>
          <w:tcPr>
            <w:tcW w:w="1601" w:type="dxa"/>
            <w:vAlign w:val="center"/>
          </w:tcPr>
          <w:p w14:paraId="6A285626"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color w:val="000000"/>
                <w:sz w:val="22"/>
                <w:szCs w:val="22"/>
                <w:lang w:val="en-US"/>
              </w:rPr>
              <w:t>AChE</w:t>
            </w:r>
          </w:p>
        </w:tc>
        <w:tc>
          <w:tcPr>
            <w:tcW w:w="4368" w:type="dxa"/>
            <w:vAlign w:val="center"/>
          </w:tcPr>
          <w:p w14:paraId="287DCF0A"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Cholinergic studies in RTT show functionally relevant alterations</w:t>
            </w:r>
            <w:r>
              <w:rPr>
                <w:lang w:val="en-US"/>
              </w:rPr>
              <w:t xml:space="preserve"> </w:t>
            </w:r>
            <w:r w:rsidRPr="00773332">
              <w:rPr>
                <w:sz w:val="22"/>
                <w:szCs w:val="22"/>
                <w:lang w:val="en-US"/>
              </w:rPr>
              <w:t>[1</w:t>
            </w:r>
            <w:r>
              <w:rPr>
                <w:sz w:val="22"/>
                <w:szCs w:val="22"/>
                <w:lang w:val="en-US"/>
              </w:rPr>
              <w:t>6</w:t>
            </w:r>
            <w:r w:rsidRPr="00773332">
              <w:rPr>
                <w:sz w:val="22"/>
                <w:szCs w:val="22"/>
                <w:lang w:val="en-US"/>
              </w:rPr>
              <w:t>]</w:t>
            </w:r>
            <w:r w:rsidRPr="003478DF">
              <w:rPr>
                <w:lang w:val="en-US"/>
              </w:rPr>
              <w:t>.</w:t>
            </w:r>
          </w:p>
        </w:tc>
      </w:tr>
      <w:tr w:rsidR="00FD6679" w:rsidRPr="008B3BD9" w14:paraId="33CD24AF" w14:textId="77777777" w:rsidTr="003648DE">
        <w:tc>
          <w:tcPr>
            <w:tcW w:w="641" w:type="dxa"/>
            <w:vMerge/>
            <w:vAlign w:val="center"/>
          </w:tcPr>
          <w:p w14:paraId="2D5F788E"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tcBorders>
              <w:top w:val="single" w:sz="4" w:space="0" w:color="auto"/>
              <w:left w:val="nil"/>
              <w:bottom w:val="single" w:sz="4" w:space="0" w:color="auto"/>
              <w:right w:val="nil"/>
            </w:tcBorders>
            <w:vAlign w:val="center"/>
          </w:tcPr>
          <w:p w14:paraId="42A0A27F"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Monoamine oxidase B</w:t>
            </w:r>
          </w:p>
        </w:tc>
        <w:tc>
          <w:tcPr>
            <w:tcW w:w="1601" w:type="dxa"/>
            <w:vAlign w:val="center"/>
          </w:tcPr>
          <w:p w14:paraId="2786C3D8"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color w:val="000000"/>
                <w:sz w:val="22"/>
                <w:szCs w:val="22"/>
                <w:lang w:val="en-US"/>
              </w:rPr>
              <w:t>MAOB</w:t>
            </w:r>
          </w:p>
        </w:tc>
        <w:tc>
          <w:tcPr>
            <w:tcW w:w="4368" w:type="dxa"/>
            <w:vAlign w:val="center"/>
          </w:tcPr>
          <w:p w14:paraId="781409E9"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Monoaminergic metabolism abnormalities have been described in RTT patients and models</w:t>
            </w:r>
            <w:r>
              <w:rPr>
                <w:lang w:val="en-US"/>
              </w:rPr>
              <w:t xml:space="preserve"> </w:t>
            </w:r>
            <w:r w:rsidRPr="00773332">
              <w:rPr>
                <w:sz w:val="22"/>
                <w:szCs w:val="22"/>
                <w:lang w:val="en-US"/>
              </w:rPr>
              <w:t>[1</w:t>
            </w:r>
            <w:r>
              <w:rPr>
                <w:sz w:val="22"/>
                <w:szCs w:val="22"/>
                <w:lang w:val="en-US"/>
              </w:rPr>
              <w:t>8</w:t>
            </w:r>
            <w:r w:rsidRPr="00773332">
              <w:rPr>
                <w:sz w:val="22"/>
                <w:szCs w:val="22"/>
                <w:lang w:val="en-US"/>
              </w:rPr>
              <w:t>]</w:t>
            </w:r>
            <w:r w:rsidRPr="003478DF">
              <w:rPr>
                <w:lang w:val="en-US"/>
              </w:rPr>
              <w:t>.</w:t>
            </w:r>
          </w:p>
        </w:tc>
      </w:tr>
      <w:tr w:rsidR="00FD6679" w:rsidRPr="008B3BD9" w14:paraId="09AF5A95" w14:textId="77777777" w:rsidTr="003648DE">
        <w:tc>
          <w:tcPr>
            <w:tcW w:w="641" w:type="dxa"/>
            <w:vMerge/>
            <w:vAlign w:val="center"/>
          </w:tcPr>
          <w:p w14:paraId="60051CEC"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tcBorders>
              <w:top w:val="single" w:sz="4" w:space="0" w:color="auto"/>
              <w:left w:val="nil"/>
              <w:bottom w:val="single" w:sz="4" w:space="0" w:color="auto"/>
              <w:right w:val="nil"/>
            </w:tcBorders>
            <w:vAlign w:val="center"/>
          </w:tcPr>
          <w:p w14:paraId="3F337149"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Catechol-O-methyl</w:t>
            </w:r>
            <w:r>
              <w:rPr>
                <w:lang w:val="en-US"/>
              </w:rPr>
              <w:t xml:space="preserve"> </w:t>
            </w:r>
            <w:r w:rsidRPr="003478DF">
              <w:rPr>
                <w:lang w:val="en-US"/>
              </w:rPr>
              <w:t>transferase</w:t>
            </w:r>
          </w:p>
        </w:tc>
        <w:tc>
          <w:tcPr>
            <w:tcW w:w="1601" w:type="dxa"/>
            <w:vAlign w:val="center"/>
          </w:tcPr>
          <w:p w14:paraId="338DD869"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color w:val="000000"/>
                <w:sz w:val="22"/>
                <w:szCs w:val="22"/>
                <w:lang w:val="en-US"/>
              </w:rPr>
              <w:t>COMT</w:t>
            </w:r>
          </w:p>
        </w:tc>
        <w:tc>
          <w:tcPr>
            <w:tcW w:w="4368" w:type="dxa"/>
            <w:vAlign w:val="center"/>
          </w:tcPr>
          <w:p w14:paraId="63B3F448"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May modulate dopamine and norepinephrine levels</w:t>
            </w:r>
            <w:r>
              <w:rPr>
                <w:lang w:val="en-US"/>
              </w:rPr>
              <w:t xml:space="preserve"> </w:t>
            </w:r>
            <w:r w:rsidRPr="00773332">
              <w:rPr>
                <w:sz w:val="22"/>
                <w:szCs w:val="22"/>
                <w:lang w:val="en-US"/>
              </w:rPr>
              <w:t>[1</w:t>
            </w:r>
            <w:r>
              <w:rPr>
                <w:sz w:val="22"/>
                <w:szCs w:val="22"/>
                <w:lang w:val="en-US"/>
              </w:rPr>
              <w:t>6</w:t>
            </w:r>
            <w:r w:rsidRPr="00773332">
              <w:rPr>
                <w:sz w:val="22"/>
                <w:szCs w:val="22"/>
                <w:lang w:val="en-US"/>
              </w:rPr>
              <w:t>]</w:t>
            </w:r>
            <w:r w:rsidRPr="003478DF">
              <w:rPr>
                <w:lang w:val="en-US"/>
              </w:rPr>
              <w:t>.</w:t>
            </w:r>
          </w:p>
        </w:tc>
      </w:tr>
      <w:tr w:rsidR="00FD6679" w:rsidRPr="008B3BD9" w14:paraId="5EE3B0F3" w14:textId="77777777" w:rsidTr="003648DE">
        <w:tc>
          <w:tcPr>
            <w:tcW w:w="641" w:type="dxa"/>
            <w:vMerge/>
            <w:vAlign w:val="center"/>
          </w:tcPr>
          <w:p w14:paraId="2732B33D"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tcBorders>
              <w:top w:val="single" w:sz="4" w:space="0" w:color="auto"/>
            </w:tcBorders>
            <w:vAlign w:val="center"/>
          </w:tcPr>
          <w:p w14:paraId="5F12EBF9"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Ionotropic AMPA-type glutamate receptor</w:t>
            </w:r>
          </w:p>
        </w:tc>
        <w:tc>
          <w:tcPr>
            <w:tcW w:w="1601" w:type="dxa"/>
            <w:vAlign w:val="center"/>
          </w:tcPr>
          <w:p w14:paraId="73F38DDD"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AMPA</w:t>
            </w:r>
          </w:p>
        </w:tc>
        <w:tc>
          <w:tcPr>
            <w:tcW w:w="4368" w:type="dxa"/>
            <w:vAlign w:val="center"/>
          </w:tcPr>
          <w:p w14:paraId="61965264"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Glutamatergic neurotransmission is dysregulated in RTT models</w:t>
            </w:r>
            <w:r>
              <w:rPr>
                <w:lang w:val="en-US"/>
              </w:rPr>
              <w:t xml:space="preserve"> </w:t>
            </w:r>
            <w:r w:rsidRPr="00773332">
              <w:rPr>
                <w:sz w:val="22"/>
                <w:szCs w:val="22"/>
                <w:lang w:val="en-US"/>
              </w:rPr>
              <w:t>[1</w:t>
            </w:r>
            <w:r>
              <w:rPr>
                <w:sz w:val="22"/>
                <w:szCs w:val="22"/>
                <w:lang w:val="en-US"/>
              </w:rPr>
              <w:t>6,17</w:t>
            </w:r>
            <w:r w:rsidRPr="00773332">
              <w:rPr>
                <w:sz w:val="22"/>
                <w:szCs w:val="22"/>
                <w:lang w:val="en-US"/>
              </w:rPr>
              <w:t>]</w:t>
            </w:r>
            <w:r>
              <w:rPr>
                <w:lang w:val="en-US"/>
              </w:rPr>
              <w:t xml:space="preserve"> </w:t>
            </w:r>
            <w:r w:rsidRPr="003478DF">
              <w:rPr>
                <w:lang w:val="en-US"/>
              </w:rPr>
              <w:t>.</w:t>
            </w:r>
          </w:p>
        </w:tc>
      </w:tr>
      <w:tr w:rsidR="00FD6679" w:rsidRPr="008B3BD9" w14:paraId="016B5BEF" w14:textId="77777777" w:rsidTr="003648DE">
        <w:tc>
          <w:tcPr>
            <w:tcW w:w="641" w:type="dxa"/>
            <w:vMerge/>
            <w:vAlign w:val="center"/>
          </w:tcPr>
          <w:p w14:paraId="60084653"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vAlign w:val="center"/>
          </w:tcPr>
          <w:p w14:paraId="387EB525"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Sigma</w:t>
            </w:r>
            <w:r>
              <w:rPr>
                <w:lang w:val="en-US"/>
              </w:rPr>
              <w:t xml:space="preserve"> </w:t>
            </w:r>
            <w:r w:rsidRPr="003478DF">
              <w:rPr>
                <w:lang w:val="en-US"/>
              </w:rPr>
              <w:t>1 receptor</w:t>
            </w:r>
          </w:p>
        </w:tc>
        <w:tc>
          <w:tcPr>
            <w:tcW w:w="1601" w:type="dxa"/>
            <w:vAlign w:val="center"/>
          </w:tcPr>
          <w:p w14:paraId="6FF821DB"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σ</w:t>
            </w:r>
            <w:r w:rsidRPr="00A432E0">
              <w:rPr>
                <w:rFonts w:asciiTheme="majorBidi" w:hAnsiTheme="majorBidi" w:cstheme="majorBidi"/>
                <w:sz w:val="22"/>
                <w:szCs w:val="22"/>
                <w:vertAlign w:val="subscript"/>
                <w:lang w:val="en-US"/>
              </w:rPr>
              <w:t>1</w:t>
            </w:r>
            <w:r w:rsidRPr="003478DF">
              <w:rPr>
                <w:rFonts w:asciiTheme="majorBidi" w:hAnsiTheme="majorBidi" w:cstheme="majorBidi"/>
                <w:sz w:val="22"/>
                <w:szCs w:val="22"/>
                <w:lang w:val="en-US"/>
              </w:rPr>
              <w:t>R</w:t>
            </w:r>
          </w:p>
        </w:tc>
        <w:tc>
          <w:tcPr>
            <w:tcW w:w="4368" w:type="dxa"/>
            <w:vAlign w:val="center"/>
          </w:tcPr>
          <w:p w14:paraId="1D37D176"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Involved in neuroprotection. Preclinical evidence in RTT models.</w:t>
            </w:r>
            <w:r>
              <w:rPr>
                <w:lang w:val="en-US"/>
              </w:rPr>
              <w:t xml:space="preserve"> Blarcamesine an agonist is now in clinical trials against RTT </w:t>
            </w:r>
            <w:r w:rsidRPr="00773332">
              <w:rPr>
                <w:sz w:val="22"/>
                <w:szCs w:val="22"/>
                <w:lang w:val="en-US"/>
              </w:rPr>
              <w:t>[1</w:t>
            </w:r>
            <w:r>
              <w:rPr>
                <w:sz w:val="22"/>
                <w:szCs w:val="22"/>
                <w:lang w:val="en-US"/>
              </w:rPr>
              <w:t>7,19</w:t>
            </w:r>
            <w:r w:rsidRPr="00773332">
              <w:rPr>
                <w:sz w:val="22"/>
                <w:szCs w:val="22"/>
                <w:lang w:val="en-US"/>
              </w:rPr>
              <w:t>]</w:t>
            </w:r>
            <w:r>
              <w:rPr>
                <w:lang w:val="en-US"/>
              </w:rPr>
              <w:t xml:space="preserve">. </w:t>
            </w:r>
          </w:p>
        </w:tc>
      </w:tr>
      <w:tr w:rsidR="00FD6679" w:rsidRPr="008B3BD9" w14:paraId="641EDFE8" w14:textId="77777777" w:rsidTr="003648DE">
        <w:tc>
          <w:tcPr>
            <w:tcW w:w="641" w:type="dxa"/>
            <w:vMerge w:val="restart"/>
            <w:textDirection w:val="btLr"/>
            <w:vAlign w:val="center"/>
          </w:tcPr>
          <w:p w14:paraId="0EB29EEB" w14:textId="77777777" w:rsidR="00FD6679" w:rsidRPr="003478DF" w:rsidRDefault="00FD6679" w:rsidP="003648DE">
            <w:pPr>
              <w:spacing w:after="120" w:line="276" w:lineRule="auto"/>
              <w:ind w:left="113" w:right="113"/>
              <w:jc w:val="center"/>
              <w:rPr>
                <w:rFonts w:asciiTheme="majorBidi" w:hAnsiTheme="majorBidi" w:cstheme="majorBidi"/>
                <w:sz w:val="22"/>
                <w:szCs w:val="22"/>
                <w:lang w:val="en-US"/>
              </w:rPr>
            </w:pPr>
            <w:r>
              <w:rPr>
                <w:rFonts w:asciiTheme="majorBidi" w:hAnsiTheme="majorBidi" w:cstheme="majorBidi"/>
                <w:sz w:val="22"/>
                <w:szCs w:val="22"/>
                <w:lang w:val="en-US"/>
              </w:rPr>
              <w:t>Metabolism</w:t>
            </w:r>
          </w:p>
        </w:tc>
        <w:tc>
          <w:tcPr>
            <w:tcW w:w="2444" w:type="dxa"/>
            <w:vAlign w:val="center"/>
          </w:tcPr>
          <w:p w14:paraId="75874E99"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Glycogen synthase kinase 3 beta</w:t>
            </w:r>
          </w:p>
        </w:tc>
        <w:tc>
          <w:tcPr>
            <w:tcW w:w="1601" w:type="dxa"/>
            <w:vAlign w:val="center"/>
          </w:tcPr>
          <w:p w14:paraId="62DF35E2"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GSK3β</w:t>
            </w:r>
          </w:p>
        </w:tc>
        <w:tc>
          <w:tcPr>
            <w:tcW w:w="4368" w:type="dxa"/>
            <w:vAlign w:val="center"/>
          </w:tcPr>
          <w:p w14:paraId="28230FB8"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Implicated in neuroinflammation; proposed as a therapeutic target in preclinical RTT models</w:t>
            </w:r>
            <w:r>
              <w:rPr>
                <w:lang w:val="en-US"/>
              </w:rPr>
              <w:t xml:space="preserve"> </w:t>
            </w:r>
            <w:r w:rsidRPr="00773332">
              <w:rPr>
                <w:sz w:val="22"/>
                <w:szCs w:val="22"/>
                <w:lang w:val="en-US"/>
              </w:rPr>
              <w:t>[1</w:t>
            </w:r>
            <w:r>
              <w:rPr>
                <w:sz w:val="22"/>
                <w:szCs w:val="22"/>
                <w:lang w:val="en-US"/>
              </w:rPr>
              <w:t>6</w:t>
            </w:r>
            <w:r w:rsidRPr="00773332">
              <w:rPr>
                <w:sz w:val="22"/>
                <w:szCs w:val="22"/>
                <w:lang w:val="en-US"/>
              </w:rPr>
              <w:t>]</w:t>
            </w:r>
            <w:r w:rsidRPr="003478DF">
              <w:rPr>
                <w:lang w:val="en-US"/>
              </w:rPr>
              <w:t>.</w:t>
            </w:r>
          </w:p>
        </w:tc>
      </w:tr>
      <w:tr w:rsidR="00FD6679" w:rsidRPr="008B3BD9" w14:paraId="0B5A56BD" w14:textId="77777777" w:rsidTr="003648DE">
        <w:tc>
          <w:tcPr>
            <w:tcW w:w="641" w:type="dxa"/>
            <w:vMerge/>
            <w:vAlign w:val="center"/>
          </w:tcPr>
          <w:p w14:paraId="0F80ADDD"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vAlign w:val="center"/>
          </w:tcPr>
          <w:p w14:paraId="569A9DF2"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Peroxisome proliferator-activated receptor gamma</w:t>
            </w:r>
          </w:p>
        </w:tc>
        <w:tc>
          <w:tcPr>
            <w:tcW w:w="1601" w:type="dxa"/>
            <w:vAlign w:val="center"/>
          </w:tcPr>
          <w:p w14:paraId="04AA42A1"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PPARγ</w:t>
            </w:r>
          </w:p>
        </w:tc>
        <w:tc>
          <w:tcPr>
            <w:tcW w:w="4368" w:type="dxa"/>
            <w:vAlign w:val="center"/>
          </w:tcPr>
          <w:p w14:paraId="12CADBAE"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PPARγ agonists have shown neuroprotective effects in RTT models</w:t>
            </w:r>
            <w:r>
              <w:rPr>
                <w:lang w:val="en-US"/>
              </w:rPr>
              <w:t xml:space="preserve"> </w:t>
            </w:r>
            <w:r w:rsidRPr="00773332">
              <w:rPr>
                <w:sz w:val="22"/>
                <w:szCs w:val="22"/>
                <w:lang w:val="en-US"/>
              </w:rPr>
              <w:t>[</w:t>
            </w:r>
            <w:r>
              <w:rPr>
                <w:sz w:val="22"/>
                <w:szCs w:val="22"/>
                <w:lang w:val="en-US"/>
              </w:rPr>
              <w:t>20</w:t>
            </w:r>
            <w:r w:rsidRPr="00773332">
              <w:rPr>
                <w:sz w:val="22"/>
                <w:szCs w:val="22"/>
                <w:lang w:val="en-US"/>
              </w:rPr>
              <w:t>]</w:t>
            </w:r>
            <w:r w:rsidRPr="003478DF">
              <w:rPr>
                <w:lang w:val="en-US"/>
              </w:rPr>
              <w:t>.</w:t>
            </w:r>
          </w:p>
        </w:tc>
      </w:tr>
      <w:tr w:rsidR="00FD6679" w:rsidRPr="008B3BD9" w14:paraId="1A2231A3" w14:textId="77777777" w:rsidTr="003648DE">
        <w:tc>
          <w:tcPr>
            <w:tcW w:w="641" w:type="dxa"/>
            <w:vMerge/>
            <w:vAlign w:val="center"/>
          </w:tcPr>
          <w:p w14:paraId="23BE50CD"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vAlign w:val="center"/>
          </w:tcPr>
          <w:p w14:paraId="572E8E88"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Proline dehydrogenase</w:t>
            </w:r>
          </w:p>
        </w:tc>
        <w:tc>
          <w:tcPr>
            <w:tcW w:w="1601" w:type="dxa"/>
            <w:vAlign w:val="center"/>
          </w:tcPr>
          <w:p w14:paraId="301ECAE1"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ProdH</w:t>
            </w:r>
          </w:p>
        </w:tc>
        <w:tc>
          <w:tcPr>
            <w:tcW w:w="4368" w:type="dxa"/>
            <w:vAlign w:val="center"/>
          </w:tcPr>
          <w:p w14:paraId="2859DA8E"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Overexpressed in Mecp2-KO brains. Contributes to redox imbalance and mitochondrial damage in RTT</w:t>
            </w:r>
            <w:r>
              <w:rPr>
                <w:lang w:val="en-US"/>
              </w:rPr>
              <w:t xml:space="preserve"> </w:t>
            </w:r>
            <w:r w:rsidRPr="00773332">
              <w:rPr>
                <w:sz w:val="22"/>
                <w:szCs w:val="22"/>
                <w:lang w:val="en-US"/>
              </w:rPr>
              <w:t>[</w:t>
            </w:r>
            <w:r>
              <w:rPr>
                <w:sz w:val="22"/>
                <w:szCs w:val="22"/>
                <w:lang w:val="en-US"/>
              </w:rPr>
              <w:t>17</w:t>
            </w:r>
            <w:r w:rsidRPr="00773332">
              <w:rPr>
                <w:sz w:val="22"/>
                <w:szCs w:val="22"/>
                <w:lang w:val="en-US"/>
              </w:rPr>
              <w:t>]</w:t>
            </w:r>
            <w:r w:rsidRPr="003478DF">
              <w:rPr>
                <w:lang w:val="en-US"/>
              </w:rPr>
              <w:t>.</w:t>
            </w:r>
          </w:p>
        </w:tc>
      </w:tr>
      <w:tr w:rsidR="00FD6679" w:rsidRPr="008B3BD9" w14:paraId="19555E1D" w14:textId="77777777" w:rsidTr="003648DE">
        <w:tc>
          <w:tcPr>
            <w:tcW w:w="641" w:type="dxa"/>
            <w:vMerge/>
            <w:vAlign w:val="center"/>
          </w:tcPr>
          <w:p w14:paraId="2CD6E899"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vAlign w:val="center"/>
          </w:tcPr>
          <w:p w14:paraId="4BA5F9C4"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3-hydroxy-3-methylglutaryl-CoA reductase</w:t>
            </w:r>
          </w:p>
        </w:tc>
        <w:tc>
          <w:tcPr>
            <w:tcW w:w="1601" w:type="dxa"/>
            <w:vAlign w:val="center"/>
          </w:tcPr>
          <w:p w14:paraId="396BB948"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HMGCR</w:t>
            </w:r>
          </w:p>
        </w:tc>
        <w:tc>
          <w:tcPr>
            <w:tcW w:w="4368" w:type="dxa"/>
            <w:vAlign w:val="center"/>
          </w:tcPr>
          <w:p w14:paraId="74AFDA44"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Modulates cholesterol synthesis; inhibition improves motor symptoms and longevity in Mecp2 models</w:t>
            </w:r>
            <w:r>
              <w:rPr>
                <w:lang w:val="en-US"/>
              </w:rPr>
              <w:t xml:space="preserve"> </w:t>
            </w:r>
            <w:r w:rsidRPr="00773332">
              <w:rPr>
                <w:sz w:val="22"/>
                <w:szCs w:val="22"/>
                <w:lang w:val="en-US"/>
              </w:rPr>
              <w:t>[</w:t>
            </w:r>
            <w:r>
              <w:rPr>
                <w:sz w:val="22"/>
                <w:szCs w:val="22"/>
                <w:lang w:val="en-US"/>
              </w:rPr>
              <w:t>21</w:t>
            </w:r>
            <w:r w:rsidRPr="00773332">
              <w:rPr>
                <w:sz w:val="22"/>
                <w:szCs w:val="22"/>
                <w:lang w:val="en-US"/>
              </w:rPr>
              <w:t>]</w:t>
            </w:r>
            <w:r w:rsidRPr="003478DF">
              <w:rPr>
                <w:lang w:val="en-US"/>
              </w:rPr>
              <w:t>.</w:t>
            </w:r>
          </w:p>
        </w:tc>
      </w:tr>
      <w:tr w:rsidR="00FD6679" w:rsidRPr="008B3BD9" w14:paraId="7157D6EC" w14:textId="77777777" w:rsidTr="003648DE">
        <w:tc>
          <w:tcPr>
            <w:tcW w:w="641" w:type="dxa"/>
            <w:vMerge/>
            <w:vAlign w:val="center"/>
          </w:tcPr>
          <w:p w14:paraId="7B08384D"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vAlign w:val="center"/>
          </w:tcPr>
          <w:p w14:paraId="0564E3E7"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Protein tyrosine phosphatase 1B</w:t>
            </w:r>
          </w:p>
        </w:tc>
        <w:tc>
          <w:tcPr>
            <w:tcW w:w="1601" w:type="dxa"/>
            <w:vAlign w:val="center"/>
          </w:tcPr>
          <w:p w14:paraId="0A87C733"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PTP1B</w:t>
            </w:r>
          </w:p>
        </w:tc>
        <w:tc>
          <w:tcPr>
            <w:tcW w:w="4368" w:type="dxa"/>
            <w:vAlign w:val="center"/>
          </w:tcPr>
          <w:p w14:paraId="15F19E6F"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Overexpressed in RTT patient brains and Mecp2-/y models. Inhibition restores PI3K–Akt signaling involved in cell survival</w:t>
            </w:r>
            <w:r>
              <w:rPr>
                <w:lang w:val="en-US"/>
              </w:rPr>
              <w:t xml:space="preserve"> </w:t>
            </w:r>
            <w:r w:rsidRPr="00773332">
              <w:rPr>
                <w:sz w:val="22"/>
                <w:szCs w:val="22"/>
                <w:lang w:val="en-US"/>
              </w:rPr>
              <w:t>[</w:t>
            </w:r>
            <w:r>
              <w:rPr>
                <w:sz w:val="22"/>
                <w:szCs w:val="22"/>
                <w:lang w:val="en-US"/>
              </w:rPr>
              <w:t>21</w:t>
            </w:r>
            <w:r w:rsidRPr="00773332">
              <w:rPr>
                <w:sz w:val="22"/>
                <w:szCs w:val="22"/>
                <w:lang w:val="en-US"/>
              </w:rPr>
              <w:t>]</w:t>
            </w:r>
            <w:r w:rsidRPr="003478DF">
              <w:rPr>
                <w:lang w:val="en-US"/>
              </w:rPr>
              <w:t>.</w:t>
            </w:r>
          </w:p>
        </w:tc>
      </w:tr>
      <w:tr w:rsidR="00FD6679" w:rsidRPr="008B3BD9" w14:paraId="4C6FF9EC" w14:textId="77777777" w:rsidTr="003648DE">
        <w:tc>
          <w:tcPr>
            <w:tcW w:w="641" w:type="dxa"/>
            <w:vMerge w:val="restart"/>
            <w:textDirection w:val="btLr"/>
            <w:vAlign w:val="center"/>
          </w:tcPr>
          <w:p w14:paraId="51DD0A54" w14:textId="77777777" w:rsidR="00FD6679" w:rsidRPr="003478DF" w:rsidRDefault="00FD6679" w:rsidP="003648DE">
            <w:pPr>
              <w:spacing w:after="120" w:line="276" w:lineRule="auto"/>
              <w:ind w:left="113" w:right="113"/>
              <w:jc w:val="center"/>
              <w:rPr>
                <w:rFonts w:asciiTheme="majorBidi" w:hAnsiTheme="majorBidi" w:cstheme="majorBidi"/>
                <w:sz w:val="22"/>
                <w:szCs w:val="22"/>
                <w:lang w:val="en-US"/>
              </w:rPr>
            </w:pPr>
            <w:r>
              <w:rPr>
                <w:rFonts w:asciiTheme="majorBidi" w:hAnsiTheme="majorBidi" w:cstheme="majorBidi"/>
                <w:sz w:val="22"/>
                <w:szCs w:val="22"/>
                <w:lang w:val="en-US"/>
              </w:rPr>
              <w:t>Oxidative stress and neuroinflamation</w:t>
            </w:r>
          </w:p>
        </w:tc>
        <w:tc>
          <w:tcPr>
            <w:tcW w:w="2444" w:type="dxa"/>
            <w:vAlign w:val="center"/>
          </w:tcPr>
          <w:p w14:paraId="27E21641"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Xanthine oxidase</w:t>
            </w:r>
          </w:p>
        </w:tc>
        <w:tc>
          <w:tcPr>
            <w:tcW w:w="1601" w:type="dxa"/>
            <w:vAlign w:val="center"/>
          </w:tcPr>
          <w:p w14:paraId="277C7802"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XO</w:t>
            </w:r>
          </w:p>
        </w:tc>
        <w:tc>
          <w:tcPr>
            <w:tcW w:w="4368" w:type="dxa"/>
            <w:vAlign w:val="center"/>
          </w:tcPr>
          <w:p w14:paraId="6D14A7A3"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Implicated in systemic oxidative stress observed in RTT patients and models</w:t>
            </w:r>
            <w:r>
              <w:rPr>
                <w:lang w:val="en-US"/>
              </w:rPr>
              <w:t xml:space="preserve"> </w:t>
            </w:r>
            <w:r w:rsidRPr="00773332">
              <w:rPr>
                <w:sz w:val="22"/>
                <w:szCs w:val="22"/>
                <w:lang w:val="en-US"/>
              </w:rPr>
              <w:t>[</w:t>
            </w:r>
            <w:r>
              <w:rPr>
                <w:sz w:val="22"/>
                <w:szCs w:val="22"/>
                <w:lang w:val="en-US"/>
              </w:rPr>
              <w:t>17</w:t>
            </w:r>
            <w:r w:rsidRPr="00773332">
              <w:rPr>
                <w:sz w:val="22"/>
                <w:szCs w:val="22"/>
                <w:lang w:val="en-US"/>
              </w:rPr>
              <w:t>]</w:t>
            </w:r>
            <w:r w:rsidRPr="003478DF">
              <w:rPr>
                <w:lang w:val="en-US"/>
              </w:rPr>
              <w:t>.</w:t>
            </w:r>
          </w:p>
        </w:tc>
      </w:tr>
      <w:tr w:rsidR="00FD6679" w:rsidRPr="008B3BD9" w14:paraId="78C398EC" w14:textId="77777777" w:rsidTr="003648DE">
        <w:tc>
          <w:tcPr>
            <w:tcW w:w="641" w:type="dxa"/>
            <w:vMerge/>
            <w:vAlign w:val="center"/>
          </w:tcPr>
          <w:p w14:paraId="7ED3A72D"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vAlign w:val="center"/>
          </w:tcPr>
          <w:p w14:paraId="18C15E63"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Superoxide dismutase</w:t>
            </w:r>
          </w:p>
        </w:tc>
        <w:tc>
          <w:tcPr>
            <w:tcW w:w="1601" w:type="dxa"/>
            <w:vAlign w:val="center"/>
          </w:tcPr>
          <w:p w14:paraId="4D4ECB50"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SOD</w:t>
            </w:r>
          </w:p>
        </w:tc>
        <w:tc>
          <w:tcPr>
            <w:tcW w:w="4368" w:type="dxa"/>
            <w:vAlign w:val="center"/>
          </w:tcPr>
          <w:p w14:paraId="62DAA39D" w14:textId="77777777" w:rsidR="00FD6679" w:rsidRPr="003478DF" w:rsidRDefault="00FD6679" w:rsidP="003648DE">
            <w:pPr>
              <w:spacing w:after="120" w:line="276" w:lineRule="auto"/>
              <w:rPr>
                <w:rFonts w:asciiTheme="majorBidi" w:hAnsiTheme="majorBidi" w:cstheme="majorBidi"/>
                <w:sz w:val="22"/>
                <w:szCs w:val="22"/>
                <w:lang w:val="en-US"/>
              </w:rPr>
            </w:pPr>
            <w:r>
              <w:rPr>
                <w:lang w:val="en-US"/>
              </w:rPr>
              <w:t>It is r</w:t>
            </w:r>
            <w:r w:rsidRPr="003478DF">
              <w:rPr>
                <w:lang w:val="en-US"/>
              </w:rPr>
              <w:t>educed brains and peripheral tissues of Mecp2 models, contributing to oxidative damage vulnerability</w:t>
            </w:r>
            <w:r>
              <w:rPr>
                <w:lang w:val="en-US"/>
              </w:rPr>
              <w:t xml:space="preserve"> </w:t>
            </w:r>
            <w:r w:rsidRPr="00773332">
              <w:rPr>
                <w:sz w:val="22"/>
                <w:szCs w:val="22"/>
                <w:lang w:val="en-US"/>
              </w:rPr>
              <w:t>[</w:t>
            </w:r>
            <w:r>
              <w:rPr>
                <w:sz w:val="22"/>
                <w:szCs w:val="22"/>
                <w:lang w:val="en-US"/>
              </w:rPr>
              <w:t>16</w:t>
            </w:r>
            <w:r w:rsidRPr="00773332">
              <w:rPr>
                <w:sz w:val="22"/>
                <w:szCs w:val="22"/>
                <w:lang w:val="en-US"/>
              </w:rPr>
              <w:t>]</w:t>
            </w:r>
            <w:r w:rsidRPr="003478DF">
              <w:rPr>
                <w:lang w:val="en-US"/>
              </w:rPr>
              <w:t>.</w:t>
            </w:r>
          </w:p>
        </w:tc>
      </w:tr>
      <w:tr w:rsidR="00FD6679" w:rsidRPr="008B3BD9" w14:paraId="6142305D" w14:textId="77777777" w:rsidTr="003648DE">
        <w:tc>
          <w:tcPr>
            <w:tcW w:w="641" w:type="dxa"/>
            <w:vMerge/>
            <w:vAlign w:val="center"/>
          </w:tcPr>
          <w:p w14:paraId="02CE7C3E"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vAlign w:val="center"/>
          </w:tcPr>
          <w:p w14:paraId="4680F638"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Cyclooxygenase 2</w:t>
            </w:r>
          </w:p>
        </w:tc>
        <w:tc>
          <w:tcPr>
            <w:tcW w:w="1601" w:type="dxa"/>
            <w:vAlign w:val="center"/>
          </w:tcPr>
          <w:p w14:paraId="5C7295D1"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COX</w:t>
            </w:r>
            <w:r w:rsidRPr="003478DF">
              <w:rPr>
                <w:rFonts w:asciiTheme="majorBidi" w:hAnsiTheme="majorBidi" w:cstheme="majorBidi"/>
                <w:sz w:val="22"/>
                <w:szCs w:val="22"/>
                <w:lang w:val="en-US"/>
              </w:rPr>
              <w:noBreakHyphen/>
              <w:t>2</w:t>
            </w:r>
          </w:p>
        </w:tc>
        <w:tc>
          <w:tcPr>
            <w:tcW w:w="4368" w:type="dxa"/>
            <w:vAlign w:val="center"/>
          </w:tcPr>
          <w:p w14:paraId="32EA4ABE"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Participates in inflammatory processes; overexpressed in models with glial activation and oxidative damage</w:t>
            </w:r>
            <w:r>
              <w:rPr>
                <w:lang w:val="en-US"/>
              </w:rPr>
              <w:t xml:space="preserve"> </w:t>
            </w:r>
            <w:r w:rsidRPr="00773332">
              <w:rPr>
                <w:sz w:val="22"/>
                <w:szCs w:val="22"/>
                <w:lang w:val="en-US"/>
              </w:rPr>
              <w:t>[</w:t>
            </w:r>
            <w:r>
              <w:rPr>
                <w:sz w:val="22"/>
                <w:szCs w:val="22"/>
                <w:lang w:val="en-US"/>
              </w:rPr>
              <w:t>23</w:t>
            </w:r>
            <w:r w:rsidRPr="00773332">
              <w:rPr>
                <w:sz w:val="22"/>
                <w:szCs w:val="22"/>
                <w:lang w:val="en-US"/>
              </w:rPr>
              <w:t>]</w:t>
            </w:r>
            <w:r w:rsidRPr="003478DF">
              <w:rPr>
                <w:lang w:val="en-US"/>
              </w:rPr>
              <w:t>.</w:t>
            </w:r>
          </w:p>
        </w:tc>
      </w:tr>
      <w:tr w:rsidR="00FD6679" w:rsidRPr="008B3BD9" w14:paraId="19B78338" w14:textId="77777777" w:rsidTr="003648DE">
        <w:tc>
          <w:tcPr>
            <w:tcW w:w="641" w:type="dxa"/>
            <w:vMerge/>
            <w:vAlign w:val="center"/>
          </w:tcPr>
          <w:p w14:paraId="43465BB7"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vAlign w:val="center"/>
          </w:tcPr>
          <w:p w14:paraId="7D3965F3"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P2X purinoceptor 7</w:t>
            </w:r>
          </w:p>
        </w:tc>
        <w:tc>
          <w:tcPr>
            <w:tcW w:w="1601" w:type="dxa"/>
            <w:vAlign w:val="center"/>
          </w:tcPr>
          <w:p w14:paraId="1E091FC1"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P2X7</w:t>
            </w:r>
          </w:p>
        </w:tc>
        <w:tc>
          <w:tcPr>
            <w:tcW w:w="4368" w:type="dxa"/>
            <w:vAlign w:val="center"/>
          </w:tcPr>
          <w:p w14:paraId="5F13E7FB"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Involved in microglial activation and neurotoxicity in RTT</w:t>
            </w:r>
            <w:r>
              <w:rPr>
                <w:lang w:val="en-US"/>
              </w:rPr>
              <w:t xml:space="preserve"> </w:t>
            </w:r>
            <w:r w:rsidRPr="00773332">
              <w:rPr>
                <w:sz w:val="22"/>
                <w:szCs w:val="22"/>
                <w:lang w:val="en-US"/>
              </w:rPr>
              <w:t>[</w:t>
            </w:r>
            <w:r>
              <w:rPr>
                <w:sz w:val="22"/>
                <w:szCs w:val="22"/>
                <w:lang w:val="en-US"/>
              </w:rPr>
              <w:t>24</w:t>
            </w:r>
            <w:r w:rsidRPr="00773332">
              <w:rPr>
                <w:sz w:val="22"/>
                <w:szCs w:val="22"/>
                <w:lang w:val="en-US"/>
              </w:rPr>
              <w:t>]</w:t>
            </w:r>
            <w:r w:rsidRPr="003478DF">
              <w:rPr>
                <w:lang w:val="en-US"/>
              </w:rPr>
              <w:t>.</w:t>
            </w:r>
          </w:p>
        </w:tc>
      </w:tr>
      <w:tr w:rsidR="00FD6679" w:rsidRPr="008B3BD9" w14:paraId="472AC3FC" w14:textId="77777777" w:rsidTr="003648DE">
        <w:tc>
          <w:tcPr>
            <w:tcW w:w="641" w:type="dxa"/>
            <w:vMerge/>
            <w:vAlign w:val="center"/>
          </w:tcPr>
          <w:p w14:paraId="3031B890"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vAlign w:val="center"/>
          </w:tcPr>
          <w:p w14:paraId="7E822F25"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Neuronal nitric oxide synthase</w:t>
            </w:r>
          </w:p>
        </w:tc>
        <w:tc>
          <w:tcPr>
            <w:tcW w:w="1601" w:type="dxa"/>
            <w:vAlign w:val="center"/>
          </w:tcPr>
          <w:p w14:paraId="63579F8B"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nNOS</w:t>
            </w:r>
          </w:p>
        </w:tc>
        <w:tc>
          <w:tcPr>
            <w:tcW w:w="4368" w:type="dxa"/>
            <w:vAlign w:val="center"/>
          </w:tcPr>
          <w:p w14:paraId="33907023"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Dysregulation may contribute to oxidative damage in Mecp2-/y brains</w:t>
            </w:r>
            <w:r>
              <w:rPr>
                <w:lang w:val="en-US"/>
              </w:rPr>
              <w:t xml:space="preserve"> </w:t>
            </w:r>
            <w:r w:rsidRPr="00773332">
              <w:rPr>
                <w:sz w:val="22"/>
                <w:szCs w:val="22"/>
                <w:lang w:val="en-US"/>
              </w:rPr>
              <w:t>[</w:t>
            </w:r>
            <w:r>
              <w:rPr>
                <w:sz w:val="22"/>
                <w:szCs w:val="22"/>
                <w:lang w:val="en-US"/>
              </w:rPr>
              <w:t>16</w:t>
            </w:r>
            <w:r w:rsidRPr="00773332">
              <w:rPr>
                <w:sz w:val="22"/>
                <w:szCs w:val="22"/>
                <w:lang w:val="en-US"/>
              </w:rPr>
              <w:t>]</w:t>
            </w:r>
            <w:r w:rsidRPr="003478DF">
              <w:rPr>
                <w:lang w:val="en-US"/>
              </w:rPr>
              <w:t>.</w:t>
            </w:r>
          </w:p>
        </w:tc>
      </w:tr>
      <w:tr w:rsidR="00FD6679" w:rsidRPr="008B3BD9" w14:paraId="4968D70B" w14:textId="77777777" w:rsidTr="003648DE">
        <w:tc>
          <w:tcPr>
            <w:tcW w:w="641" w:type="dxa"/>
            <w:vMerge w:val="restart"/>
            <w:textDirection w:val="btLr"/>
            <w:vAlign w:val="center"/>
          </w:tcPr>
          <w:p w14:paraId="4EAD6925" w14:textId="77777777" w:rsidR="00FD6679" w:rsidRPr="003478DF" w:rsidRDefault="00FD6679" w:rsidP="003648DE">
            <w:pPr>
              <w:spacing w:after="120" w:line="276" w:lineRule="auto"/>
              <w:ind w:left="113" w:right="113"/>
              <w:jc w:val="center"/>
              <w:rPr>
                <w:rFonts w:asciiTheme="majorBidi" w:hAnsiTheme="majorBidi" w:cstheme="majorBidi"/>
                <w:sz w:val="22"/>
                <w:szCs w:val="22"/>
                <w:lang w:val="en-US"/>
              </w:rPr>
            </w:pPr>
            <w:r>
              <w:rPr>
                <w:rFonts w:asciiTheme="majorBidi" w:hAnsiTheme="majorBidi" w:cstheme="majorBidi"/>
                <w:sz w:val="22"/>
                <w:szCs w:val="22"/>
                <w:lang w:val="en-US"/>
              </w:rPr>
              <w:t>Drug metabolism</w:t>
            </w:r>
          </w:p>
        </w:tc>
        <w:tc>
          <w:tcPr>
            <w:tcW w:w="2444" w:type="dxa"/>
            <w:vAlign w:val="center"/>
          </w:tcPr>
          <w:p w14:paraId="6DA79F08"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UDP</w:t>
            </w:r>
            <w:r>
              <w:rPr>
                <w:lang w:val="en-US"/>
              </w:rPr>
              <w:t xml:space="preserve"> </w:t>
            </w:r>
            <w:r w:rsidRPr="003478DF">
              <w:rPr>
                <w:lang w:val="en-US"/>
              </w:rPr>
              <w:t>glucuronosyltransferase 2B15</w:t>
            </w:r>
          </w:p>
        </w:tc>
        <w:tc>
          <w:tcPr>
            <w:tcW w:w="1601" w:type="dxa"/>
            <w:vAlign w:val="center"/>
          </w:tcPr>
          <w:p w14:paraId="528CFA01"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UGT2B15</w:t>
            </w:r>
          </w:p>
        </w:tc>
        <w:tc>
          <w:tcPr>
            <w:tcW w:w="4368" w:type="dxa"/>
            <w:vAlign w:val="center"/>
          </w:tcPr>
          <w:p w14:paraId="055FDB33"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 xml:space="preserve">Identified as the main metabolic pathway for </w:t>
            </w:r>
            <w:r>
              <w:rPr>
                <w:lang w:val="en-US"/>
              </w:rPr>
              <w:t>Trofinetide</w:t>
            </w:r>
            <w:r w:rsidRPr="003478DF">
              <w:rPr>
                <w:lang w:val="en-US"/>
              </w:rPr>
              <w:t xml:space="preserve"> in clinical and preclinical studies</w:t>
            </w:r>
            <w:r>
              <w:rPr>
                <w:lang w:val="en-US"/>
              </w:rPr>
              <w:t xml:space="preserve"> </w:t>
            </w:r>
            <w:r w:rsidRPr="00773332">
              <w:rPr>
                <w:sz w:val="22"/>
                <w:szCs w:val="22"/>
                <w:lang w:val="en-US"/>
              </w:rPr>
              <w:t>[</w:t>
            </w:r>
            <w:r>
              <w:rPr>
                <w:sz w:val="22"/>
                <w:szCs w:val="22"/>
                <w:lang w:val="en-US"/>
              </w:rPr>
              <w:t>13</w:t>
            </w:r>
            <w:r w:rsidRPr="00773332">
              <w:rPr>
                <w:sz w:val="22"/>
                <w:szCs w:val="22"/>
                <w:lang w:val="en-US"/>
              </w:rPr>
              <w:t>]</w:t>
            </w:r>
            <w:r w:rsidRPr="003478DF">
              <w:rPr>
                <w:lang w:val="en-US"/>
              </w:rPr>
              <w:t>.</w:t>
            </w:r>
          </w:p>
        </w:tc>
      </w:tr>
      <w:tr w:rsidR="00FD6679" w:rsidRPr="008B3BD9" w14:paraId="63B6E202" w14:textId="77777777" w:rsidTr="003648DE">
        <w:tc>
          <w:tcPr>
            <w:tcW w:w="641" w:type="dxa"/>
            <w:vMerge/>
            <w:vAlign w:val="center"/>
          </w:tcPr>
          <w:p w14:paraId="560E9E95"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vAlign w:val="center"/>
          </w:tcPr>
          <w:p w14:paraId="09E68EF4"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Organic anion transporting polypeptide 1B1</w:t>
            </w:r>
          </w:p>
        </w:tc>
        <w:tc>
          <w:tcPr>
            <w:tcW w:w="1601" w:type="dxa"/>
            <w:vAlign w:val="center"/>
          </w:tcPr>
          <w:p w14:paraId="6D06CB6E"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OATP1B1</w:t>
            </w:r>
          </w:p>
        </w:tc>
        <w:tc>
          <w:tcPr>
            <w:tcW w:w="4368" w:type="dxa"/>
            <w:vAlign w:val="center"/>
          </w:tcPr>
          <w:p w14:paraId="38B71BEB" w14:textId="77777777" w:rsidR="00FD6679" w:rsidRPr="003478DF" w:rsidRDefault="00FD6679" w:rsidP="003648DE">
            <w:pPr>
              <w:spacing w:after="120" w:line="276" w:lineRule="auto"/>
              <w:rPr>
                <w:rFonts w:asciiTheme="majorBidi" w:hAnsiTheme="majorBidi" w:cstheme="majorBidi"/>
                <w:sz w:val="22"/>
                <w:szCs w:val="22"/>
                <w:lang w:val="en-US"/>
              </w:rPr>
            </w:pPr>
            <w:r w:rsidRPr="003478DF">
              <w:rPr>
                <w:lang w:val="en-US"/>
              </w:rPr>
              <w:t xml:space="preserve">Hepatic transporter involved in </w:t>
            </w:r>
            <w:r>
              <w:rPr>
                <w:lang w:val="en-US"/>
              </w:rPr>
              <w:t>Trofinetide</w:t>
            </w:r>
            <w:r w:rsidRPr="003478DF">
              <w:rPr>
                <w:lang w:val="en-US"/>
              </w:rPr>
              <w:t xml:space="preserve"> uptake; systemic role confirmed in clinical drug–drug interaction studies</w:t>
            </w:r>
            <w:r>
              <w:rPr>
                <w:lang w:val="en-US"/>
              </w:rPr>
              <w:t xml:space="preserve"> </w:t>
            </w:r>
            <w:r w:rsidRPr="00773332">
              <w:rPr>
                <w:sz w:val="22"/>
                <w:szCs w:val="22"/>
                <w:lang w:val="en-US"/>
              </w:rPr>
              <w:t>[</w:t>
            </w:r>
            <w:r>
              <w:rPr>
                <w:sz w:val="22"/>
                <w:szCs w:val="22"/>
                <w:lang w:val="en-US"/>
              </w:rPr>
              <w:t>13</w:t>
            </w:r>
            <w:r w:rsidRPr="00773332">
              <w:rPr>
                <w:sz w:val="22"/>
                <w:szCs w:val="22"/>
                <w:lang w:val="en-US"/>
              </w:rPr>
              <w:t>]</w:t>
            </w:r>
            <w:r w:rsidRPr="003478DF">
              <w:rPr>
                <w:lang w:val="en-US"/>
              </w:rPr>
              <w:t>.</w:t>
            </w:r>
          </w:p>
        </w:tc>
      </w:tr>
      <w:tr w:rsidR="00FD6679" w:rsidRPr="003478DF" w14:paraId="4CE1DEA4" w14:textId="77777777" w:rsidTr="003648DE">
        <w:tc>
          <w:tcPr>
            <w:tcW w:w="641" w:type="dxa"/>
            <w:vMerge/>
            <w:vAlign w:val="center"/>
          </w:tcPr>
          <w:p w14:paraId="7A09462F" w14:textId="77777777" w:rsidR="00FD6679" w:rsidRPr="003478DF" w:rsidRDefault="00FD6679" w:rsidP="003648DE">
            <w:pPr>
              <w:spacing w:after="120" w:line="276" w:lineRule="auto"/>
              <w:jc w:val="center"/>
              <w:rPr>
                <w:rFonts w:asciiTheme="majorBidi" w:hAnsiTheme="majorBidi" w:cstheme="majorBidi"/>
                <w:sz w:val="22"/>
                <w:szCs w:val="22"/>
                <w:lang w:val="en-US"/>
              </w:rPr>
            </w:pPr>
          </w:p>
        </w:tc>
        <w:tc>
          <w:tcPr>
            <w:tcW w:w="2444" w:type="dxa"/>
            <w:vAlign w:val="center"/>
          </w:tcPr>
          <w:p w14:paraId="50D662A6"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lang w:val="en-US"/>
              </w:rPr>
              <w:t>Cytochrome P450 enzymes</w:t>
            </w:r>
          </w:p>
        </w:tc>
        <w:tc>
          <w:tcPr>
            <w:tcW w:w="1601" w:type="dxa"/>
            <w:vAlign w:val="center"/>
          </w:tcPr>
          <w:p w14:paraId="4B935199" w14:textId="77777777" w:rsidR="00FD6679" w:rsidRPr="003478DF" w:rsidRDefault="00FD6679" w:rsidP="003648DE">
            <w:pPr>
              <w:spacing w:after="120" w:line="276" w:lineRule="auto"/>
              <w:jc w:val="center"/>
              <w:rPr>
                <w:rFonts w:asciiTheme="majorBidi" w:hAnsiTheme="majorBidi" w:cstheme="majorBidi"/>
                <w:sz w:val="22"/>
                <w:szCs w:val="22"/>
                <w:lang w:val="en-US"/>
              </w:rPr>
            </w:pPr>
            <w:r w:rsidRPr="003478DF">
              <w:rPr>
                <w:rFonts w:asciiTheme="majorBidi" w:hAnsiTheme="majorBidi" w:cstheme="majorBidi"/>
                <w:sz w:val="22"/>
                <w:szCs w:val="22"/>
                <w:lang w:val="en-US"/>
              </w:rPr>
              <w:t>P450</w:t>
            </w:r>
          </w:p>
        </w:tc>
        <w:tc>
          <w:tcPr>
            <w:tcW w:w="4368" w:type="dxa"/>
            <w:vAlign w:val="center"/>
          </w:tcPr>
          <w:p w14:paraId="6DAE2582" w14:textId="77777777" w:rsidR="00FD6679" w:rsidRPr="003478DF" w:rsidRDefault="00FD6679" w:rsidP="003648DE">
            <w:pPr>
              <w:spacing w:after="120" w:line="276" w:lineRule="auto"/>
              <w:rPr>
                <w:rFonts w:asciiTheme="majorBidi" w:hAnsiTheme="majorBidi" w:cstheme="majorBidi"/>
                <w:sz w:val="22"/>
                <w:szCs w:val="22"/>
                <w:lang w:val="en-US"/>
              </w:rPr>
            </w:pPr>
            <w:r>
              <w:rPr>
                <w:lang w:val="en-US"/>
              </w:rPr>
              <w:t>Trofinetide</w:t>
            </w:r>
            <w:r w:rsidRPr="003478DF">
              <w:rPr>
                <w:lang w:val="en-US"/>
              </w:rPr>
              <w:t xml:space="preserve"> does not significantly interact with major CYP isoforms. Used as a methodological control</w:t>
            </w:r>
            <w:r>
              <w:rPr>
                <w:lang w:val="en-US"/>
              </w:rPr>
              <w:t xml:space="preserve"> </w:t>
            </w:r>
            <w:r w:rsidRPr="00773332">
              <w:rPr>
                <w:sz w:val="22"/>
                <w:szCs w:val="22"/>
                <w:lang w:val="en-US"/>
              </w:rPr>
              <w:t>[</w:t>
            </w:r>
            <w:r>
              <w:rPr>
                <w:sz w:val="22"/>
                <w:szCs w:val="22"/>
                <w:lang w:val="en-US"/>
              </w:rPr>
              <w:t>10,13</w:t>
            </w:r>
            <w:r w:rsidRPr="00773332">
              <w:rPr>
                <w:sz w:val="22"/>
                <w:szCs w:val="22"/>
                <w:lang w:val="en-US"/>
              </w:rPr>
              <w:t>]</w:t>
            </w:r>
            <w:r w:rsidRPr="003478DF">
              <w:rPr>
                <w:lang w:val="en-US"/>
              </w:rPr>
              <w:t>.</w:t>
            </w:r>
          </w:p>
        </w:tc>
      </w:tr>
    </w:tbl>
    <w:p w14:paraId="202F83BE" w14:textId="77777777" w:rsidR="00B3064D" w:rsidRDefault="00B3064D" w:rsidP="00B3064D">
      <w:pPr>
        <w:spacing w:after="120" w:line="276" w:lineRule="auto"/>
        <w:rPr>
          <w:sz w:val="24"/>
          <w:szCs w:val="24"/>
          <w:lang w:val="en-US"/>
        </w:rPr>
      </w:pPr>
    </w:p>
    <w:p w14:paraId="24FD92D6" w14:textId="6D843566" w:rsidR="008C5EBA" w:rsidRDefault="008C5EBA" w:rsidP="00B3064D">
      <w:pPr>
        <w:spacing w:after="120" w:line="276" w:lineRule="auto"/>
        <w:rPr>
          <w:i/>
          <w:iCs/>
          <w:sz w:val="24"/>
          <w:szCs w:val="24"/>
          <w:lang w:val="en-US"/>
        </w:rPr>
      </w:pPr>
      <w:r w:rsidRPr="008C5EBA">
        <w:rPr>
          <w:i/>
          <w:iCs/>
          <w:sz w:val="24"/>
          <w:szCs w:val="24"/>
          <w:lang w:val="en-US"/>
        </w:rPr>
        <w:t>Acid-Base equilibria</w:t>
      </w:r>
    </w:p>
    <w:p w14:paraId="1843972F" w14:textId="2D5AAE03" w:rsidR="00B429BC" w:rsidRDefault="00085D82" w:rsidP="00B3064D">
      <w:pPr>
        <w:spacing w:after="120" w:line="276" w:lineRule="auto"/>
        <w:rPr>
          <w:sz w:val="24"/>
          <w:szCs w:val="24"/>
          <w:lang w:val="en-US"/>
        </w:rPr>
      </w:pPr>
      <w:r w:rsidRPr="00085D82">
        <w:rPr>
          <w:sz w:val="24"/>
          <w:szCs w:val="24"/>
          <w:lang w:val="en-US"/>
        </w:rPr>
        <w:t xml:space="preserve">No experimental pKa values ​​reported for </w:t>
      </w:r>
      <w:r w:rsidR="00B429BC">
        <w:rPr>
          <w:sz w:val="24"/>
          <w:szCs w:val="24"/>
          <w:lang w:val="en-US"/>
        </w:rPr>
        <w:t>T</w:t>
      </w:r>
      <w:r w:rsidRPr="00085D82">
        <w:rPr>
          <w:sz w:val="24"/>
          <w:szCs w:val="24"/>
          <w:lang w:val="en-US"/>
        </w:rPr>
        <w:t xml:space="preserve">rofinetide or </w:t>
      </w:r>
      <w:r w:rsidR="00B429BC">
        <w:rPr>
          <w:sz w:val="24"/>
          <w:szCs w:val="24"/>
          <w:lang w:val="en-US"/>
        </w:rPr>
        <w:t>GPE</w:t>
      </w:r>
      <w:r w:rsidRPr="00085D82">
        <w:rPr>
          <w:sz w:val="24"/>
          <w:szCs w:val="24"/>
          <w:lang w:val="en-US"/>
        </w:rPr>
        <w:t xml:space="preserve"> were found in the literature, so they were determined using validated computational estimates.</w:t>
      </w:r>
      <w:r>
        <w:rPr>
          <w:sz w:val="24"/>
          <w:szCs w:val="24"/>
          <w:lang w:val="en-US"/>
        </w:rPr>
        <w:t xml:space="preserve"> In the Scheme 2 </w:t>
      </w:r>
      <w:r w:rsidR="00F6698F">
        <w:rPr>
          <w:sz w:val="24"/>
          <w:szCs w:val="24"/>
          <w:lang w:val="en-US"/>
        </w:rPr>
        <w:t>the deprotonation route for both compounds is found</w:t>
      </w:r>
      <w:r>
        <w:rPr>
          <w:sz w:val="24"/>
          <w:szCs w:val="24"/>
          <w:lang w:val="en-US"/>
        </w:rPr>
        <w:t>.</w:t>
      </w:r>
    </w:p>
    <w:p w14:paraId="21E154CE" w14:textId="77777777" w:rsidR="00B429BC" w:rsidRDefault="00B429BC" w:rsidP="00B3064D">
      <w:pPr>
        <w:spacing w:after="120" w:line="276" w:lineRule="auto"/>
        <w:rPr>
          <w:sz w:val="24"/>
          <w:szCs w:val="24"/>
          <w:lang w:val="en-US"/>
        </w:rPr>
      </w:pPr>
      <w:r w:rsidRPr="00B429BC">
        <w:rPr>
          <w:sz w:val="24"/>
          <w:szCs w:val="24"/>
          <w:lang w:val="en-US"/>
        </w:rPr>
        <w:t>Acid</w:t>
      </w:r>
      <w:r>
        <w:rPr>
          <w:sz w:val="24"/>
          <w:szCs w:val="24"/>
          <w:lang w:val="en-US"/>
        </w:rPr>
        <w:t>-</w:t>
      </w:r>
      <w:r w:rsidRPr="00B429BC">
        <w:rPr>
          <w:sz w:val="24"/>
          <w:szCs w:val="24"/>
          <w:lang w:val="en-US"/>
        </w:rPr>
        <w:t xml:space="preserve">base speciation analysis showed that </w:t>
      </w:r>
      <w:r>
        <w:rPr>
          <w:sz w:val="24"/>
          <w:szCs w:val="24"/>
          <w:lang w:val="en-US"/>
        </w:rPr>
        <w:t>T</w:t>
      </w:r>
      <w:r w:rsidRPr="00B429BC">
        <w:rPr>
          <w:sz w:val="24"/>
          <w:szCs w:val="24"/>
          <w:lang w:val="en-US"/>
        </w:rPr>
        <w:t xml:space="preserve">rofinetide and </w:t>
      </w:r>
      <w:r>
        <w:rPr>
          <w:sz w:val="24"/>
          <w:szCs w:val="24"/>
          <w:lang w:val="en-US"/>
        </w:rPr>
        <w:t>GPE</w:t>
      </w:r>
      <w:r w:rsidRPr="00B429BC">
        <w:rPr>
          <w:sz w:val="24"/>
          <w:szCs w:val="24"/>
          <w:lang w:val="en-US"/>
        </w:rPr>
        <w:t xml:space="preserve"> exhibit virtually identical deprotonation pathways, with the successive formation of five species. At physiological pH (pH = 7.4), both molecules exhibit a distribution dominated by anionic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2</m:t>
                </m:r>
              </m:sub>
            </m:sSub>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sub>
        </m:sSub>
      </m:oMath>
      <w:r w:rsidRPr="00B429BC">
        <w:rPr>
          <w:sz w:val="24"/>
          <w:szCs w:val="24"/>
          <w:lang w:val="en-US"/>
        </w:rPr>
        <w:t xml:space="preserve"> = 0.71) and dianionic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(H</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sub>
        </m:sSub>
      </m:oMath>
      <w:r w:rsidRPr="00B429BC">
        <w:rPr>
          <w:sz w:val="24"/>
          <w:szCs w:val="24"/>
          <w:lang w:val="en-US"/>
        </w:rPr>
        <w:t xml:space="preserve"> = 0.28) species, while neutral, cationic, and trianionic forms are virtually nonexistent under these conditions. This similarity suggests that the functional differences between the two compounds are not related to their acid–base profile, but to other structural and electronic factors.</w:t>
      </w:r>
    </w:p>
    <w:p w14:paraId="4D9A2DAE" w14:textId="35576565" w:rsidR="00085D82" w:rsidRPr="00085D82" w:rsidRDefault="00085D82" w:rsidP="00B3064D">
      <w:pPr>
        <w:spacing w:after="120" w:line="276" w:lineRule="auto"/>
        <w:rPr>
          <w:sz w:val="24"/>
          <w:szCs w:val="24"/>
          <w:lang w:val="en-US"/>
        </w:rPr>
      </w:pPr>
      <w:r>
        <w:rPr>
          <w:sz w:val="24"/>
          <w:szCs w:val="24"/>
          <w:lang w:val="en-US"/>
        </w:rPr>
        <w:t xml:space="preserve"> </w:t>
      </w:r>
    </w:p>
    <w:p w14:paraId="48BD67C2" w14:textId="68D3FA9F" w:rsidR="008C5EBA" w:rsidRDefault="00F6698F" w:rsidP="008C5EBA">
      <w:pPr>
        <w:spacing w:after="120" w:line="276" w:lineRule="auto"/>
        <w:ind w:left="-993" w:right="-943"/>
        <w:rPr>
          <w:sz w:val="24"/>
          <w:szCs w:val="24"/>
          <w:lang w:val="en-US"/>
        </w:rPr>
      </w:pPr>
      <w:r w:rsidRPr="00F6698F">
        <w:rPr>
          <w:noProof/>
        </w:rPr>
        <w:drawing>
          <wp:inline distT="0" distB="0" distL="0" distR="0" wp14:anchorId="2742848C" wp14:editId="4C83D3AE">
            <wp:extent cx="6877349" cy="2052000"/>
            <wp:effectExtent l="0" t="0" r="0" b="5715"/>
            <wp:docPr id="1687524220"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24220" name="Imagen 1" descr="Diagrama, Esquemático&#10;&#10;El contenido generado por IA puede ser incorrecto."/>
                    <pic:cNvPicPr/>
                  </pic:nvPicPr>
                  <pic:blipFill>
                    <a:blip r:embed="rId6"/>
                    <a:stretch>
                      <a:fillRect/>
                    </a:stretch>
                  </pic:blipFill>
                  <pic:spPr>
                    <a:xfrm>
                      <a:off x="0" y="0"/>
                      <a:ext cx="6877349" cy="2052000"/>
                    </a:xfrm>
                    <a:prstGeom prst="rect">
                      <a:avLst/>
                    </a:prstGeom>
                  </pic:spPr>
                </pic:pic>
              </a:graphicData>
            </a:graphic>
          </wp:inline>
        </w:drawing>
      </w:r>
    </w:p>
    <w:p w14:paraId="13BE3EC5" w14:textId="5F9CB5B8" w:rsidR="00B429BC" w:rsidRPr="00B429BC" w:rsidRDefault="00B429BC" w:rsidP="00B429BC">
      <w:pPr>
        <w:spacing w:after="120" w:line="276" w:lineRule="auto"/>
        <w:ind w:right="49"/>
        <w:rPr>
          <w:sz w:val="22"/>
          <w:szCs w:val="22"/>
          <w:lang w:val="en-US"/>
        </w:rPr>
      </w:pPr>
      <w:r w:rsidRPr="00B429BC">
        <w:rPr>
          <w:b/>
          <w:bCs/>
          <w:sz w:val="22"/>
          <w:szCs w:val="22"/>
          <w:lang w:val="en-US"/>
        </w:rPr>
        <w:t>Scheme 2</w:t>
      </w:r>
      <w:r w:rsidRPr="00B429BC">
        <w:rPr>
          <w:sz w:val="22"/>
          <w:szCs w:val="22"/>
          <w:lang w:val="en-US"/>
        </w:rPr>
        <w:t>. Deprotonation routes for Trofinetide and G</w:t>
      </w:r>
      <w:r w:rsidR="003D407E">
        <w:rPr>
          <w:sz w:val="22"/>
          <w:szCs w:val="22"/>
          <w:lang w:val="en-US"/>
        </w:rPr>
        <w:t>PE</w:t>
      </w:r>
      <w:r w:rsidRPr="00B429BC">
        <w:rPr>
          <w:sz w:val="22"/>
          <w:szCs w:val="22"/>
          <w:lang w:val="en-US"/>
        </w:rPr>
        <w:t xml:space="preserve"> respectively.</w:t>
      </w:r>
    </w:p>
    <w:p w14:paraId="7FEE0FA2" w14:textId="77777777" w:rsidR="008C5EBA" w:rsidRDefault="008C5EBA" w:rsidP="00B3064D">
      <w:pPr>
        <w:spacing w:after="120" w:line="276" w:lineRule="auto"/>
        <w:rPr>
          <w:sz w:val="24"/>
          <w:szCs w:val="24"/>
          <w:lang w:val="en-US"/>
        </w:rPr>
      </w:pPr>
    </w:p>
    <w:p w14:paraId="1EF381D9" w14:textId="1564544B" w:rsidR="00B429BC" w:rsidRDefault="00B429BC" w:rsidP="00B3064D">
      <w:pPr>
        <w:spacing w:after="120" w:line="276" w:lineRule="auto"/>
        <w:rPr>
          <w:i/>
          <w:iCs/>
          <w:sz w:val="24"/>
          <w:szCs w:val="24"/>
          <w:lang w:val="en-US"/>
        </w:rPr>
      </w:pPr>
      <w:r w:rsidRPr="00B429BC">
        <w:rPr>
          <w:i/>
          <w:iCs/>
          <w:sz w:val="24"/>
          <w:szCs w:val="24"/>
          <w:lang w:val="en-US"/>
        </w:rPr>
        <w:t>Molecular docking</w:t>
      </w:r>
    </w:p>
    <w:p w14:paraId="34C072D0" w14:textId="08B2807E" w:rsidR="003D407E" w:rsidRPr="003D407E" w:rsidRDefault="003D407E" w:rsidP="003D407E">
      <w:pPr>
        <w:spacing w:after="120" w:line="276" w:lineRule="auto"/>
        <w:rPr>
          <w:sz w:val="24"/>
          <w:szCs w:val="24"/>
          <w:lang w:val="en-US"/>
        </w:rPr>
      </w:pPr>
      <w:r w:rsidRPr="003D407E">
        <w:rPr>
          <w:sz w:val="24"/>
          <w:szCs w:val="24"/>
          <w:lang w:val="en-US"/>
        </w:rPr>
        <w:t xml:space="preserve">Affinity values ​​weighted by the mole fraction of the predominant acid-base species at physiological pH allowed us to compare the interaction profile of </w:t>
      </w:r>
      <w:r>
        <w:rPr>
          <w:sz w:val="24"/>
          <w:szCs w:val="24"/>
          <w:lang w:val="en-US"/>
        </w:rPr>
        <w:t>T</w:t>
      </w:r>
      <w:r w:rsidRPr="003D407E">
        <w:rPr>
          <w:sz w:val="24"/>
          <w:szCs w:val="24"/>
          <w:lang w:val="en-US"/>
        </w:rPr>
        <w:t xml:space="preserve">rofinetide and glypromate with a panel of 28 receptors selected for their potential relevance in Rett </w:t>
      </w:r>
      <w:r w:rsidRPr="003D407E">
        <w:rPr>
          <w:sz w:val="24"/>
          <w:szCs w:val="24"/>
          <w:lang w:val="en-US"/>
        </w:rPr>
        <w:lastRenderedPageBreak/>
        <w:t xml:space="preserve">syndrome. Overall, </w:t>
      </w:r>
      <w:r>
        <w:rPr>
          <w:sz w:val="24"/>
          <w:szCs w:val="24"/>
          <w:lang w:val="en-US"/>
        </w:rPr>
        <w:t>T</w:t>
      </w:r>
      <w:r w:rsidRPr="003D407E">
        <w:rPr>
          <w:sz w:val="24"/>
          <w:szCs w:val="24"/>
          <w:lang w:val="en-US"/>
        </w:rPr>
        <w:t xml:space="preserve">rofinetide showed higher affinities than </w:t>
      </w:r>
      <w:r>
        <w:rPr>
          <w:sz w:val="24"/>
          <w:szCs w:val="24"/>
          <w:lang w:val="en-US"/>
        </w:rPr>
        <w:t>GPE</w:t>
      </w:r>
      <w:r w:rsidRPr="003D407E">
        <w:rPr>
          <w:sz w:val="24"/>
          <w:szCs w:val="24"/>
          <w:lang w:val="en-US"/>
        </w:rPr>
        <w:t xml:space="preserve">. Although individual differences are not markedly large, overall affinities slightly favor </w:t>
      </w:r>
      <w:r>
        <w:rPr>
          <w:sz w:val="24"/>
          <w:szCs w:val="24"/>
          <w:lang w:val="en-US"/>
        </w:rPr>
        <w:t>T</w:t>
      </w:r>
      <w:r w:rsidRPr="003D407E">
        <w:rPr>
          <w:sz w:val="24"/>
          <w:szCs w:val="24"/>
          <w:lang w:val="en-US"/>
        </w:rPr>
        <w:t>rofinetide.</w:t>
      </w:r>
    </w:p>
    <w:p w14:paraId="0EB44442" w14:textId="418AD2FA" w:rsidR="003D407E" w:rsidRPr="003D407E" w:rsidRDefault="003D407E" w:rsidP="003D407E">
      <w:pPr>
        <w:spacing w:after="120" w:line="276" w:lineRule="auto"/>
        <w:rPr>
          <w:sz w:val="24"/>
          <w:szCs w:val="24"/>
          <w:lang w:val="en-US"/>
        </w:rPr>
      </w:pPr>
      <w:r w:rsidRPr="003D407E">
        <w:rPr>
          <w:sz w:val="24"/>
          <w:szCs w:val="24"/>
          <w:lang w:val="en-US"/>
        </w:rPr>
        <w:t xml:space="preserve">Comparing the values ​​of both peptides with the corresponding endogenous substrates or reference modulators included in the study revealed consistent patterns. Across multiple targets, the peptides showed higher affinity than the physiological substrates, suggesting a potential competitive modulatory capacity and consistent with the proposed multitarget activity of </w:t>
      </w:r>
      <w:r>
        <w:rPr>
          <w:sz w:val="24"/>
          <w:szCs w:val="24"/>
          <w:lang w:val="en-US"/>
        </w:rPr>
        <w:t>T</w:t>
      </w:r>
      <w:r w:rsidRPr="003D407E">
        <w:rPr>
          <w:sz w:val="24"/>
          <w:szCs w:val="24"/>
          <w:lang w:val="en-US"/>
        </w:rPr>
        <w:t>rofinetide. However, the reference modulators exhibited, as expected, the highest affinities in most cases.</w:t>
      </w:r>
    </w:p>
    <w:p w14:paraId="788DCC81" w14:textId="67CB3589" w:rsidR="003D407E" w:rsidRDefault="003D407E" w:rsidP="003D407E">
      <w:pPr>
        <w:spacing w:after="120" w:line="276" w:lineRule="auto"/>
        <w:rPr>
          <w:sz w:val="24"/>
          <w:szCs w:val="24"/>
          <w:lang w:val="en-US"/>
        </w:rPr>
      </w:pPr>
      <w:r w:rsidRPr="003D407E">
        <w:rPr>
          <w:sz w:val="24"/>
          <w:szCs w:val="24"/>
          <w:lang w:val="en-US"/>
        </w:rPr>
        <w:t>Regarding the validation targets used in the methodological protocol, P450, OATP1B1, and UGT2B15, the latter two have been identified as elimination pathways in clinical and preclinical studies and were therefore included as positive controls. Indeed, Trofinetide showed similar or even higher scores than the references (</w:t>
      </w:r>
      <w:r>
        <w:rPr>
          <w:sz w:val="24"/>
          <w:szCs w:val="24"/>
          <w:lang w:val="en-US"/>
        </w:rPr>
        <w:t>-</w:t>
      </w:r>
      <w:r w:rsidRPr="003D407E">
        <w:rPr>
          <w:sz w:val="24"/>
          <w:szCs w:val="24"/>
          <w:lang w:val="en-US"/>
        </w:rPr>
        <w:t xml:space="preserve">8.42 and </w:t>
      </w:r>
      <w:r>
        <w:rPr>
          <w:sz w:val="24"/>
          <w:szCs w:val="24"/>
          <w:lang w:val="en-US"/>
        </w:rPr>
        <w:t>-</w:t>
      </w:r>
      <w:r w:rsidRPr="003D407E">
        <w:rPr>
          <w:sz w:val="24"/>
          <w:szCs w:val="24"/>
          <w:lang w:val="en-US"/>
        </w:rPr>
        <w:t>8.08 kcal/mol, respectively), consistent with the reported pharmacokinetic data. In contrast, at P450, both peptides presented significantly lower affinities (</w:t>
      </w:r>
      <w:r>
        <w:rPr>
          <w:sz w:val="24"/>
          <w:szCs w:val="24"/>
          <w:lang w:val="en-US"/>
        </w:rPr>
        <w:t>-</w:t>
      </w:r>
      <w:r w:rsidRPr="003D407E">
        <w:rPr>
          <w:sz w:val="24"/>
          <w:szCs w:val="24"/>
          <w:lang w:val="en-US"/>
        </w:rPr>
        <w:t xml:space="preserve">6.29 and </w:t>
      </w:r>
      <w:r>
        <w:rPr>
          <w:sz w:val="24"/>
          <w:szCs w:val="24"/>
          <w:lang w:val="en-US"/>
        </w:rPr>
        <w:t>-</w:t>
      </w:r>
      <w:r w:rsidRPr="003D407E">
        <w:rPr>
          <w:sz w:val="24"/>
          <w:szCs w:val="24"/>
          <w:lang w:val="en-US"/>
        </w:rPr>
        <w:t>6.31 kcal/mol) than those of the endogenous substrate and the reference modulator, corroborating the absence of experimental interaction with this enzymatic system and thus validating its inclusion as a negative control.</w:t>
      </w:r>
    </w:p>
    <w:p w14:paraId="3DDC112F" w14:textId="77777777" w:rsidR="003D407E" w:rsidRPr="003D407E" w:rsidRDefault="003D407E" w:rsidP="003D407E">
      <w:pPr>
        <w:spacing w:after="120" w:line="276" w:lineRule="auto"/>
        <w:rPr>
          <w:sz w:val="24"/>
          <w:szCs w:val="24"/>
          <w:lang w:val="en-US"/>
        </w:rPr>
      </w:pPr>
    </w:p>
    <w:tbl>
      <w:tblPr>
        <w:tblStyle w:val="Tablaconcuadrcula"/>
        <w:tblW w:w="0" w:type="auto"/>
        <w:jc w:val="center"/>
        <w:tblLook w:val="04A0" w:firstRow="1" w:lastRow="0" w:firstColumn="1" w:lastColumn="0" w:noHBand="0" w:noVBand="1"/>
      </w:tblPr>
      <w:tblGrid>
        <w:gridCol w:w="2048"/>
        <w:gridCol w:w="1296"/>
        <w:gridCol w:w="1240"/>
        <w:gridCol w:w="1240"/>
        <w:gridCol w:w="1240"/>
      </w:tblGrid>
      <w:tr w:rsidR="009721A8" w:rsidRPr="008B3BD9" w14:paraId="492C777C" w14:textId="77777777" w:rsidTr="00D93193">
        <w:trPr>
          <w:trHeight w:val="336"/>
          <w:jc w:val="center"/>
        </w:trPr>
        <w:tc>
          <w:tcPr>
            <w:tcW w:w="7064" w:type="dxa"/>
            <w:gridSpan w:val="5"/>
            <w:noWrap/>
            <w:vAlign w:val="center"/>
          </w:tcPr>
          <w:p w14:paraId="5AA6B9A3" w14:textId="65B25831" w:rsidR="009721A8" w:rsidRPr="009721A8" w:rsidRDefault="009721A8" w:rsidP="009721A8">
            <w:pPr>
              <w:spacing w:after="120" w:line="276" w:lineRule="auto"/>
              <w:rPr>
                <w:sz w:val="22"/>
                <w:szCs w:val="22"/>
                <w:lang w:val="en-US"/>
              </w:rPr>
            </w:pPr>
            <w:r w:rsidRPr="009721A8">
              <w:rPr>
                <w:b/>
                <w:bCs/>
                <w:sz w:val="22"/>
                <w:szCs w:val="22"/>
                <w:lang w:val="en-US"/>
              </w:rPr>
              <w:t>Table 2</w:t>
            </w:r>
            <w:r w:rsidRPr="009721A8">
              <w:rPr>
                <w:sz w:val="22"/>
                <w:szCs w:val="22"/>
                <w:lang w:val="en-US"/>
              </w:rPr>
              <w:t xml:space="preserve">. </w:t>
            </w:r>
            <w:r w:rsidR="003D407E" w:rsidRPr="003D407E">
              <w:rPr>
                <w:sz w:val="22"/>
                <w:szCs w:val="22"/>
                <w:lang w:val="en-US"/>
              </w:rPr>
              <w:t>Weighted docking score (</w:t>
            </w:r>
            <w:r w:rsidR="003D407E" w:rsidRPr="009721A8">
              <w:rPr>
                <w:sz w:val="22"/>
                <w:szCs w:val="22"/>
              </w:rPr>
              <w:t>Δ</w:t>
            </w:r>
            <w:r w:rsidR="003D407E" w:rsidRPr="00A9592D">
              <w:rPr>
                <w:sz w:val="22"/>
                <w:szCs w:val="22"/>
                <w:lang w:val="en-US"/>
              </w:rPr>
              <w:t>G</w:t>
            </w:r>
            <w:r w:rsidR="003D407E" w:rsidRPr="00A9592D">
              <w:rPr>
                <w:sz w:val="22"/>
                <w:szCs w:val="22"/>
                <w:vertAlign w:val="superscript"/>
                <w:lang w:val="en-US"/>
              </w:rPr>
              <w:t>W</w:t>
            </w:r>
            <w:r w:rsidR="003D407E" w:rsidRPr="00A9592D">
              <w:rPr>
                <w:sz w:val="22"/>
                <w:szCs w:val="22"/>
                <w:vertAlign w:val="subscript"/>
                <w:lang w:val="en-US"/>
              </w:rPr>
              <w:t>B</w:t>
            </w:r>
            <w:r w:rsidR="003D407E" w:rsidRPr="003D407E">
              <w:rPr>
                <w:sz w:val="22"/>
                <w:szCs w:val="22"/>
                <w:lang w:val="en-US"/>
              </w:rPr>
              <w:t>) of Trofinetide, Glipromate, endogenous substrates (ES), and reference modulators (MR) on selected RTT-related targets.</w:t>
            </w:r>
          </w:p>
        </w:tc>
      </w:tr>
      <w:tr w:rsidR="004326E4" w:rsidRPr="009721A8" w14:paraId="3A000B6F" w14:textId="77777777" w:rsidTr="009721A8">
        <w:trPr>
          <w:trHeight w:val="336"/>
          <w:jc w:val="center"/>
        </w:trPr>
        <w:tc>
          <w:tcPr>
            <w:tcW w:w="2048" w:type="dxa"/>
            <w:vMerge w:val="restart"/>
            <w:noWrap/>
            <w:vAlign w:val="center"/>
            <w:hideMark/>
          </w:tcPr>
          <w:p w14:paraId="7541B600" w14:textId="77777777" w:rsidR="004326E4" w:rsidRPr="009721A8" w:rsidRDefault="004326E4" w:rsidP="004326E4">
            <w:pPr>
              <w:spacing w:after="120" w:line="276" w:lineRule="auto"/>
              <w:jc w:val="center"/>
              <w:rPr>
                <w:sz w:val="22"/>
                <w:szCs w:val="22"/>
              </w:rPr>
            </w:pPr>
            <w:r w:rsidRPr="009721A8">
              <w:rPr>
                <w:sz w:val="22"/>
                <w:szCs w:val="22"/>
              </w:rPr>
              <w:t>Receptor</w:t>
            </w:r>
          </w:p>
        </w:tc>
        <w:tc>
          <w:tcPr>
            <w:tcW w:w="5016" w:type="dxa"/>
            <w:gridSpan w:val="4"/>
            <w:noWrap/>
            <w:vAlign w:val="center"/>
            <w:hideMark/>
          </w:tcPr>
          <w:p w14:paraId="74F0191B" w14:textId="77777777" w:rsidR="004326E4" w:rsidRPr="009721A8" w:rsidRDefault="004326E4" w:rsidP="004326E4">
            <w:pPr>
              <w:spacing w:after="120" w:line="276" w:lineRule="auto"/>
              <w:jc w:val="center"/>
              <w:rPr>
                <w:sz w:val="22"/>
                <w:szCs w:val="22"/>
              </w:rPr>
            </w:pPr>
            <w:r w:rsidRPr="009721A8">
              <w:rPr>
                <w:sz w:val="22"/>
                <w:szCs w:val="22"/>
              </w:rPr>
              <w:t>ΔG</w:t>
            </w:r>
            <w:r w:rsidRPr="009721A8">
              <w:rPr>
                <w:sz w:val="22"/>
                <w:szCs w:val="22"/>
                <w:vertAlign w:val="superscript"/>
              </w:rPr>
              <w:t>W</w:t>
            </w:r>
            <w:r w:rsidRPr="009721A8">
              <w:rPr>
                <w:sz w:val="22"/>
                <w:szCs w:val="22"/>
                <w:vertAlign w:val="subscript"/>
              </w:rPr>
              <w:t>B</w:t>
            </w:r>
            <w:r w:rsidRPr="009721A8">
              <w:rPr>
                <w:sz w:val="22"/>
                <w:szCs w:val="22"/>
              </w:rPr>
              <w:t>(kcal/mol)</w:t>
            </w:r>
          </w:p>
        </w:tc>
      </w:tr>
      <w:tr w:rsidR="004326E4" w:rsidRPr="009721A8" w14:paraId="4C45C809" w14:textId="77777777" w:rsidTr="009721A8">
        <w:trPr>
          <w:trHeight w:val="288"/>
          <w:jc w:val="center"/>
        </w:trPr>
        <w:tc>
          <w:tcPr>
            <w:tcW w:w="2048" w:type="dxa"/>
            <w:vMerge/>
            <w:vAlign w:val="center"/>
            <w:hideMark/>
          </w:tcPr>
          <w:p w14:paraId="2EC36715" w14:textId="77777777" w:rsidR="004326E4" w:rsidRPr="009721A8" w:rsidRDefault="004326E4" w:rsidP="004326E4">
            <w:pPr>
              <w:spacing w:after="120" w:line="276" w:lineRule="auto"/>
              <w:jc w:val="center"/>
              <w:rPr>
                <w:sz w:val="22"/>
                <w:szCs w:val="22"/>
              </w:rPr>
            </w:pPr>
          </w:p>
        </w:tc>
        <w:tc>
          <w:tcPr>
            <w:tcW w:w="1296" w:type="dxa"/>
            <w:vAlign w:val="center"/>
            <w:hideMark/>
          </w:tcPr>
          <w:p w14:paraId="19566E97" w14:textId="77777777" w:rsidR="004326E4" w:rsidRPr="009721A8" w:rsidRDefault="004326E4" w:rsidP="004326E4">
            <w:pPr>
              <w:spacing w:after="120" w:line="276" w:lineRule="auto"/>
              <w:jc w:val="center"/>
              <w:rPr>
                <w:sz w:val="22"/>
                <w:szCs w:val="22"/>
              </w:rPr>
            </w:pPr>
            <w:r w:rsidRPr="009721A8">
              <w:rPr>
                <w:sz w:val="22"/>
                <w:szCs w:val="22"/>
              </w:rPr>
              <w:t>Trofinetide</w:t>
            </w:r>
          </w:p>
        </w:tc>
        <w:tc>
          <w:tcPr>
            <w:tcW w:w="1240" w:type="dxa"/>
            <w:vAlign w:val="center"/>
            <w:hideMark/>
          </w:tcPr>
          <w:p w14:paraId="23DD6828" w14:textId="77777777" w:rsidR="004326E4" w:rsidRPr="009721A8" w:rsidRDefault="004326E4" w:rsidP="004326E4">
            <w:pPr>
              <w:spacing w:after="120" w:line="276" w:lineRule="auto"/>
              <w:jc w:val="center"/>
              <w:rPr>
                <w:sz w:val="22"/>
                <w:szCs w:val="22"/>
              </w:rPr>
            </w:pPr>
            <w:r w:rsidRPr="009721A8">
              <w:rPr>
                <w:sz w:val="22"/>
                <w:szCs w:val="22"/>
              </w:rPr>
              <w:t>GPE</w:t>
            </w:r>
          </w:p>
        </w:tc>
        <w:tc>
          <w:tcPr>
            <w:tcW w:w="1240" w:type="dxa"/>
            <w:vAlign w:val="center"/>
            <w:hideMark/>
          </w:tcPr>
          <w:p w14:paraId="7FF17D13" w14:textId="7120C6AD" w:rsidR="004326E4" w:rsidRPr="009721A8" w:rsidRDefault="004326E4" w:rsidP="004326E4">
            <w:pPr>
              <w:spacing w:after="120" w:line="276" w:lineRule="auto"/>
              <w:jc w:val="center"/>
              <w:rPr>
                <w:sz w:val="22"/>
                <w:szCs w:val="22"/>
              </w:rPr>
            </w:pPr>
            <w:r w:rsidRPr="009721A8">
              <w:rPr>
                <w:sz w:val="22"/>
                <w:szCs w:val="22"/>
              </w:rPr>
              <w:t>ES</w:t>
            </w:r>
          </w:p>
        </w:tc>
        <w:tc>
          <w:tcPr>
            <w:tcW w:w="1240" w:type="dxa"/>
            <w:vAlign w:val="center"/>
            <w:hideMark/>
          </w:tcPr>
          <w:p w14:paraId="6E584B18" w14:textId="3B7F99B0" w:rsidR="004326E4" w:rsidRPr="009721A8" w:rsidRDefault="004326E4" w:rsidP="004326E4">
            <w:pPr>
              <w:spacing w:after="120" w:line="276" w:lineRule="auto"/>
              <w:jc w:val="center"/>
              <w:rPr>
                <w:sz w:val="22"/>
                <w:szCs w:val="22"/>
              </w:rPr>
            </w:pPr>
            <w:r w:rsidRPr="009721A8">
              <w:rPr>
                <w:sz w:val="22"/>
                <w:szCs w:val="22"/>
              </w:rPr>
              <w:t>MR</w:t>
            </w:r>
          </w:p>
        </w:tc>
      </w:tr>
      <w:tr w:rsidR="004326E4" w:rsidRPr="009721A8" w14:paraId="76E80073" w14:textId="77777777" w:rsidTr="009721A8">
        <w:trPr>
          <w:trHeight w:val="288"/>
          <w:jc w:val="center"/>
        </w:trPr>
        <w:tc>
          <w:tcPr>
            <w:tcW w:w="2048" w:type="dxa"/>
            <w:noWrap/>
            <w:vAlign w:val="center"/>
            <w:hideMark/>
          </w:tcPr>
          <w:p w14:paraId="2C17E5E6" w14:textId="77777777" w:rsidR="004326E4" w:rsidRPr="009721A8" w:rsidRDefault="004326E4" w:rsidP="004326E4">
            <w:pPr>
              <w:spacing w:after="120" w:line="276" w:lineRule="auto"/>
              <w:jc w:val="center"/>
              <w:rPr>
                <w:sz w:val="22"/>
                <w:szCs w:val="22"/>
              </w:rPr>
            </w:pPr>
            <w:r w:rsidRPr="009721A8">
              <w:rPr>
                <w:sz w:val="22"/>
                <w:szCs w:val="22"/>
              </w:rPr>
              <w:t>NMDAr</w:t>
            </w:r>
          </w:p>
        </w:tc>
        <w:tc>
          <w:tcPr>
            <w:tcW w:w="1296" w:type="dxa"/>
            <w:noWrap/>
            <w:vAlign w:val="center"/>
            <w:hideMark/>
          </w:tcPr>
          <w:p w14:paraId="2BDB8039" w14:textId="77777777" w:rsidR="004326E4" w:rsidRPr="009721A8" w:rsidRDefault="004326E4" w:rsidP="004326E4">
            <w:pPr>
              <w:spacing w:after="120" w:line="276" w:lineRule="auto"/>
              <w:jc w:val="center"/>
              <w:rPr>
                <w:sz w:val="22"/>
                <w:szCs w:val="22"/>
              </w:rPr>
            </w:pPr>
            <w:r w:rsidRPr="009721A8">
              <w:rPr>
                <w:sz w:val="22"/>
                <w:szCs w:val="22"/>
              </w:rPr>
              <w:t>-6.12</w:t>
            </w:r>
          </w:p>
        </w:tc>
        <w:tc>
          <w:tcPr>
            <w:tcW w:w="1240" w:type="dxa"/>
            <w:noWrap/>
            <w:vAlign w:val="center"/>
            <w:hideMark/>
          </w:tcPr>
          <w:p w14:paraId="1ED2D21E" w14:textId="6A8145DC" w:rsidR="004326E4" w:rsidRPr="009721A8" w:rsidRDefault="004326E4" w:rsidP="004326E4">
            <w:pPr>
              <w:spacing w:after="120" w:line="276" w:lineRule="auto"/>
              <w:jc w:val="center"/>
              <w:rPr>
                <w:sz w:val="22"/>
                <w:szCs w:val="22"/>
              </w:rPr>
            </w:pPr>
            <w:r w:rsidRPr="009721A8">
              <w:rPr>
                <w:sz w:val="22"/>
                <w:szCs w:val="22"/>
              </w:rPr>
              <w:t>-5.8</w:t>
            </w:r>
            <w:r w:rsidR="009721A8" w:rsidRPr="009721A8">
              <w:rPr>
                <w:sz w:val="22"/>
                <w:szCs w:val="22"/>
              </w:rPr>
              <w:t>0</w:t>
            </w:r>
          </w:p>
        </w:tc>
        <w:tc>
          <w:tcPr>
            <w:tcW w:w="1240" w:type="dxa"/>
            <w:noWrap/>
            <w:vAlign w:val="center"/>
            <w:hideMark/>
          </w:tcPr>
          <w:p w14:paraId="18D38059" w14:textId="77777777" w:rsidR="004326E4" w:rsidRPr="009721A8" w:rsidRDefault="004326E4" w:rsidP="004326E4">
            <w:pPr>
              <w:spacing w:after="120" w:line="276" w:lineRule="auto"/>
              <w:jc w:val="center"/>
              <w:rPr>
                <w:sz w:val="22"/>
                <w:szCs w:val="22"/>
              </w:rPr>
            </w:pPr>
            <w:r w:rsidRPr="009721A8">
              <w:rPr>
                <w:sz w:val="22"/>
                <w:szCs w:val="22"/>
              </w:rPr>
              <w:t>-5.02</w:t>
            </w:r>
          </w:p>
        </w:tc>
        <w:tc>
          <w:tcPr>
            <w:tcW w:w="1240" w:type="dxa"/>
            <w:noWrap/>
            <w:vAlign w:val="center"/>
            <w:hideMark/>
          </w:tcPr>
          <w:p w14:paraId="04EF99B2" w14:textId="7C61FB56" w:rsidR="004326E4" w:rsidRPr="009721A8" w:rsidRDefault="004326E4" w:rsidP="004326E4">
            <w:pPr>
              <w:spacing w:after="120" w:line="276" w:lineRule="auto"/>
              <w:jc w:val="center"/>
              <w:rPr>
                <w:sz w:val="22"/>
                <w:szCs w:val="22"/>
              </w:rPr>
            </w:pPr>
            <w:r w:rsidRPr="009721A8">
              <w:rPr>
                <w:sz w:val="22"/>
                <w:szCs w:val="22"/>
              </w:rPr>
              <w:t>-6.1</w:t>
            </w:r>
            <w:r w:rsidR="009721A8" w:rsidRPr="009721A8">
              <w:rPr>
                <w:sz w:val="22"/>
                <w:szCs w:val="22"/>
              </w:rPr>
              <w:t>0</w:t>
            </w:r>
          </w:p>
        </w:tc>
      </w:tr>
      <w:tr w:rsidR="004326E4" w:rsidRPr="009721A8" w14:paraId="6B39679A" w14:textId="77777777" w:rsidTr="009721A8">
        <w:trPr>
          <w:trHeight w:val="288"/>
          <w:jc w:val="center"/>
        </w:trPr>
        <w:tc>
          <w:tcPr>
            <w:tcW w:w="2048" w:type="dxa"/>
            <w:noWrap/>
            <w:vAlign w:val="center"/>
            <w:hideMark/>
          </w:tcPr>
          <w:p w14:paraId="3D664439" w14:textId="77777777" w:rsidR="004326E4" w:rsidRPr="009721A8" w:rsidRDefault="004326E4" w:rsidP="004326E4">
            <w:pPr>
              <w:spacing w:after="120" w:line="276" w:lineRule="auto"/>
              <w:jc w:val="center"/>
              <w:rPr>
                <w:sz w:val="22"/>
                <w:szCs w:val="22"/>
              </w:rPr>
            </w:pPr>
            <w:r w:rsidRPr="009721A8">
              <w:rPr>
                <w:sz w:val="22"/>
                <w:szCs w:val="22"/>
              </w:rPr>
              <w:t>GAT1</w:t>
            </w:r>
          </w:p>
        </w:tc>
        <w:tc>
          <w:tcPr>
            <w:tcW w:w="1296" w:type="dxa"/>
            <w:noWrap/>
            <w:vAlign w:val="center"/>
            <w:hideMark/>
          </w:tcPr>
          <w:p w14:paraId="17540FB5" w14:textId="77777777" w:rsidR="004326E4" w:rsidRPr="009721A8" w:rsidRDefault="004326E4" w:rsidP="004326E4">
            <w:pPr>
              <w:spacing w:after="120" w:line="276" w:lineRule="auto"/>
              <w:jc w:val="center"/>
              <w:rPr>
                <w:sz w:val="22"/>
                <w:szCs w:val="22"/>
              </w:rPr>
            </w:pPr>
            <w:r w:rsidRPr="009721A8">
              <w:rPr>
                <w:sz w:val="22"/>
                <w:szCs w:val="22"/>
              </w:rPr>
              <w:t>-7.64</w:t>
            </w:r>
          </w:p>
        </w:tc>
        <w:tc>
          <w:tcPr>
            <w:tcW w:w="1240" w:type="dxa"/>
            <w:noWrap/>
            <w:vAlign w:val="center"/>
            <w:hideMark/>
          </w:tcPr>
          <w:p w14:paraId="0EEB53CC" w14:textId="77777777" w:rsidR="004326E4" w:rsidRPr="009721A8" w:rsidRDefault="004326E4" w:rsidP="004326E4">
            <w:pPr>
              <w:spacing w:after="120" w:line="276" w:lineRule="auto"/>
              <w:jc w:val="center"/>
              <w:rPr>
                <w:sz w:val="22"/>
                <w:szCs w:val="22"/>
              </w:rPr>
            </w:pPr>
            <w:r w:rsidRPr="009721A8">
              <w:rPr>
                <w:sz w:val="22"/>
                <w:szCs w:val="22"/>
              </w:rPr>
              <w:t>-7.09</w:t>
            </w:r>
          </w:p>
        </w:tc>
        <w:tc>
          <w:tcPr>
            <w:tcW w:w="1240" w:type="dxa"/>
            <w:noWrap/>
            <w:vAlign w:val="center"/>
            <w:hideMark/>
          </w:tcPr>
          <w:p w14:paraId="74FA5FB2" w14:textId="77777777" w:rsidR="004326E4" w:rsidRPr="009721A8" w:rsidRDefault="004326E4" w:rsidP="004326E4">
            <w:pPr>
              <w:spacing w:after="120" w:line="276" w:lineRule="auto"/>
              <w:jc w:val="center"/>
              <w:rPr>
                <w:sz w:val="22"/>
                <w:szCs w:val="22"/>
              </w:rPr>
            </w:pPr>
            <w:r w:rsidRPr="009721A8">
              <w:rPr>
                <w:sz w:val="22"/>
                <w:szCs w:val="22"/>
              </w:rPr>
              <w:t>-4.1</w:t>
            </w:r>
          </w:p>
        </w:tc>
        <w:tc>
          <w:tcPr>
            <w:tcW w:w="1240" w:type="dxa"/>
            <w:noWrap/>
            <w:vAlign w:val="center"/>
            <w:hideMark/>
          </w:tcPr>
          <w:p w14:paraId="44361E68" w14:textId="77777777" w:rsidR="004326E4" w:rsidRPr="009721A8" w:rsidRDefault="004326E4" w:rsidP="004326E4">
            <w:pPr>
              <w:spacing w:after="120" w:line="276" w:lineRule="auto"/>
              <w:jc w:val="center"/>
              <w:rPr>
                <w:sz w:val="22"/>
                <w:szCs w:val="22"/>
              </w:rPr>
            </w:pPr>
            <w:r w:rsidRPr="009721A8">
              <w:rPr>
                <w:sz w:val="22"/>
                <w:szCs w:val="22"/>
              </w:rPr>
              <w:t>-8.06</w:t>
            </w:r>
          </w:p>
        </w:tc>
      </w:tr>
      <w:tr w:rsidR="004326E4" w:rsidRPr="009721A8" w14:paraId="5A4E6894" w14:textId="77777777" w:rsidTr="009721A8">
        <w:trPr>
          <w:trHeight w:val="288"/>
          <w:jc w:val="center"/>
        </w:trPr>
        <w:tc>
          <w:tcPr>
            <w:tcW w:w="2048" w:type="dxa"/>
            <w:noWrap/>
            <w:vAlign w:val="center"/>
            <w:hideMark/>
          </w:tcPr>
          <w:p w14:paraId="14486766" w14:textId="77777777" w:rsidR="004326E4" w:rsidRPr="009721A8" w:rsidRDefault="004326E4" w:rsidP="004326E4">
            <w:pPr>
              <w:spacing w:after="120" w:line="276" w:lineRule="auto"/>
              <w:jc w:val="center"/>
              <w:rPr>
                <w:sz w:val="22"/>
                <w:szCs w:val="22"/>
              </w:rPr>
            </w:pPr>
            <w:r w:rsidRPr="009721A8">
              <w:rPr>
                <w:sz w:val="22"/>
                <w:szCs w:val="22"/>
              </w:rPr>
              <w:t>GABAB</w:t>
            </w:r>
          </w:p>
        </w:tc>
        <w:tc>
          <w:tcPr>
            <w:tcW w:w="1296" w:type="dxa"/>
            <w:noWrap/>
            <w:vAlign w:val="center"/>
            <w:hideMark/>
          </w:tcPr>
          <w:p w14:paraId="38B36FA0" w14:textId="77777777" w:rsidR="004326E4" w:rsidRPr="009721A8" w:rsidRDefault="004326E4" w:rsidP="004326E4">
            <w:pPr>
              <w:spacing w:after="120" w:line="276" w:lineRule="auto"/>
              <w:jc w:val="center"/>
              <w:rPr>
                <w:sz w:val="22"/>
                <w:szCs w:val="22"/>
              </w:rPr>
            </w:pPr>
            <w:r w:rsidRPr="009721A8">
              <w:rPr>
                <w:sz w:val="22"/>
                <w:szCs w:val="22"/>
              </w:rPr>
              <w:t>-8.46</w:t>
            </w:r>
          </w:p>
        </w:tc>
        <w:tc>
          <w:tcPr>
            <w:tcW w:w="1240" w:type="dxa"/>
            <w:noWrap/>
            <w:vAlign w:val="center"/>
            <w:hideMark/>
          </w:tcPr>
          <w:p w14:paraId="56CE101C" w14:textId="55F3FA18" w:rsidR="004326E4" w:rsidRPr="009721A8" w:rsidRDefault="004326E4" w:rsidP="004326E4">
            <w:pPr>
              <w:spacing w:after="120" w:line="276" w:lineRule="auto"/>
              <w:jc w:val="center"/>
              <w:rPr>
                <w:sz w:val="22"/>
                <w:szCs w:val="22"/>
              </w:rPr>
            </w:pPr>
            <w:r w:rsidRPr="009721A8">
              <w:rPr>
                <w:sz w:val="22"/>
                <w:szCs w:val="22"/>
              </w:rPr>
              <w:t>-8.6</w:t>
            </w:r>
            <w:r w:rsidR="009721A8" w:rsidRPr="009721A8">
              <w:rPr>
                <w:sz w:val="22"/>
                <w:szCs w:val="22"/>
              </w:rPr>
              <w:t>0</w:t>
            </w:r>
          </w:p>
        </w:tc>
        <w:tc>
          <w:tcPr>
            <w:tcW w:w="1240" w:type="dxa"/>
            <w:noWrap/>
            <w:vAlign w:val="center"/>
            <w:hideMark/>
          </w:tcPr>
          <w:p w14:paraId="3A4CEAD9" w14:textId="77777777" w:rsidR="004326E4" w:rsidRPr="009721A8" w:rsidRDefault="004326E4" w:rsidP="004326E4">
            <w:pPr>
              <w:spacing w:after="120" w:line="276" w:lineRule="auto"/>
              <w:jc w:val="center"/>
              <w:rPr>
                <w:sz w:val="22"/>
                <w:szCs w:val="22"/>
              </w:rPr>
            </w:pPr>
            <w:r w:rsidRPr="009721A8">
              <w:rPr>
                <w:sz w:val="22"/>
                <w:szCs w:val="22"/>
              </w:rPr>
              <w:t>-5.08</w:t>
            </w:r>
          </w:p>
        </w:tc>
        <w:tc>
          <w:tcPr>
            <w:tcW w:w="1240" w:type="dxa"/>
            <w:noWrap/>
            <w:vAlign w:val="center"/>
            <w:hideMark/>
          </w:tcPr>
          <w:p w14:paraId="33DA5728" w14:textId="77777777" w:rsidR="004326E4" w:rsidRPr="009721A8" w:rsidRDefault="004326E4" w:rsidP="004326E4">
            <w:pPr>
              <w:spacing w:after="120" w:line="276" w:lineRule="auto"/>
              <w:jc w:val="center"/>
              <w:rPr>
                <w:sz w:val="22"/>
                <w:szCs w:val="22"/>
              </w:rPr>
            </w:pPr>
            <w:r w:rsidRPr="009721A8">
              <w:rPr>
                <w:sz w:val="22"/>
                <w:szCs w:val="22"/>
              </w:rPr>
              <w:t>-8.43</w:t>
            </w:r>
          </w:p>
        </w:tc>
      </w:tr>
      <w:tr w:rsidR="004326E4" w:rsidRPr="009721A8" w14:paraId="23E86648" w14:textId="77777777" w:rsidTr="009721A8">
        <w:trPr>
          <w:trHeight w:val="288"/>
          <w:jc w:val="center"/>
        </w:trPr>
        <w:tc>
          <w:tcPr>
            <w:tcW w:w="2048" w:type="dxa"/>
            <w:noWrap/>
            <w:vAlign w:val="center"/>
            <w:hideMark/>
          </w:tcPr>
          <w:p w14:paraId="0D0EE7CF" w14:textId="77777777" w:rsidR="004326E4" w:rsidRPr="009721A8" w:rsidRDefault="004326E4" w:rsidP="004326E4">
            <w:pPr>
              <w:spacing w:after="120" w:line="276" w:lineRule="auto"/>
              <w:jc w:val="center"/>
              <w:rPr>
                <w:sz w:val="22"/>
                <w:szCs w:val="22"/>
              </w:rPr>
            </w:pPr>
            <w:r w:rsidRPr="009721A8">
              <w:rPr>
                <w:sz w:val="22"/>
                <w:szCs w:val="22"/>
              </w:rPr>
              <w:t>GABAA</w:t>
            </w:r>
          </w:p>
        </w:tc>
        <w:tc>
          <w:tcPr>
            <w:tcW w:w="1296" w:type="dxa"/>
            <w:noWrap/>
            <w:vAlign w:val="center"/>
            <w:hideMark/>
          </w:tcPr>
          <w:p w14:paraId="0FDFB536" w14:textId="77777777" w:rsidR="004326E4" w:rsidRPr="009721A8" w:rsidRDefault="004326E4" w:rsidP="004326E4">
            <w:pPr>
              <w:spacing w:after="120" w:line="276" w:lineRule="auto"/>
              <w:jc w:val="center"/>
              <w:rPr>
                <w:sz w:val="22"/>
                <w:szCs w:val="22"/>
              </w:rPr>
            </w:pPr>
            <w:r w:rsidRPr="009721A8">
              <w:rPr>
                <w:sz w:val="22"/>
                <w:szCs w:val="22"/>
              </w:rPr>
              <w:t>-6.53</w:t>
            </w:r>
          </w:p>
        </w:tc>
        <w:tc>
          <w:tcPr>
            <w:tcW w:w="1240" w:type="dxa"/>
            <w:noWrap/>
            <w:vAlign w:val="center"/>
            <w:hideMark/>
          </w:tcPr>
          <w:p w14:paraId="14379743" w14:textId="77777777" w:rsidR="004326E4" w:rsidRPr="009721A8" w:rsidRDefault="004326E4" w:rsidP="004326E4">
            <w:pPr>
              <w:spacing w:after="120" w:line="276" w:lineRule="auto"/>
              <w:jc w:val="center"/>
              <w:rPr>
                <w:sz w:val="22"/>
                <w:szCs w:val="22"/>
              </w:rPr>
            </w:pPr>
            <w:r w:rsidRPr="009721A8">
              <w:rPr>
                <w:sz w:val="22"/>
                <w:szCs w:val="22"/>
              </w:rPr>
              <w:t>-6.69</w:t>
            </w:r>
          </w:p>
        </w:tc>
        <w:tc>
          <w:tcPr>
            <w:tcW w:w="1240" w:type="dxa"/>
            <w:noWrap/>
            <w:vAlign w:val="center"/>
            <w:hideMark/>
          </w:tcPr>
          <w:p w14:paraId="33B2931F" w14:textId="77777777" w:rsidR="004326E4" w:rsidRPr="009721A8" w:rsidRDefault="004326E4" w:rsidP="004326E4">
            <w:pPr>
              <w:spacing w:after="120" w:line="276" w:lineRule="auto"/>
              <w:jc w:val="center"/>
              <w:rPr>
                <w:sz w:val="22"/>
                <w:szCs w:val="22"/>
              </w:rPr>
            </w:pPr>
            <w:r w:rsidRPr="009721A8">
              <w:rPr>
                <w:sz w:val="22"/>
                <w:szCs w:val="22"/>
              </w:rPr>
              <w:t>-3.33</w:t>
            </w:r>
          </w:p>
        </w:tc>
        <w:tc>
          <w:tcPr>
            <w:tcW w:w="1240" w:type="dxa"/>
            <w:noWrap/>
            <w:vAlign w:val="center"/>
            <w:hideMark/>
          </w:tcPr>
          <w:p w14:paraId="64C2E56D" w14:textId="77777777" w:rsidR="004326E4" w:rsidRPr="009721A8" w:rsidRDefault="004326E4" w:rsidP="004326E4">
            <w:pPr>
              <w:spacing w:after="120" w:line="276" w:lineRule="auto"/>
              <w:jc w:val="center"/>
              <w:rPr>
                <w:sz w:val="22"/>
                <w:szCs w:val="22"/>
              </w:rPr>
            </w:pPr>
            <w:r w:rsidRPr="009721A8">
              <w:rPr>
                <w:sz w:val="22"/>
                <w:szCs w:val="22"/>
              </w:rPr>
              <w:t>-8.61</w:t>
            </w:r>
          </w:p>
        </w:tc>
      </w:tr>
      <w:tr w:rsidR="004326E4" w:rsidRPr="009721A8" w14:paraId="5661FF3B" w14:textId="77777777" w:rsidTr="009721A8">
        <w:trPr>
          <w:trHeight w:val="288"/>
          <w:jc w:val="center"/>
        </w:trPr>
        <w:tc>
          <w:tcPr>
            <w:tcW w:w="2048" w:type="dxa"/>
            <w:noWrap/>
            <w:vAlign w:val="center"/>
            <w:hideMark/>
          </w:tcPr>
          <w:p w14:paraId="25A8B046" w14:textId="77777777" w:rsidR="004326E4" w:rsidRPr="009721A8" w:rsidRDefault="004326E4" w:rsidP="004326E4">
            <w:pPr>
              <w:spacing w:after="120" w:line="276" w:lineRule="auto"/>
              <w:jc w:val="center"/>
              <w:rPr>
                <w:sz w:val="22"/>
                <w:szCs w:val="22"/>
              </w:rPr>
            </w:pPr>
            <w:r w:rsidRPr="009721A8">
              <w:rPr>
                <w:sz w:val="22"/>
                <w:szCs w:val="22"/>
              </w:rPr>
              <w:t>CHRM1</w:t>
            </w:r>
          </w:p>
        </w:tc>
        <w:tc>
          <w:tcPr>
            <w:tcW w:w="1296" w:type="dxa"/>
            <w:noWrap/>
            <w:vAlign w:val="center"/>
            <w:hideMark/>
          </w:tcPr>
          <w:p w14:paraId="537F3848" w14:textId="0BCE3B45" w:rsidR="004326E4" w:rsidRPr="009721A8" w:rsidRDefault="004326E4" w:rsidP="004326E4">
            <w:pPr>
              <w:spacing w:after="120" w:line="276" w:lineRule="auto"/>
              <w:jc w:val="center"/>
              <w:rPr>
                <w:sz w:val="22"/>
                <w:szCs w:val="22"/>
              </w:rPr>
            </w:pPr>
            <w:r w:rsidRPr="009721A8">
              <w:rPr>
                <w:sz w:val="22"/>
                <w:szCs w:val="22"/>
              </w:rPr>
              <w:t>-7.5</w:t>
            </w:r>
            <w:r w:rsidR="009721A8" w:rsidRPr="009721A8">
              <w:rPr>
                <w:sz w:val="22"/>
                <w:szCs w:val="22"/>
              </w:rPr>
              <w:t>0</w:t>
            </w:r>
          </w:p>
        </w:tc>
        <w:tc>
          <w:tcPr>
            <w:tcW w:w="1240" w:type="dxa"/>
            <w:noWrap/>
            <w:vAlign w:val="center"/>
            <w:hideMark/>
          </w:tcPr>
          <w:p w14:paraId="529F0D9A" w14:textId="77777777" w:rsidR="004326E4" w:rsidRPr="009721A8" w:rsidRDefault="004326E4" w:rsidP="004326E4">
            <w:pPr>
              <w:spacing w:after="120" w:line="276" w:lineRule="auto"/>
              <w:jc w:val="center"/>
              <w:rPr>
                <w:sz w:val="22"/>
                <w:szCs w:val="22"/>
              </w:rPr>
            </w:pPr>
            <w:r w:rsidRPr="009721A8">
              <w:rPr>
                <w:sz w:val="22"/>
                <w:szCs w:val="22"/>
              </w:rPr>
              <w:t>-6.91</w:t>
            </w:r>
          </w:p>
        </w:tc>
        <w:tc>
          <w:tcPr>
            <w:tcW w:w="1240" w:type="dxa"/>
            <w:noWrap/>
            <w:vAlign w:val="center"/>
            <w:hideMark/>
          </w:tcPr>
          <w:p w14:paraId="3AD9B8EB" w14:textId="77777777" w:rsidR="004326E4" w:rsidRPr="009721A8" w:rsidRDefault="004326E4" w:rsidP="004326E4">
            <w:pPr>
              <w:spacing w:after="120" w:line="276" w:lineRule="auto"/>
              <w:jc w:val="center"/>
              <w:rPr>
                <w:sz w:val="22"/>
                <w:szCs w:val="22"/>
              </w:rPr>
            </w:pPr>
            <w:r w:rsidRPr="009721A8">
              <w:rPr>
                <w:sz w:val="22"/>
                <w:szCs w:val="22"/>
              </w:rPr>
              <w:t>-4.75</w:t>
            </w:r>
          </w:p>
        </w:tc>
        <w:tc>
          <w:tcPr>
            <w:tcW w:w="1240" w:type="dxa"/>
            <w:noWrap/>
            <w:vAlign w:val="center"/>
            <w:hideMark/>
          </w:tcPr>
          <w:p w14:paraId="4D97DF65" w14:textId="77777777" w:rsidR="004326E4" w:rsidRPr="009721A8" w:rsidRDefault="004326E4" w:rsidP="004326E4">
            <w:pPr>
              <w:spacing w:after="120" w:line="276" w:lineRule="auto"/>
              <w:jc w:val="center"/>
              <w:rPr>
                <w:sz w:val="22"/>
                <w:szCs w:val="22"/>
              </w:rPr>
            </w:pPr>
            <w:r w:rsidRPr="009721A8">
              <w:rPr>
                <w:sz w:val="22"/>
                <w:szCs w:val="22"/>
              </w:rPr>
              <w:t>-8.3</w:t>
            </w:r>
          </w:p>
        </w:tc>
      </w:tr>
      <w:tr w:rsidR="004326E4" w:rsidRPr="009721A8" w14:paraId="70587C0E" w14:textId="77777777" w:rsidTr="009721A8">
        <w:trPr>
          <w:trHeight w:val="288"/>
          <w:jc w:val="center"/>
        </w:trPr>
        <w:tc>
          <w:tcPr>
            <w:tcW w:w="2048" w:type="dxa"/>
            <w:noWrap/>
            <w:vAlign w:val="center"/>
            <w:hideMark/>
          </w:tcPr>
          <w:p w14:paraId="08895699" w14:textId="77777777" w:rsidR="004326E4" w:rsidRPr="009721A8" w:rsidRDefault="004326E4" w:rsidP="004326E4">
            <w:pPr>
              <w:spacing w:after="120" w:line="276" w:lineRule="auto"/>
              <w:jc w:val="center"/>
              <w:rPr>
                <w:sz w:val="22"/>
                <w:szCs w:val="22"/>
              </w:rPr>
            </w:pPr>
            <w:r w:rsidRPr="009721A8">
              <w:rPr>
                <w:sz w:val="22"/>
                <w:szCs w:val="22"/>
              </w:rPr>
              <w:t>D2Dr</w:t>
            </w:r>
          </w:p>
        </w:tc>
        <w:tc>
          <w:tcPr>
            <w:tcW w:w="1296" w:type="dxa"/>
            <w:noWrap/>
            <w:vAlign w:val="center"/>
            <w:hideMark/>
          </w:tcPr>
          <w:p w14:paraId="17CBEF18" w14:textId="77777777" w:rsidR="004326E4" w:rsidRPr="009721A8" w:rsidRDefault="004326E4" w:rsidP="004326E4">
            <w:pPr>
              <w:spacing w:after="120" w:line="276" w:lineRule="auto"/>
              <w:jc w:val="center"/>
              <w:rPr>
                <w:sz w:val="22"/>
                <w:szCs w:val="22"/>
              </w:rPr>
            </w:pPr>
            <w:r w:rsidRPr="009721A8">
              <w:rPr>
                <w:sz w:val="22"/>
                <w:szCs w:val="22"/>
              </w:rPr>
              <w:t>-6.74</w:t>
            </w:r>
          </w:p>
        </w:tc>
        <w:tc>
          <w:tcPr>
            <w:tcW w:w="1240" w:type="dxa"/>
            <w:noWrap/>
            <w:vAlign w:val="center"/>
            <w:hideMark/>
          </w:tcPr>
          <w:p w14:paraId="05A03873" w14:textId="77777777" w:rsidR="004326E4" w:rsidRPr="009721A8" w:rsidRDefault="004326E4" w:rsidP="004326E4">
            <w:pPr>
              <w:spacing w:after="120" w:line="276" w:lineRule="auto"/>
              <w:jc w:val="center"/>
              <w:rPr>
                <w:sz w:val="22"/>
                <w:szCs w:val="22"/>
              </w:rPr>
            </w:pPr>
            <w:r w:rsidRPr="009721A8">
              <w:rPr>
                <w:sz w:val="22"/>
                <w:szCs w:val="22"/>
              </w:rPr>
              <w:t>-6.24</w:t>
            </w:r>
          </w:p>
        </w:tc>
        <w:tc>
          <w:tcPr>
            <w:tcW w:w="1240" w:type="dxa"/>
            <w:noWrap/>
            <w:vAlign w:val="center"/>
            <w:hideMark/>
          </w:tcPr>
          <w:p w14:paraId="6EA24740" w14:textId="77777777" w:rsidR="004326E4" w:rsidRPr="009721A8" w:rsidRDefault="004326E4" w:rsidP="004326E4">
            <w:pPr>
              <w:spacing w:after="120" w:line="276" w:lineRule="auto"/>
              <w:jc w:val="center"/>
              <w:rPr>
                <w:sz w:val="22"/>
                <w:szCs w:val="22"/>
              </w:rPr>
            </w:pPr>
            <w:r w:rsidRPr="009721A8">
              <w:rPr>
                <w:sz w:val="22"/>
                <w:szCs w:val="22"/>
              </w:rPr>
              <w:t>-6.243</w:t>
            </w:r>
          </w:p>
        </w:tc>
        <w:tc>
          <w:tcPr>
            <w:tcW w:w="1240" w:type="dxa"/>
            <w:noWrap/>
            <w:vAlign w:val="center"/>
            <w:hideMark/>
          </w:tcPr>
          <w:p w14:paraId="62945A49" w14:textId="77777777" w:rsidR="004326E4" w:rsidRPr="009721A8" w:rsidRDefault="004326E4" w:rsidP="004326E4">
            <w:pPr>
              <w:spacing w:after="120" w:line="276" w:lineRule="auto"/>
              <w:jc w:val="center"/>
              <w:rPr>
                <w:sz w:val="22"/>
                <w:szCs w:val="22"/>
              </w:rPr>
            </w:pPr>
            <w:r w:rsidRPr="009721A8">
              <w:rPr>
                <w:sz w:val="22"/>
                <w:szCs w:val="22"/>
              </w:rPr>
              <w:t>-10.11</w:t>
            </w:r>
          </w:p>
        </w:tc>
      </w:tr>
      <w:tr w:rsidR="004326E4" w:rsidRPr="009721A8" w14:paraId="163F7B39" w14:textId="77777777" w:rsidTr="009721A8">
        <w:trPr>
          <w:trHeight w:val="288"/>
          <w:jc w:val="center"/>
        </w:trPr>
        <w:tc>
          <w:tcPr>
            <w:tcW w:w="2048" w:type="dxa"/>
            <w:noWrap/>
            <w:vAlign w:val="center"/>
            <w:hideMark/>
          </w:tcPr>
          <w:p w14:paraId="0D9C279D" w14:textId="77777777" w:rsidR="004326E4" w:rsidRPr="009721A8" w:rsidRDefault="004326E4" w:rsidP="004326E4">
            <w:pPr>
              <w:spacing w:after="120" w:line="276" w:lineRule="auto"/>
              <w:jc w:val="center"/>
              <w:rPr>
                <w:sz w:val="22"/>
                <w:szCs w:val="22"/>
              </w:rPr>
            </w:pPr>
            <w:r w:rsidRPr="009721A8">
              <w:rPr>
                <w:sz w:val="22"/>
                <w:szCs w:val="22"/>
              </w:rPr>
              <w:t>5HT2A</w:t>
            </w:r>
          </w:p>
        </w:tc>
        <w:tc>
          <w:tcPr>
            <w:tcW w:w="1296" w:type="dxa"/>
            <w:noWrap/>
            <w:vAlign w:val="center"/>
            <w:hideMark/>
          </w:tcPr>
          <w:p w14:paraId="3AA875B2" w14:textId="77777777" w:rsidR="004326E4" w:rsidRPr="009721A8" w:rsidRDefault="004326E4" w:rsidP="004326E4">
            <w:pPr>
              <w:spacing w:after="120" w:line="276" w:lineRule="auto"/>
              <w:jc w:val="center"/>
              <w:rPr>
                <w:sz w:val="22"/>
                <w:szCs w:val="22"/>
              </w:rPr>
            </w:pPr>
            <w:r w:rsidRPr="009721A8">
              <w:rPr>
                <w:sz w:val="22"/>
                <w:szCs w:val="22"/>
              </w:rPr>
              <w:t>-7.24</w:t>
            </w:r>
          </w:p>
        </w:tc>
        <w:tc>
          <w:tcPr>
            <w:tcW w:w="1240" w:type="dxa"/>
            <w:noWrap/>
            <w:vAlign w:val="center"/>
            <w:hideMark/>
          </w:tcPr>
          <w:p w14:paraId="6BB80853" w14:textId="77777777" w:rsidR="004326E4" w:rsidRPr="009721A8" w:rsidRDefault="004326E4" w:rsidP="004326E4">
            <w:pPr>
              <w:spacing w:after="120" w:line="276" w:lineRule="auto"/>
              <w:jc w:val="center"/>
              <w:rPr>
                <w:sz w:val="22"/>
                <w:szCs w:val="22"/>
              </w:rPr>
            </w:pPr>
            <w:r w:rsidRPr="009721A8">
              <w:rPr>
                <w:sz w:val="22"/>
                <w:szCs w:val="22"/>
              </w:rPr>
              <w:t>-6.76</w:t>
            </w:r>
          </w:p>
        </w:tc>
        <w:tc>
          <w:tcPr>
            <w:tcW w:w="1240" w:type="dxa"/>
            <w:noWrap/>
            <w:vAlign w:val="center"/>
            <w:hideMark/>
          </w:tcPr>
          <w:p w14:paraId="0E24501E" w14:textId="77777777" w:rsidR="004326E4" w:rsidRPr="009721A8" w:rsidRDefault="004326E4" w:rsidP="004326E4">
            <w:pPr>
              <w:spacing w:after="120" w:line="276" w:lineRule="auto"/>
              <w:jc w:val="center"/>
              <w:rPr>
                <w:sz w:val="22"/>
                <w:szCs w:val="22"/>
              </w:rPr>
            </w:pPr>
            <w:r w:rsidRPr="009721A8">
              <w:rPr>
                <w:sz w:val="22"/>
                <w:szCs w:val="22"/>
              </w:rPr>
              <w:t>-6.84</w:t>
            </w:r>
          </w:p>
        </w:tc>
        <w:tc>
          <w:tcPr>
            <w:tcW w:w="1240" w:type="dxa"/>
            <w:noWrap/>
            <w:vAlign w:val="center"/>
            <w:hideMark/>
          </w:tcPr>
          <w:p w14:paraId="22223B09" w14:textId="77777777" w:rsidR="004326E4" w:rsidRPr="009721A8" w:rsidRDefault="004326E4" w:rsidP="004326E4">
            <w:pPr>
              <w:spacing w:after="120" w:line="276" w:lineRule="auto"/>
              <w:jc w:val="center"/>
              <w:rPr>
                <w:sz w:val="22"/>
                <w:szCs w:val="22"/>
              </w:rPr>
            </w:pPr>
            <w:r w:rsidRPr="009721A8">
              <w:rPr>
                <w:sz w:val="22"/>
                <w:szCs w:val="22"/>
              </w:rPr>
              <w:t>-11.68</w:t>
            </w:r>
          </w:p>
        </w:tc>
      </w:tr>
      <w:tr w:rsidR="004326E4" w:rsidRPr="009721A8" w14:paraId="0D3B0CD2" w14:textId="77777777" w:rsidTr="009721A8">
        <w:trPr>
          <w:trHeight w:val="288"/>
          <w:jc w:val="center"/>
        </w:trPr>
        <w:tc>
          <w:tcPr>
            <w:tcW w:w="2048" w:type="dxa"/>
            <w:noWrap/>
            <w:vAlign w:val="center"/>
            <w:hideMark/>
          </w:tcPr>
          <w:p w14:paraId="1C6700F7" w14:textId="77777777" w:rsidR="004326E4" w:rsidRPr="009721A8" w:rsidRDefault="004326E4" w:rsidP="004326E4">
            <w:pPr>
              <w:spacing w:after="120" w:line="276" w:lineRule="auto"/>
              <w:jc w:val="center"/>
              <w:rPr>
                <w:sz w:val="22"/>
                <w:szCs w:val="22"/>
              </w:rPr>
            </w:pPr>
            <w:r w:rsidRPr="009721A8">
              <w:rPr>
                <w:sz w:val="22"/>
                <w:szCs w:val="22"/>
              </w:rPr>
              <w:t>A2AR</w:t>
            </w:r>
          </w:p>
        </w:tc>
        <w:tc>
          <w:tcPr>
            <w:tcW w:w="1296" w:type="dxa"/>
            <w:noWrap/>
            <w:vAlign w:val="center"/>
            <w:hideMark/>
          </w:tcPr>
          <w:p w14:paraId="369CD39B" w14:textId="77777777" w:rsidR="004326E4" w:rsidRPr="009721A8" w:rsidRDefault="004326E4" w:rsidP="004326E4">
            <w:pPr>
              <w:spacing w:after="120" w:line="276" w:lineRule="auto"/>
              <w:jc w:val="center"/>
              <w:rPr>
                <w:sz w:val="22"/>
                <w:szCs w:val="22"/>
              </w:rPr>
            </w:pPr>
            <w:r w:rsidRPr="009721A8">
              <w:rPr>
                <w:sz w:val="22"/>
                <w:szCs w:val="22"/>
              </w:rPr>
              <w:t>-6.73</w:t>
            </w:r>
          </w:p>
        </w:tc>
        <w:tc>
          <w:tcPr>
            <w:tcW w:w="1240" w:type="dxa"/>
            <w:noWrap/>
            <w:vAlign w:val="center"/>
            <w:hideMark/>
          </w:tcPr>
          <w:p w14:paraId="396EACE9" w14:textId="77777777" w:rsidR="004326E4" w:rsidRPr="009721A8" w:rsidRDefault="004326E4" w:rsidP="004326E4">
            <w:pPr>
              <w:spacing w:after="120" w:line="276" w:lineRule="auto"/>
              <w:jc w:val="center"/>
              <w:rPr>
                <w:sz w:val="22"/>
                <w:szCs w:val="22"/>
              </w:rPr>
            </w:pPr>
            <w:r w:rsidRPr="009721A8">
              <w:rPr>
                <w:sz w:val="22"/>
                <w:szCs w:val="22"/>
              </w:rPr>
              <w:t>-6.84</w:t>
            </w:r>
          </w:p>
        </w:tc>
        <w:tc>
          <w:tcPr>
            <w:tcW w:w="1240" w:type="dxa"/>
            <w:noWrap/>
            <w:vAlign w:val="center"/>
            <w:hideMark/>
          </w:tcPr>
          <w:p w14:paraId="65EC4B0C" w14:textId="77777777" w:rsidR="004326E4" w:rsidRPr="009721A8" w:rsidRDefault="004326E4" w:rsidP="004326E4">
            <w:pPr>
              <w:spacing w:after="120" w:line="276" w:lineRule="auto"/>
              <w:jc w:val="center"/>
              <w:rPr>
                <w:sz w:val="22"/>
                <w:szCs w:val="22"/>
              </w:rPr>
            </w:pPr>
            <w:r w:rsidRPr="009721A8">
              <w:rPr>
                <w:sz w:val="22"/>
                <w:szCs w:val="22"/>
              </w:rPr>
              <w:t>-7.03</w:t>
            </w:r>
          </w:p>
        </w:tc>
        <w:tc>
          <w:tcPr>
            <w:tcW w:w="1240" w:type="dxa"/>
            <w:noWrap/>
            <w:vAlign w:val="center"/>
            <w:hideMark/>
          </w:tcPr>
          <w:p w14:paraId="3507F47C" w14:textId="77777777" w:rsidR="004326E4" w:rsidRPr="009721A8" w:rsidRDefault="004326E4" w:rsidP="004326E4">
            <w:pPr>
              <w:spacing w:after="120" w:line="276" w:lineRule="auto"/>
              <w:jc w:val="center"/>
              <w:rPr>
                <w:sz w:val="22"/>
                <w:szCs w:val="22"/>
              </w:rPr>
            </w:pPr>
            <w:r w:rsidRPr="009721A8">
              <w:rPr>
                <w:sz w:val="22"/>
                <w:szCs w:val="22"/>
              </w:rPr>
              <w:t>-10.23</w:t>
            </w:r>
          </w:p>
        </w:tc>
      </w:tr>
      <w:tr w:rsidR="004326E4" w:rsidRPr="009721A8" w14:paraId="2694EDCC" w14:textId="77777777" w:rsidTr="009721A8">
        <w:trPr>
          <w:trHeight w:val="288"/>
          <w:jc w:val="center"/>
        </w:trPr>
        <w:tc>
          <w:tcPr>
            <w:tcW w:w="2048" w:type="dxa"/>
            <w:noWrap/>
            <w:vAlign w:val="center"/>
            <w:hideMark/>
          </w:tcPr>
          <w:p w14:paraId="2D678A9D" w14:textId="77777777" w:rsidR="004326E4" w:rsidRPr="009721A8" w:rsidRDefault="004326E4" w:rsidP="004326E4">
            <w:pPr>
              <w:spacing w:after="120" w:line="276" w:lineRule="auto"/>
              <w:jc w:val="center"/>
              <w:rPr>
                <w:sz w:val="22"/>
                <w:szCs w:val="22"/>
              </w:rPr>
            </w:pPr>
            <w:r w:rsidRPr="009721A8">
              <w:rPr>
                <w:sz w:val="22"/>
                <w:szCs w:val="22"/>
              </w:rPr>
              <w:t>NKCC1</w:t>
            </w:r>
          </w:p>
        </w:tc>
        <w:tc>
          <w:tcPr>
            <w:tcW w:w="1296" w:type="dxa"/>
            <w:noWrap/>
            <w:vAlign w:val="center"/>
            <w:hideMark/>
          </w:tcPr>
          <w:p w14:paraId="783D76F5" w14:textId="77777777" w:rsidR="004326E4" w:rsidRPr="009721A8" w:rsidRDefault="004326E4" w:rsidP="004326E4">
            <w:pPr>
              <w:spacing w:after="120" w:line="276" w:lineRule="auto"/>
              <w:jc w:val="center"/>
              <w:rPr>
                <w:sz w:val="22"/>
                <w:szCs w:val="22"/>
              </w:rPr>
            </w:pPr>
            <w:r w:rsidRPr="009721A8">
              <w:rPr>
                <w:sz w:val="22"/>
                <w:szCs w:val="22"/>
              </w:rPr>
              <w:t>-7.23</w:t>
            </w:r>
          </w:p>
        </w:tc>
        <w:tc>
          <w:tcPr>
            <w:tcW w:w="1240" w:type="dxa"/>
            <w:noWrap/>
            <w:vAlign w:val="center"/>
            <w:hideMark/>
          </w:tcPr>
          <w:p w14:paraId="6909919C" w14:textId="77777777" w:rsidR="004326E4" w:rsidRPr="009721A8" w:rsidRDefault="004326E4" w:rsidP="004326E4">
            <w:pPr>
              <w:spacing w:after="120" w:line="276" w:lineRule="auto"/>
              <w:jc w:val="center"/>
              <w:rPr>
                <w:sz w:val="22"/>
                <w:szCs w:val="22"/>
              </w:rPr>
            </w:pPr>
            <w:r w:rsidRPr="009721A8">
              <w:rPr>
                <w:sz w:val="22"/>
                <w:szCs w:val="22"/>
              </w:rPr>
              <w:t>-6.96</w:t>
            </w:r>
          </w:p>
        </w:tc>
        <w:tc>
          <w:tcPr>
            <w:tcW w:w="1240" w:type="dxa"/>
            <w:noWrap/>
            <w:vAlign w:val="center"/>
            <w:hideMark/>
          </w:tcPr>
          <w:p w14:paraId="2F23EA36" w14:textId="77777777" w:rsidR="004326E4" w:rsidRPr="009721A8" w:rsidRDefault="004326E4" w:rsidP="004326E4">
            <w:pPr>
              <w:spacing w:after="120" w:line="276" w:lineRule="auto"/>
              <w:jc w:val="center"/>
              <w:rPr>
                <w:sz w:val="22"/>
                <w:szCs w:val="22"/>
              </w:rPr>
            </w:pPr>
            <w:r w:rsidRPr="009721A8">
              <w:rPr>
                <w:sz w:val="22"/>
                <w:szCs w:val="22"/>
              </w:rPr>
              <w:t>---</w:t>
            </w:r>
          </w:p>
        </w:tc>
        <w:tc>
          <w:tcPr>
            <w:tcW w:w="1240" w:type="dxa"/>
            <w:noWrap/>
            <w:vAlign w:val="center"/>
            <w:hideMark/>
          </w:tcPr>
          <w:p w14:paraId="0FDCD99C" w14:textId="77777777" w:rsidR="004326E4" w:rsidRPr="009721A8" w:rsidRDefault="004326E4" w:rsidP="004326E4">
            <w:pPr>
              <w:spacing w:after="120" w:line="276" w:lineRule="auto"/>
              <w:jc w:val="center"/>
              <w:rPr>
                <w:sz w:val="22"/>
                <w:szCs w:val="22"/>
              </w:rPr>
            </w:pPr>
            <w:r w:rsidRPr="009721A8">
              <w:rPr>
                <w:sz w:val="22"/>
                <w:szCs w:val="22"/>
              </w:rPr>
              <w:t>-8.4</w:t>
            </w:r>
          </w:p>
        </w:tc>
      </w:tr>
      <w:tr w:rsidR="004326E4" w:rsidRPr="009721A8" w14:paraId="021E0A78" w14:textId="77777777" w:rsidTr="009721A8">
        <w:trPr>
          <w:trHeight w:val="288"/>
          <w:jc w:val="center"/>
        </w:trPr>
        <w:tc>
          <w:tcPr>
            <w:tcW w:w="2048" w:type="dxa"/>
            <w:noWrap/>
            <w:vAlign w:val="center"/>
            <w:hideMark/>
          </w:tcPr>
          <w:p w14:paraId="3A736076" w14:textId="77777777" w:rsidR="004326E4" w:rsidRPr="009721A8" w:rsidRDefault="004326E4" w:rsidP="004326E4">
            <w:pPr>
              <w:spacing w:after="120" w:line="276" w:lineRule="auto"/>
              <w:jc w:val="center"/>
              <w:rPr>
                <w:sz w:val="22"/>
                <w:szCs w:val="22"/>
              </w:rPr>
            </w:pPr>
            <w:r w:rsidRPr="009721A8">
              <w:rPr>
                <w:sz w:val="22"/>
                <w:szCs w:val="22"/>
              </w:rPr>
              <w:t>hSERT(CS)</w:t>
            </w:r>
          </w:p>
        </w:tc>
        <w:tc>
          <w:tcPr>
            <w:tcW w:w="1296" w:type="dxa"/>
            <w:noWrap/>
            <w:vAlign w:val="center"/>
            <w:hideMark/>
          </w:tcPr>
          <w:p w14:paraId="77484EEE" w14:textId="77777777" w:rsidR="004326E4" w:rsidRPr="009721A8" w:rsidRDefault="004326E4" w:rsidP="004326E4">
            <w:pPr>
              <w:spacing w:after="120" w:line="276" w:lineRule="auto"/>
              <w:jc w:val="center"/>
              <w:rPr>
                <w:sz w:val="22"/>
                <w:szCs w:val="22"/>
              </w:rPr>
            </w:pPr>
            <w:r w:rsidRPr="009721A8">
              <w:rPr>
                <w:sz w:val="22"/>
                <w:szCs w:val="22"/>
              </w:rPr>
              <w:t>-7.13</w:t>
            </w:r>
          </w:p>
        </w:tc>
        <w:tc>
          <w:tcPr>
            <w:tcW w:w="1240" w:type="dxa"/>
            <w:noWrap/>
            <w:vAlign w:val="center"/>
            <w:hideMark/>
          </w:tcPr>
          <w:p w14:paraId="2C08E5EA" w14:textId="77777777" w:rsidR="004326E4" w:rsidRPr="009721A8" w:rsidRDefault="004326E4" w:rsidP="004326E4">
            <w:pPr>
              <w:spacing w:after="120" w:line="276" w:lineRule="auto"/>
              <w:jc w:val="center"/>
              <w:rPr>
                <w:sz w:val="22"/>
                <w:szCs w:val="22"/>
              </w:rPr>
            </w:pPr>
            <w:r w:rsidRPr="009721A8">
              <w:rPr>
                <w:sz w:val="22"/>
                <w:szCs w:val="22"/>
              </w:rPr>
              <w:t>-6.82</w:t>
            </w:r>
          </w:p>
        </w:tc>
        <w:tc>
          <w:tcPr>
            <w:tcW w:w="1240" w:type="dxa"/>
            <w:noWrap/>
            <w:vAlign w:val="center"/>
            <w:hideMark/>
          </w:tcPr>
          <w:p w14:paraId="6C6919BF" w14:textId="77777777" w:rsidR="004326E4" w:rsidRPr="009721A8" w:rsidRDefault="004326E4" w:rsidP="004326E4">
            <w:pPr>
              <w:spacing w:after="120" w:line="276" w:lineRule="auto"/>
              <w:jc w:val="center"/>
              <w:rPr>
                <w:sz w:val="22"/>
                <w:szCs w:val="22"/>
              </w:rPr>
            </w:pPr>
            <w:r w:rsidRPr="009721A8">
              <w:rPr>
                <w:sz w:val="22"/>
                <w:szCs w:val="22"/>
              </w:rPr>
              <w:t>-6.79</w:t>
            </w:r>
          </w:p>
        </w:tc>
        <w:tc>
          <w:tcPr>
            <w:tcW w:w="1240" w:type="dxa"/>
            <w:noWrap/>
            <w:vAlign w:val="center"/>
            <w:hideMark/>
          </w:tcPr>
          <w:p w14:paraId="170DA921" w14:textId="77777777" w:rsidR="004326E4" w:rsidRPr="009721A8" w:rsidRDefault="004326E4" w:rsidP="004326E4">
            <w:pPr>
              <w:spacing w:after="120" w:line="276" w:lineRule="auto"/>
              <w:jc w:val="center"/>
              <w:rPr>
                <w:sz w:val="22"/>
                <w:szCs w:val="22"/>
              </w:rPr>
            </w:pPr>
            <w:r w:rsidRPr="009721A8">
              <w:rPr>
                <w:sz w:val="22"/>
                <w:szCs w:val="22"/>
              </w:rPr>
              <w:t>-8.89</w:t>
            </w:r>
          </w:p>
        </w:tc>
      </w:tr>
      <w:tr w:rsidR="004326E4" w:rsidRPr="009721A8" w14:paraId="0199EC1F" w14:textId="77777777" w:rsidTr="009721A8">
        <w:trPr>
          <w:trHeight w:val="288"/>
          <w:jc w:val="center"/>
        </w:trPr>
        <w:tc>
          <w:tcPr>
            <w:tcW w:w="2048" w:type="dxa"/>
            <w:noWrap/>
            <w:vAlign w:val="center"/>
            <w:hideMark/>
          </w:tcPr>
          <w:p w14:paraId="558448E7" w14:textId="77777777" w:rsidR="004326E4" w:rsidRPr="009721A8" w:rsidRDefault="004326E4" w:rsidP="004326E4">
            <w:pPr>
              <w:spacing w:after="120" w:line="276" w:lineRule="auto"/>
              <w:jc w:val="center"/>
              <w:rPr>
                <w:sz w:val="22"/>
                <w:szCs w:val="22"/>
              </w:rPr>
            </w:pPr>
            <w:r w:rsidRPr="009721A8">
              <w:rPr>
                <w:sz w:val="22"/>
                <w:szCs w:val="22"/>
              </w:rPr>
              <w:t>hSERT(AlS)</w:t>
            </w:r>
          </w:p>
        </w:tc>
        <w:tc>
          <w:tcPr>
            <w:tcW w:w="1296" w:type="dxa"/>
            <w:noWrap/>
            <w:vAlign w:val="center"/>
            <w:hideMark/>
          </w:tcPr>
          <w:p w14:paraId="4EED9F4F" w14:textId="77777777" w:rsidR="004326E4" w:rsidRPr="009721A8" w:rsidRDefault="004326E4" w:rsidP="004326E4">
            <w:pPr>
              <w:spacing w:after="120" w:line="276" w:lineRule="auto"/>
              <w:jc w:val="center"/>
              <w:rPr>
                <w:sz w:val="22"/>
                <w:szCs w:val="22"/>
              </w:rPr>
            </w:pPr>
            <w:r w:rsidRPr="009721A8">
              <w:rPr>
                <w:sz w:val="22"/>
                <w:szCs w:val="22"/>
              </w:rPr>
              <w:t>-6.38</w:t>
            </w:r>
          </w:p>
        </w:tc>
        <w:tc>
          <w:tcPr>
            <w:tcW w:w="1240" w:type="dxa"/>
            <w:noWrap/>
            <w:vAlign w:val="center"/>
            <w:hideMark/>
          </w:tcPr>
          <w:p w14:paraId="0D057EEE" w14:textId="77777777" w:rsidR="004326E4" w:rsidRPr="009721A8" w:rsidRDefault="004326E4" w:rsidP="004326E4">
            <w:pPr>
              <w:spacing w:after="120" w:line="276" w:lineRule="auto"/>
              <w:jc w:val="center"/>
              <w:rPr>
                <w:sz w:val="22"/>
                <w:szCs w:val="22"/>
              </w:rPr>
            </w:pPr>
            <w:r w:rsidRPr="009721A8">
              <w:rPr>
                <w:sz w:val="22"/>
                <w:szCs w:val="22"/>
              </w:rPr>
              <w:t>-6.11</w:t>
            </w:r>
          </w:p>
        </w:tc>
        <w:tc>
          <w:tcPr>
            <w:tcW w:w="1240" w:type="dxa"/>
            <w:noWrap/>
            <w:vAlign w:val="center"/>
            <w:hideMark/>
          </w:tcPr>
          <w:p w14:paraId="26E33326" w14:textId="77777777" w:rsidR="004326E4" w:rsidRPr="009721A8" w:rsidRDefault="004326E4" w:rsidP="004326E4">
            <w:pPr>
              <w:spacing w:after="120" w:line="276" w:lineRule="auto"/>
              <w:jc w:val="center"/>
              <w:rPr>
                <w:sz w:val="22"/>
                <w:szCs w:val="22"/>
              </w:rPr>
            </w:pPr>
            <w:r w:rsidRPr="009721A8">
              <w:rPr>
                <w:sz w:val="22"/>
                <w:szCs w:val="22"/>
              </w:rPr>
              <w:t>---</w:t>
            </w:r>
          </w:p>
        </w:tc>
        <w:tc>
          <w:tcPr>
            <w:tcW w:w="1240" w:type="dxa"/>
            <w:noWrap/>
            <w:vAlign w:val="center"/>
            <w:hideMark/>
          </w:tcPr>
          <w:p w14:paraId="752E059A" w14:textId="77777777" w:rsidR="004326E4" w:rsidRPr="009721A8" w:rsidRDefault="004326E4" w:rsidP="004326E4">
            <w:pPr>
              <w:spacing w:after="120" w:line="276" w:lineRule="auto"/>
              <w:jc w:val="center"/>
              <w:rPr>
                <w:sz w:val="22"/>
                <w:szCs w:val="22"/>
              </w:rPr>
            </w:pPr>
            <w:r w:rsidRPr="009721A8">
              <w:rPr>
                <w:sz w:val="22"/>
                <w:szCs w:val="22"/>
              </w:rPr>
              <w:t>-7.72</w:t>
            </w:r>
          </w:p>
        </w:tc>
      </w:tr>
      <w:tr w:rsidR="004326E4" w:rsidRPr="009721A8" w14:paraId="48FFAD27" w14:textId="77777777" w:rsidTr="009721A8">
        <w:trPr>
          <w:trHeight w:val="288"/>
          <w:jc w:val="center"/>
        </w:trPr>
        <w:tc>
          <w:tcPr>
            <w:tcW w:w="2048" w:type="dxa"/>
            <w:noWrap/>
            <w:vAlign w:val="center"/>
            <w:hideMark/>
          </w:tcPr>
          <w:p w14:paraId="09040874" w14:textId="77777777" w:rsidR="004326E4" w:rsidRPr="009721A8" w:rsidRDefault="004326E4" w:rsidP="004326E4">
            <w:pPr>
              <w:spacing w:after="120" w:line="276" w:lineRule="auto"/>
              <w:jc w:val="center"/>
              <w:rPr>
                <w:sz w:val="22"/>
                <w:szCs w:val="22"/>
              </w:rPr>
            </w:pPr>
            <w:r w:rsidRPr="009721A8">
              <w:rPr>
                <w:sz w:val="22"/>
                <w:szCs w:val="22"/>
              </w:rPr>
              <w:lastRenderedPageBreak/>
              <w:t>AChE</w:t>
            </w:r>
          </w:p>
        </w:tc>
        <w:tc>
          <w:tcPr>
            <w:tcW w:w="1296" w:type="dxa"/>
            <w:noWrap/>
            <w:vAlign w:val="center"/>
            <w:hideMark/>
          </w:tcPr>
          <w:p w14:paraId="7AC4FD8A" w14:textId="77777777" w:rsidR="004326E4" w:rsidRPr="009721A8" w:rsidRDefault="004326E4" w:rsidP="004326E4">
            <w:pPr>
              <w:spacing w:after="120" w:line="276" w:lineRule="auto"/>
              <w:jc w:val="center"/>
              <w:rPr>
                <w:sz w:val="22"/>
                <w:szCs w:val="22"/>
              </w:rPr>
            </w:pPr>
            <w:r w:rsidRPr="009721A8">
              <w:rPr>
                <w:sz w:val="22"/>
                <w:szCs w:val="22"/>
              </w:rPr>
              <w:t>-8.25</w:t>
            </w:r>
          </w:p>
        </w:tc>
        <w:tc>
          <w:tcPr>
            <w:tcW w:w="1240" w:type="dxa"/>
            <w:noWrap/>
            <w:vAlign w:val="center"/>
            <w:hideMark/>
          </w:tcPr>
          <w:p w14:paraId="723F93B3" w14:textId="77777777" w:rsidR="004326E4" w:rsidRPr="009721A8" w:rsidRDefault="004326E4" w:rsidP="004326E4">
            <w:pPr>
              <w:spacing w:after="120" w:line="276" w:lineRule="auto"/>
              <w:jc w:val="center"/>
              <w:rPr>
                <w:sz w:val="22"/>
                <w:szCs w:val="22"/>
              </w:rPr>
            </w:pPr>
            <w:r w:rsidRPr="009721A8">
              <w:rPr>
                <w:sz w:val="22"/>
                <w:szCs w:val="22"/>
              </w:rPr>
              <w:t>-8.09</w:t>
            </w:r>
          </w:p>
        </w:tc>
        <w:tc>
          <w:tcPr>
            <w:tcW w:w="1240" w:type="dxa"/>
            <w:noWrap/>
            <w:vAlign w:val="center"/>
            <w:hideMark/>
          </w:tcPr>
          <w:p w14:paraId="0C12264D" w14:textId="6B849064" w:rsidR="004326E4" w:rsidRPr="009721A8" w:rsidRDefault="004326E4" w:rsidP="004326E4">
            <w:pPr>
              <w:spacing w:after="120" w:line="276" w:lineRule="auto"/>
              <w:jc w:val="center"/>
              <w:rPr>
                <w:sz w:val="22"/>
                <w:szCs w:val="22"/>
              </w:rPr>
            </w:pPr>
            <w:r w:rsidRPr="009721A8">
              <w:rPr>
                <w:sz w:val="22"/>
                <w:szCs w:val="22"/>
              </w:rPr>
              <w:t>-4.9</w:t>
            </w:r>
            <w:r w:rsidR="009721A8" w:rsidRPr="009721A8">
              <w:rPr>
                <w:sz w:val="22"/>
                <w:szCs w:val="22"/>
              </w:rPr>
              <w:t>0</w:t>
            </w:r>
          </w:p>
        </w:tc>
        <w:tc>
          <w:tcPr>
            <w:tcW w:w="1240" w:type="dxa"/>
            <w:noWrap/>
            <w:vAlign w:val="center"/>
            <w:hideMark/>
          </w:tcPr>
          <w:p w14:paraId="2F541D95" w14:textId="77777777" w:rsidR="004326E4" w:rsidRPr="009721A8" w:rsidRDefault="004326E4" w:rsidP="004326E4">
            <w:pPr>
              <w:spacing w:after="120" w:line="276" w:lineRule="auto"/>
              <w:jc w:val="center"/>
              <w:rPr>
                <w:sz w:val="22"/>
                <w:szCs w:val="22"/>
              </w:rPr>
            </w:pPr>
            <w:r w:rsidRPr="009721A8">
              <w:rPr>
                <w:sz w:val="22"/>
                <w:szCs w:val="22"/>
              </w:rPr>
              <w:t>-12.01</w:t>
            </w:r>
          </w:p>
        </w:tc>
      </w:tr>
      <w:tr w:rsidR="004326E4" w:rsidRPr="009721A8" w14:paraId="44AF123B" w14:textId="77777777" w:rsidTr="009721A8">
        <w:trPr>
          <w:trHeight w:val="288"/>
          <w:jc w:val="center"/>
        </w:trPr>
        <w:tc>
          <w:tcPr>
            <w:tcW w:w="2048" w:type="dxa"/>
            <w:noWrap/>
            <w:vAlign w:val="center"/>
            <w:hideMark/>
          </w:tcPr>
          <w:p w14:paraId="13A28AB6" w14:textId="77777777" w:rsidR="004326E4" w:rsidRPr="009721A8" w:rsidRDefault="004326E4" w:rsidP="004326E4">
            <w:pPr>
              <w:spacing w:after="120" w:line="276" w:lineRule="auto"/>
              <w:jc w:val="center"/>
              <w:rPr>
                <w:sz w:val="22"/>
                <w:szCs w:val="22"/>
              </w:rPr>
            </w:pPr>
            <w:r w:rsidRPr="009721A8">
              <w:rPr>
                <w:sz w:val="22"/>
                <w:szCs w:val="22"/>
              </w:rPr>
              <w:t>MAOB</w:t>
            </w:r>
          </w:p>
        </w:tc>
        <w:tc>
          <w:tcPr>
            <w:tcW w:w="1296" w:type="dxa"/>
            <w:noWrap/>
            <w:vAlign w:val="center"/>
            <w:hideMark/>
          </w:tcPr>
          <w:p w14:paraId="5DB01DEA" w14:textId="01C483A9" w:rsidR="004326E4" w:rsidRPr="009721A8" w:rsidRDefault="004326E4" w:rsidP="004326E4">
            <w:pPr>
              <w:spacing w:after="120" w:line="276" w:lineRule="auto"/>
              <w:jc w:val="center"/>
              <w:rPr>
                <w:sz w:val="22"/>
                <w:szCs w:val="22"/>
              </w:rPr>
            </w:pPr>
            <w:r w:rsidRPr="009721A8">
              <w:rPr>
                <w:sz w:val="22"/>
                <w:szCs w:val="22"/>
              </w:rPr>
              <w:t>-4.68</w:t>
            </w:r>
          </w:p>
        </w:tc>
        <w:tc>
          <w:tcPr>
            <w:tcW w:w="1240" w:type="dxa"/>
            <w:noWrap/>
            <w:vAlign w:val="center"/>
            <w:hideMark/>
          </w:tcPr>
          <w:p w14:paraId="487883E2" w14:textId="4CC795C4" w:rsidR="004326E4" w:rsidRPr="009721A8" w:rsidRDefault="004326E4" w:rsidP="004326E4">
            <w:pPr>
              <w:spacing w:after="120" w:line="276" w:lineRule="auto"/>
              <w:jc w:val="center"/>
              <w:rPr>
                <w:sz w:val="22"/>
                <w:szCs w:val="22"/>
              </w:rPr>
            </w:pPr>
            <w:r w:rsidRPr="009721A8">
              <w:rPr>
                <w:sz w:val="22"/>
                <w:szCs w:val="22"/>
              </w:rPr>
              <w:t>-6.4</w:t>
            </w:r>
            <w:r w:rsidR="009721A8" w:rsidRPr="009721A8">
              <w:rPr>
                <w:sz w:val="22"/>
                <w:szCs w:val="22"/>
              </w:rPr>
              <w:t>6</w:t>
            </w:r>
          </w:p>
        </w:tc>
        <w:tc>
          <w:tcPr>
            <w:tcW w:w="1240" w:type="dxa"/>
            <w:noWrap/>
            <w:vAlign w:val="center"/>
            <w:hideMark/>
          </w:tcPr>
          <w:p w14:paraId="526841D4" w14:textId="43BCAA20" w:rsidR="004326E4" w:rsidRPr="009721A8" w:rsidRDefault="004326E4" w:rsidP="004326E4">
            <w:pPr>
              <w:spacing w:after="120" w:line="276" w:lineRule="auto"/>
              <w:jc w:val="center"/>
              <w:rPr>
                <w:sz w:val="22"/>
                <w:szCs w:val="22"/>
              </w:rPr>
            </w:pPr>
            <w:r w:rsidRPr="009721A8">
              <w:rPr>
                <w:sz w:val="22"/>
                <w:szCs w:val="22"/>
              </w:rPr>
              <w:t>-6</w:t>
            </w:r>
            <w:r w:rsidR="009721A8" w:rsidRPr="009721A8">
              <w:rPr>
                <w:sz w:val="22"/>
                <w:szCs w:val="22"/>
              </w:rPr>
              <w:t>.00</w:t>
            </w:r>
          </w:p>
        </w:tc>
        <w:tc>
          <w:tcPr>
            <w:tcW w:w="1240" w:type="dxa"/>
            <w:noWrap/>
            <w:vAlign w:val="center"/>
            <w:hideMark/>
          </w:tcPr>
          <w:p w14:paraId="04B23BDC" w14:textId="0551394E" w:rsidR="004326E4" w:rsidRPr="009721A8" w:rsidRDefault="004326E4" w:rsidP="004326E4">
            <w:pPr>
              <w:spacing w:after="120" w:line="276" w:lineRule="auto"/>
              <w:jc w:val="center"/>
              <w:rPr>
                <w:sz w:val="22"/>
                <w:szCs w:val="22"/>
              </w:rPr>
            </w:pPr>
            <w:r w:rsidRPr="009721A8">
              <w:rPr>
                <w:sz w:val="22"/>
                <w:szCs w:val="22"/>
              </w:rPr>
              <w:t>-10</w:t>
            </w:r>
            <w:r w:rsidR="009721A8" w:rsidRPr="009721A8">
              <w:rPr>
                <w:sz w:val="22"/>
                <w:szCs w:val="22"/>
              </w:rPr>
              <w:t>.00</w:t>
            </w:r>
          </w:p>
        </w:tc>
      </w:tr>
      <w:tr w:rsidR="004326E4" w:rsidRPr="009721A8" w14:paraId="3D87AB5F" w14:textId="77777777" w:rsidTr="009721A8">
        <w:trPr>
          <w:trHeight w:val="288"/>
          <w:jc w:val="center"/>
        </w:trPr>
        <w:tc>
          <w:tcPr>
            <w:tcW w:w="2048" w:type="dxa"/>
            <w:noWrap/>
            <w:vAlign w:val="center"/>
            <w:hideMark/>
          </w:tcPr>
          <w:p w14:paraId="0B5B3AD4" w14:textId="77777777" w:rsidR="004326E4" w:rsidRPr="009721A8" w:rsidRDefault="004326E4" w:rsidP="004326E4">
            <w:pPr>
              <w:spacing w:after="120" w:line="276" w:lineRule="auto"/>
              <w:jc w:val="center"/>
              <w:rPr>
                <w:sz w:val="22"/>
                <w:szCs w:val="22"/>
              </w:rPr>
            </w:pPr>
            <w:r w:rsidRPr="009721A8">
              <w:rPr>
                <w:sz w:val="22"/>
                <w:szCs w:val="22"/>
              </w:rPr>
              <w:t>COMT</w:t>
            </w:r>
          </w:p>
        </w:tc>
        <w:tc>
          <w:tcPr>
            <w:tcW w:w="1296" w:type="dxa"/>
            <w:noWrap/>
            <w:vAlign w:val="center"/>
            <w:hideMark/>
          </w:tcPr>
          <w:p w14:paraId="45EC7EE1" w14:textId="181011FF" w:rsidR="004326E4" w:rsidRPr="009721A8" w:rsidRDefault="004326E4" w:rsidP="004326E4">
            <w:pPr>
              <w:spacing w:after="120" w:line="276" w:lineRule="auto"/>
              <w:jc w:val="center"/>
              <w:rPr>
                <w:sz w:val="22"/>
                <w:szCs w:val="22"/>
              </w:rPr>
            </w:pPr>
            <w:r w:rsidRPr="009721A8">
              <w:rPr>
                <w:sz w:val="22"/>
                <w:szCs w:val="22"/>
              </w:rPr>
              <w:t>-5.21</w:t>
            </w:r>
          </w:p>
        </w:tc>
        <w:tc>
          <w:tcPr>
            <w:tcW w:w="1240" w:type="dxa"/>
            <w:noWrap/>
            <w:vAlign w:val="center"/>
            <w:hideMark/>
          </w:tcPr>
          <w:p w14:paraId="1CCC497E" w14:textId="692FB535" w:rsidR="004326E4" w:rsidRPr="009721A8" w:rsidRDefault="004326E4" w:rsidP="004326E4">
            <w:pPr>
              <w:spacing w:after="120" w:line="276" w:lineRule="auto"/>
              <w:jc w:val="center"/>
              <w:rPr>
                <w:sz w:val="22"/>
                <w:szCs w:val="22"/>
              </w:rPr>
            </w:pPr>
            <w:r w:rsidRPr="009721A8">
              <w:rPr>
                <w:sz w:val="22"/>
                <w:szCs w:val="22"/>
              </w:rPr>
              <w:t>-5.3</w:t>
            </w:r>
            <w:r w:rsidR="009721A8" w:rsidRPr="009721A8">
              <w:rPr>
                <w:sz w:val="22"/>
                <w:szCs w:val="22"/>
              </w:rPr>
              <w:t>6</w:t>
            </w:r>
          </w:p>
        </w:tc>
        <w:tc>
          <w:tcPr>
            <w:tcW w:w="1240" w:type="dxa"/>
            <w:noWrap/>
            <w:vAlign w:val="center"/>
            <w:hideMark/>
          </w:tcPr>
          <w:p w14:paraId="642C32C0" w14:textId="6647B201" w:rsidR="004326E4" w:rsidRPr="009721A8" w:rsidRDefault="004326E4" w:rsidP="004326E4">
            <w:pPr>
              <w:spacing w:after="120" w:line="276" w:lineRule="auto"/>
              <w:jc w:val="center"/>
              <w:rPr>
                <w:sz w:val="22"/>
                <w:szCs w:val="22"/>
              </w:rPr>
            </w:pPr>
            <w:r w:rsidRPr="009721A8">
              <w:rPr>
                <w:sz w:val="22"/>
                <w:szCs w:val="22"/>
              </w:rPr>
              <w:t>-5.4</w:t>
            </w:r>
            <w:r w:rsidR="009721A8" w:rsidRPr="009721A8">
              <w:rPr>
                <w:sz w:val="22"/>
                <w:szCs w:val="22"/>
              </w:rPr>
              <w:t>0</w:t>
            </w:r>
          </w:p>
        </w:tc>
        <w:tc>
          <w:tcPr>
            <w:tcW w:w="1240" w:type="dxa"/>
            <w:noWrap/>
            <w:vAlign w:val="center"/>
            <w:hideMark/>
          </w:tcPr>
          <w:p w14:paraId="0EA3D0A3" w14:textId="6784C4F3" w:rsidR="004326E4" w:rsidRPr="009721A8" w:rsidRDefault="004326E4" w:rsidP="004326E4">
            <w:pPr>
              <w:spacing w:after="120" w:line="276" w:lineRule="auto"/>
              <w:jc w:val="center"/>
              <w:rPr>
                <w:sz w:val="22"/>
                <w:szCs w:val="22"/>
              </w:rPr>
            </w:pPr>
            <w:r w:rsidRPr="009721A8">
              <w:rPr>
                <w:sz w:val="22"/>
                <w:szCs w:val="22"/>
              </w:rPr>
              <w:t>-7.6</w:t>
            </w:r>
            <w:r w:rsidR="009721A8" w:rsidRPr="009721A8">
              <w:rPr>
                <w:sz w:val="22"/>
                <w:szCs w:val="22"/>
              </w:rPr>
              <w:t>0</w:t>
            </w:r>
          </w:p>
        </w:tc>
      </w:tr>
      <w:tr w:rsidR="004326E4" w:rsidRPr="009721A8" w14:paraId="22D6CE91" w14:textId="77777777" w:rsidTr="009721A8">
        <w:trPr>
          <w:trHeight w:val="288"/>
          <w:jc w:val="center"/>
        </w:trPr>
        <w:tc>
          <w:tcPr>
            <w:tcW w:w="2048" w:type="dxa"/>
            <w:noWrap/>
            <w:vAlign w:val="center"/>
            <w:hideMark/>
          </w:tcPr>
          <w:p w14:paraId="18C63128" w14:textId="77777777" w:rsidR="004326E4" w:rsidRPr="009721A8" w:rsidRDefault="004326E4" w:rsidP="004326E4">
            <w:pPr>
              <w:spacing w:after="120" w:line="276" w:lineRule="auto"/>
              <w:jc w:val="center"/>
              <w:rPr>
                <w:sz w:val="22"/>
                <w:szCs w:val="22"/>
              </w:rPr>
            </w:pPr>
            <w:r w:rsidRPr="009721A8">
              <w:rPr>
                <w:sz w:val="22"/>
                <w:szCs w:val="22"/>
              </w:rPr>
              <w:t>AMPA</w:t>
            </w:r>
          </w:p>
        </w:tc>
        <w:tc>
          <w:tcPr>
            <w:tcW w:w="1296" w:type="dxa"/>
            <w:noWrap/>
            <w:vAlign w:val="center"/>
            <w:hideMark/>
          </w:tcPr>
          <w:p w14:paraId="0658969D" w14:textId="77777777" w:rsidR="004326E4" w:rsidRPr="009721A8" w:rsidRDefault="004326E4" w:rsidP="004326E4">
            <w:pPr>
              <w:spacing w:after="120" w:line="276" w:lineRule="auto"/>
              <w:jc w:val="center"/>
              <w:rPr>
                <w:sz w:val="22"/>
                <w:szCs w:val="22"/>
              </w:rPr>
            </w:pPr>
            <w:r w:rsidRPr="009721A8">
              <w:rPr>
                <w:sz w:val="22"/>
                <w:szCs w:val="22"/>
              </w:rPr>
              <w:t>-6.83</w:t>
            </w:r>
          </w:p>
        </w:tc>
        <w:tc>
          <w:tcPr>
            <w:tcW w:w="1240" w:type="dxa"/>
            <w:noWrap/>
            <w:vAlign w:val="center"/>
            <w:hideMark/>
          </w:tcPr>
          <w:p w14:paraId="0F96B8AA" w14:textId="77777777" w:rsidR="004326E4" w:rsidRPr="009721A8" w:rsidRDefault="004326E4" w:rsidP="004326E4">
            <w:pPr>
              <w:spacing w:after="120" w:line="276" w:lineRule="auto"/>
              <w:jc w:val="center"/>
              <w:rPr>
                <w:sz w:val="22"/>
                <w:szCs w:val="22"/>
              </w:rPr>
            </w:pPr>
            <w:r w:rsidRPr="009721A8">
              <w:rPr>
                <w:sz w:val="22"/>
                <w:szCs w:val="22"/>
              </w:rPr>
              <w:t>-6.9</w:t>
            </w:r>
          </w:p>
        </w:tc>
        <w:tc>
          <w:tcPr>
            <w:tcW w:w="1240" w:type="dxa"/>
            <w:noWrap/>
            <w:vAlign w:val="center"/>
            <w:hideMark/>
          </w:tcPr>
          <w:p w14:paraId="24370B01" w14:textId="77777777" w:rsidR="004326E4" w:rsidRPr="009721A8" w:rsidRDefault="004326E4" w:rsidP="004326E4">
            <w:pPr>
              <w:spacing w:after="120" w:line="276" w:lineRule="auto"/>
              <w:jc w:val="center"/>
              <w:rPr>
                <w:sz w:val="22"/>
                <w:szCs w:val="22"/>
              </w:rPr>
            </w:pPr>
            <w:r w:rsidRPr="009721A8">
              <w:rPr>
                <w:sz w:val="22"/>
                <w:szCs w:val="22"/>
              </w:rPr>
              <w:t>-4.77</w:t>
            </w:r>
          </w:p>
        </w:tc>
        <w:tc>
          <w:tcPr>
            <w:tcW w:w="1240" w:type="dxa"/>
            <w:noWrap/>
            <w:vAlign w:val="center"/>
            <w:hideMark/>
          </w:tcPr>
          <w:p w14:paraId="6EADF682" w14:textId="77777777" w:rsidR="004326E4" w:rsidRPr="009721A8" w:rsidRDefault="004326E4" w:rsidP="004326E4">
            <w:pPr>
              <w:spacing w:after="120" w:line="276" w:lineRule="auto"/>
              <w:jc w:val="center"/>
              <w:rPr>
                <w:sz w:val="22"/>
                <w:szCs w:val="22"/>
              </w:rPr>
            </w:pPr>
            <w:r w:rsidRPr="009721A8">
              <w:rPr>
                <w:sz w:val="22"/>
                <w:szCs w:val="22"/>
              </w:rPr>
              <w:t>-9.16</w:t>
            </w:r>
          </w:p>
        </w:tc>
      </w:tr>
      <w:tr w:rsidR="004326E4" w:rsidRPr="009721A8" w14:paraId="1BA9537B" w14:textId="77777777" w:rsidTr="009721A8">
        <w:trPr>
          <w:trHeight w:val="312"/>
          <w:jc w:val="center"/>
        </w:trPr>
        <w:tc>
          <w:tcPr>
            <w:tcW w:w="2048" w:type="dxa"/>
            <w:noWrap/>
            <w:vAlign w:val="center"/>
            <w:hideMark/>
          </w:tcPr>
          <w:p w14:paraId="25BF5589" w14:textId="77777777" w:rsidR="004326E4" w:rsidRPr="009721A8" w:rsidRDefault="004326E4" w:rsidP="004326E4">
            <w:pPr>
              <w:spacing w:after="120" w:line="276" w:lineRule="auto"/>
              <w:jc w:val="center"/>
              <w:rPr>
                <w:sz w:val="22"/>
                <w:szCs w:val="22"/>
              </w:rPr>
            </w:pPr>
            <w:r w:rsidRPr="009721A8">
              <w:rPr>
                <w:sz w:val="22"/>
                <w:szCs w:val="22"/>
              </w:rPr>
              <w:t>σ</w:t>
            </w:r>
            <w:r w:rsidRPr="009721A8">
              <w:rPr>
                <w:sz w:val="22"/>
                <w:szCs w:val="22"/>
                <w:vertAlign w:val="subscript"/>
              </w:rPr>
              <w:t>1</w:t>
            </w:r>
            <w:r w:rsidRPr="009721A8">
              <w:rPr>
                <w:sz w:val="22"/>
                <w:szCs w:val="22"/>
              </w:rPr>
              <w:t>r</w:t>
            </w:r>
          </w:p>
        </w:tc>
        <w:tc>
          <w:tcPr>
            <w:tcW w:w="1296" w:type="dxa"/>
            <w:noWrap/>
            <w:vAlign w:val="center"/>
            <w:hideMark/>
          </w:tcPr>
          <w:p w14:paraId="38413FD6" w14:textId="77777777" w:rsidR="004326E4" w:rsidRPr="009721A8" w:rsidRDefault="004326E4" w:rsidP="004326E4">
            <w:pPr>
              <w:spacing w:after="120" w:line="276" w:lineRule="auto"/>
              <w:jc w:val="center"/>
              <w:rPr>
                <w:sz w:val="22"/>
                <w:szCs w:val="22"/>
              </w:rPr>
            </w:pPr>
            <w:r w:rsidRPr="009721A8">
              <w:rPr>
                <w:sz w:val="22"/>
                <w:szCs w:val="22"/>
              </w:rPr>
              <w:t>-7.92</w:t>
            </w:r>
          </w:p>
        </w:tc>
        <w:tc>
          <w:tcPr>
            <w:tcW w:w="1240" w:type="dxa"/>
            <w:noWrap/>
            <w:vAlign w:val="center"/>
            <w:hideMark/>
          </w:tcPr>
          <w:p w14:paraId="3A3AD121" w14:textId="77777777" w:rsidR="004326E4" w:rsidRPr="009721A8" w:rsidRDefault="004326E4" w:rsidP="004326E4">
            <w:pPr>
              <w:spacing w:after="120" w:line="276" w:lineRule="auto"/>
              <w:jc w:val="center"/>
              <w:rPr>
                <w:sz w:val="22"/>
                <w:szCs w:val="22"/>
              </w:rPr>
            </w:pPr>
            <w:r w:rsidRPr="009721A8">
              <w:rPr>
                <w:sz w:val="22"/>
                <w:szCs w:val="22"/>
              </w:rPr>
              <w:t>-7.75</w:t>
            </w:r>
          </w:p>
        </w:tc>
        <w:tc>
          <w:tcPr>
            <w:tcW w:w="1240" w:type="dxa"/>
            <w:noWrap/>
            <w:vAlign w:val="center"/>
            <w:hideMark/>
          </w:tcPr>
          <w:p w14:paraId="7D75B766" w14:textId="77777777" w:rsidR="004326E4" w:rsidRPr="009721A8" w:rsidRDefault="004326E4" w:rsidP="004326E4">
            <w:pPr>
              <w:spacing w:after="120" w:line="276" w:lineRule="auto"/>
              <w:jc w:val="center"/>
              <w:rPr>
                <w:sz w:val="22"/>
                <w:szCs w:val="22"/>
              </w:rPr>
            </w:pPr>
            <w:r w:rsidRPr="009721A8">
              <w:rPr>
                <w:sz w:val="22"/>
                <w:szCs w:val="22"/>
              </w:rPr>
              <w:t>---</w:t>
            </w:r>
          </w:p>
        </w:tc>
        <w:tc>
          <w:tcPr>
            <w:tcW w:w="1240" w:type="dxa"/>
            <w:noWrap/>
            <w:vAlign w:val="center"/>
            <w:hideMark/>
          </w:tcPr>
          <w:p w14:paraId="2809D125" w14:textId="77777777" w:rsidR="004326E4" w:rsidRPr="009721A8" w:rsidRDefault="004326E4" w:rsidP="004326E4">
            <w:pPr>
              <w:spacing w:after="120" w:line="276" w:lineRule="auto"/>
              <w:jc w:val="center"/>
              <w:rPr>
                <w:sz w:val="22"/>
                <w:szCs w:val="22"/>
              </w:rPr>
            </w:pPr>
            <w:r w:rsidRPr="009721A8">
              <w:rPr>
                <w:sz w:val="22"/>
                <w:szCs w:val="22"/>
              </w:rPr>
              <w:t>-7.88</w:t>
            </w:r>
          </w:p>
        </w:tc>
      </w:tr>
      <w:tr w:rsidR="004326E4" w:rsidRPr="009721A8" w14:paraId="42EA93E6" w14:textId="77777777" w:rsidTr="009721A8">
        <w:trPr>
          <w:trHeight w:val="288"/>
          <w:jc w:val="center"/>
        </w:trPr>
        <w:tc>
          <w:tcPr>
            <w:tcW w:w="2048" w:type="dxa"/>
            <w:noWrap/>
            <w:vAlign w:val="center"/>
            <w:hideMark/>
          </w:tcPr>
          <w:p w14:paraId="49F463C2" w14:textId="77777777" w:rsidR="004326E4" w:rsidRPr="009721A8" w:rsidRDefault="004326E4" w:rsidP="004326E4">
            <w:pPr>
              <w:spacing w:after="120" w:line="276" w:lineRule="auto"/>
              <w:jc w:val="center"/>
              <w:rPr>
                <w:sz w:val="22"/>
                <w:szCs w:val="22"/>
              </w:rPr>
            </w:pPr>
            <w:r w:rsidRPr="009721A8">
              <w:rPr>
                <w:sz w:val="22"/>
                <w:szCs w:val="22"/>
              </w:rPr>
              <w:t>GSK3β</w:t>
            </w:r>
          </w:p>
        </w:tc>
        <w:tc>
          <w:tcPr>
            <w:tcW w:w="1296" w:type="dxa"/>
            <w:noWrap/>
            <w:vAlign w:val="center"/>
            <w:hideMark/>
          </w:tcPr>
          <w:p w14:paraId="3FA3EDA8" w14:textId="5EEAB7F4" w:rsidR="004326E4" w:rsidRPr="009721A8" w:rsidRDefault="004326E4" w:rsidP="004326E4">
            <w:pPr>
              <w:spacing w:after="120" w:line="276" w:lineRule="auto"/>
              <w:jc w:val="center"/>
              <w:rPr>
                <w:sz w:val="22"/>
                <w:szCs w:val="22"/>
              </w:rPr>
            </w:pPr>
            <w:r w:rsidRPr="009721A8">
              <w:rPr>
                <w:sz w:val="22"/>
                <w:szCs w:val="22"/>
              </w:rPr>
              <w:t>-8.8</w:t>
            </w:r>
            <w:r w:rsidR="008E2310">
              <w:rPr>
                <w:sz w:val="22"/>
                <w:szCs w:val="22"/>
              </w:rPr>
              <w:t>0</w:t>
            </w:r>
          </w:p>
        </w:tc>
        <w:tc>
          <w:tcPr>
            <w:tcW w:w="1240" w:type="dxa"/>
            <w:noWrap/>
            <w:vAlign w:val="center"/>
            <w:hideMark/>
          </w:tcPr>
          <w:p w14:paraId="0EE11A41" w14:textId="77777777" w:rsidR="004326E4" w:rsidRPr="009721A8" w:rsidRDefault="004326E4" w:rsidP="004326E4">
            <w:pPr>
              <w:spacing w:after="120" w:line="276" w:lineRule="auto"/>
              <w:jc w:val="center"/>
              <w:rPr>
                <w:sz w:val="22"/>
                <w:szCs w:val="22"/>
              </w:rPr>
            </w:pPr>
            <w:r w:rsidRPr="009721A8">
              <w:rPr>
                <w:sz w:val="22"/>
                <w:szCs w:val="22"/>
              </w:rPr>
              <w:t>-9.36</w:t>
            </w:r>
          </w:p>
        </w:tc>
        <w:tc>
          <w:tcPr>
            <w:tcW w:w="1240" w:type="dxa"/>
            <w:noWrap/>
            <w:vAlign w:val="center"/>
            <w:hideMark/>
          </w:tcPr>
          <w:p w14:paraId="6CB8E961" w14:textId="77777777" w:rsidR="004326E4" w:rsidRPr="009721A8" w:rsidRDefault="004326E4" w:rsidP="004326E4">
            <w:pPr>
              <w:spacing w:after="120" w:line="276" w:lineRule="auto"/>
              <w:jc w:val="center"/>
              <w:rPr>
                <w:sz w:val="22"/>
                <w:szCs w:val="22"/>
              </w:rPr>
            </w:pPr>
            <w:r w:rsidRPr="009721A8">
              <w:rPr>
                <w:sz w:val="22"/>
                <w:szCs w:val="22"/>
              </w:rPr>
              <w:t>---</w:t>
            </w:r>
          </w:p>
        </w:tc>
        <w:tc>
          <w:tcPr>
            <w:tcW w:w="1240" w:type="dxa"/>
            <w:noWrap/>
            <w:vAlign w:val="center"/>
            <w:hideMark/>
          </w:tcPr>
          <w:p w14:paraId="0CDE302B" w14:textId="77777777" w:rsidR="004326E4" w:rsidRPr="009721A8" w:rsidRDefault="004326E4" w:rsidP="004326E4">
            <w:pPr>
              <w:spacing w:after="120" w:line="276" w:lineRule="auto"/>
              <w:jc w:val="center"/>
              <w:rPr>
                <w:sz w:val="22"/>
                <w:szCs w:val="22"/>
              </w:rPr>
            </w:pPr>
            <w:r w:rsidRPr="009721A8">
              <w:rPr>
                <w:sz w:val="22"/>
                <w:szCs w:val="22"/>
              </w:rPr>
              <w:t>-7.81</w:t>
            </w:r>
          </w:p>
        </w:tc>
      </w:tr>
      <w:tr w:rsidR="004326E4" w:rsidRPr="009721A8" w14:paraId="7E90E536" w14:textId="77777777" w:rsidTr="009721A8">
        <w:trPr>
          <w:trHeight w:val="288"/>
          <w:jc w:val="center"/>
        </w:trPr>
        <w:tc>
          <w:tcPr>
            <w:tcW w:w="2048" w:type="dxa"/>
            <w:noWrap/>
            <w:vAlign w:val="center"/>
            <w:hideMark/>
          </w:tcPr>
          <w:p w14:paraId="3C38B3D3" w14:textId="77777777" w:rsidR="004326E4" w:rsidRPr="009721A8" w:rsidRDefault="004326E4" w:rsidP="004326E4">
            <w:pPr>
              <w:spacing w:after="120" w:line="276" w:lineRule="auto"/>
              <w:jc w:val="center"/>
              <w:rPr>
                <w:sz w:val="22"/>
                <w:szCs w:val="22"/>
              </w:rPr>
            </w:pPr>
            <w:r w:rsidRPr="009721A8">
              <w:rPr>
                <w:sz w:val="22"/>
                <w:szCs w:val="22"/>
              </w:rPr>
              <w:t>PPARγ</w:t>
            </w:r>
          </w:p>
        </w:tc>
        <w:tc>
          <w:tcPr>
            <w:tcW w:w="1296" w:type="dxa"/>
            <w:noWrap/>
            <w:vAlign w:val="center"/>
            <w:hideMark/>
          </w:tcPr>
          <w:p w14:paraId="66577440" w14:textId="77777777" w:rsidR="004326E4" w:rsidRPr="009721A8" w:rsidRDefault="004326E4" w:rsidP="004326E4">
            <w:pPr>
              <w:spacing w:after="120" w:line="276" w:lineRule="auto"/>
              <w:jc w:val="center"/>
              <w:rPr>
                <w:sz w:val="22"/>
                <w:szCs w:val="22"/>
              </w:rPr>
            </w:pPr>
            <w:r w:rsidRPr="009721A8">
              <w:rPr>
                <w:sz w:val="22"/>
                <w:szCs w:val="22"/>
              </w:rPr>
              <w:t>-6.11</w:t>
            </w:r>
          </w:p>
        </w:tc>
        <w:tc>
          <w:tcPr>
            <w:tcW w:w="1240" w:type="dxa"/>
            <w:noWrap/>
            <w:vAlign w:val="center"/>
            <w:hideMark/>
          </w:tcPr>
          <w:p w14:paraId="4413A9D8" w14:textId="77777777" w:rsidR="004326E4" w:rsidRPr="009721A8" w:rsidRDefault="004326E4" w:rsidP="004326E4">
            <w:pPr>
              <w:spacing w:after="120" w:line="276" w:lineRule="auto"/>
              <w:jc w:val="center"/>
              <w:rPr>
                <w:sz w:val="22"/>
                <w:szCs w:val="22"/>
              </w:rPr>
            </w:pPr>
            <w:r w:rsidRPr="009721A8">
              <w:rPr>
                <w:sz w:val="22"/>
                <w:szCs w:val="22"/>
              </w:rPr>
              <w:t>-6.01</w:t>
            </w:r>
          </w:p>
        </w:tc>
        <w:tc>
          <w:tcPr>
            <w:tcW w:w="1240" w:type="dxa"/>
            <w:noWrap/>
            <w:vAlign w:val="center"/>
            <w:hideMark/>
          </w:tcPr>
          <w:p w14:paraId="4167A134" w14:textId="57A43EAB" w:rsidR="004326E4" w:rsidRPr="009721A8" w:rsidRDefault="004326E4" w:rsidP="004326E4">
            <w:pPr>
              <w:spacing w:after="120" w:line="276" w:lineRule="auto"/>
              <w:jc w:val="center"/>
              <w:rPr>
                <w:sz w:val="22"/>
                <w:szCs w:val="22"/>
              </w:rPr>
            </w:pPr>
            <w:r w:rsidRPr="009721A8">
              <w:rPr>
                <w:sz w:val="22"/>
                <w:szCs w:val="22"/>
              </w:rPr>
              <w:t>-7.05</w:t>
            </w:r>
          </w:p>
        </w:tc>
        <w:tc>
          <w:tcPr>
            <w:tcW w:w="1240" w:type="dxa"/>
            <w:noWrap/>
            <w:vAlign w:val="center"/>
            <w:hideMark/>
          </w:tcPr>
          <w:p w14:paraId="3FA02AA5" w14:textId="77777777" w:rsidR="004326E4" w:rsidRPr="009721A8" w:rsidRDefault="004326E4" w:rsidP="004326E4">
            <w:pPr>
              <w:spacing w:after="120" w:line="276" w:lineRule="auto"/>
              <w:jc w:val="center"/>
              <w:rPr>
                <w:sz w:val="22"/>
                <w:szCs w:val="22"/>
              </w:rPr>
            </w:pPr>
            <w:r w:rsidRPr="009721A8">
              <w:rPr>
                <w:sz w:val="22"/>
                <w:szCs w:val="22"/>
              </w:rPr>
              <w:t>-8.11</w:t>
            </w:r>
          </w:p>
        </w:tc>
      </w:tr>
      <w:tr w:rsidR="004326E4" w:rsidRPr="009721A8" w14:paraId="31450899" w14:textId="77777777" w:rsidTr="009721A8">
        <w:trPr>
          <w:trHeight w:val="288"/>
          <w:jc w:val="center"/>
        </w:trPr>
        <w:tc>
          <w:tcPr>
            <w:tcW w:w="2048" w:type="dxa"/>
            <w:noWrap/>
            <w:vAlign w:val="center"/>
            <w:hideMark/>
          </w:tcPr>
          <w:p w14:paraId="17B650B1" w14:textId="77777777" w:rsidR="004326E4" w:rsidRPr="009721A8" w:rsidRDefault="004326E4" w:rsidP="004326E4">
            <w:pPr>
              <w:spacing w:after="120" w:line="276" w:lineRule="auto"/>
              <w:jc w:val="center"/>
              <w:rPr>
                <w:sz w:val="22"/>
                <w:szCs w:val="22"/>
              </w:rPr>
            </w:pPr>
            <w:r w:rsidRPr="009721A8">
              <w:rPr>
                <w:sz w:val="22"/>
                <w:szCs w:val="22"/>
              </w:rPr>
              <w:t>ProdH</w:t>
            </w:r>
          </w:p>
        </w:tc>
        <w:tc>
          <w:tcPr>
            <w:tcW w:w="1296" w:type="dxa"/>
            <w:noWrap/>
            <w:vAlign w:val="center"/>
            <w:hideMark/>
          </w:tcPr>
          <w:p w14:paraId="48424462" w14:textId="77777777" w:rsidR="004326E4" w:rsidRPr="009721A8" w:rsidRDefault="004326E4" w:rsidP="004326E4">
            <w:pPr>
              <w:spacing w:after="120" w:line="276" w:lineRule="auto"/>
              <w:jc w:val="center"/>
              <w:rPr>
                <w:sz w:val="22"/>
                <w:szCs w:val="22"/>
              </w:rPr>
            </w:pPr>
            <w:r w:rsidRPr="009721A8">
              <w:rPr>
                <w:sz w:val="22"/>
                <w:szCs w:val="22"/>
              </w:rPr>
              <w:t>2.81</w:t>
            </w:r>
          </w:p>
        </w:tc>
        <w:tc>
          <w:tcPr>
            <w:tcW w:w="1240" w:type="dxa"/>
            <w:noWrap/>
            <w:vAlign w:val="center"/>
            <w:hideMark/>
          </w:tcPr>
          <w:p w14:paraId="31463247" w14:textId="77777777" w:rsidR="004326E4" w:rsidRPr="009721A8" w:rsidRDefault="004326E4" w:rsidP="004326E4">
            <w:pPr>
              <w:spacing w:after="120" w:line="276" w:lineRule="auto"/>
              <w:jc w:val="center"/>
              <w:rPr>
                <w:sz w:val="22"/>
                <w:szCs w:val="22"/>
              </w:rPr>
            </w:pPr>
            <w:r w:rsidRPr="009721A8">
              <w:rPr>
                <w:sz w:val="22"/>
                <w:szCs w:val="22"/>
              </w:rPr>
              <w:t>1.42</w:t>
            </w:r>
          </w:p>
        </w:tc>
        <w:tc>
          <w:tcPr>
            <w:tcW w:w="1240" w:type="dxa"/>
            <w:noWrap/>
            <w:vAlign w:val="center"/>
            <w:hideMark/>
          </w:tcPr>
          <w:p w14:paraId="6D039CFD" w14:textId="77777777" w:rsidR="004326E4" w:rsidRPr="009721A8" w:rsidRDefault="004326E4" w:rsidP="004326E4">
            <w:pPr>
              <w:spacing w:after="120" w:line="276" w:lineRule="auto"/>
              <w:jc w:val="center"/>
              <w:rPr>
                <w:sz w:val="22"/>
                <w:szCs w:val="22"/>
              </w:rPr>
            </w:pPr>
            <w:r w:rsidRPr="009721A8">
              <w:rPr>
                <w:sz w:val="22"/>
                <w:szCs w:val="22"/>
              </w:rPr>
              <w:t>-5.86</w:t>
            </w:r>
          </w:p>
        </w:tc>
        <w:tc>
          <w:tcPr>
            <w:tcW w:w="1240" w:type="dxa"/>
            <w:noWrap/>
            <w:vAlign w:val="center"/>
            <w:hideMark/>
          </w:tcPr>
          <w:p w14:paraId="3EAA95E3" w14:textId="77777777" w:rsidR="004326E4" w:rsidRPr="009721A8" w:rsidRDefault="004326E4" w:rsidP="004326E4">
            <w:pPr>
              <w:spacing w:after="120" w:line="276" w:lineRule="auto"/>
              <w:jc w:val="center"/>
              <w:rPr>
                <w:sz w:val="22"/>
                <w:szCs w:val="22"/>
              </w:rPr>
            </w:pPr>
            <w:r w:rsidRPr="009721A8">
              <w:rPr>
                <w:sz w:val="22"/>
                <w:szCs w:val="22"/>
              </w:rPr>
              <w:t>-5.72</w:t>
            </w:r>
          </w:p>
        </w:tc>
      </w:tr>
      <w:tr w:rsidR="004326E4" w:rsidRPr="009721A8" w14:paraId="74926A03" w14:textId="77777777" w:rsidTr="009721A8">
        <w:trPr>
          <w:trHeight w:val="288"/>
          <w:jc w:val="center"/>
        </w:trPr>
        <w:tc>
          <w:tcPr>
            <w:tcW w:w="2048" w:type="dxa"/>
            <w:noWrap/>
            <w:vAlign w:val="center"/>
            <w:hideMark/>
          </w:tcPr>
          <w:p w14:paraId="406794F9" w14:textId="77777777" w:rsidR="004326E4" w:rsidRPr="009721A8" w:rsidRDefault="004326E4" w:rsidP="004326E4">
            <w:pPr>
              <w:spacing w:after="120" w:line="276" w:lineRule="auto"/>
              <w:jc w:val="center"/>
              <w:rPr>
                <w:sz w:val="22"/>
                <w:szCs w:val="22"/>
              </w:rPr>
            </w:pPr>
            <w:r w:rsidRPr="009721A8">
              <w:rPr>
                <w:sz w:val="22"/>
                <w:szCs w:val="22"/>
              </w:rPr>
              <w:t>HMG-CoA(AS)</w:t>
            </w:r>
          </w:p>
        </w:tc>
        <w:tc>
          <w:tcPr>
            <w:tcW w:w="1296" w:type="dxa"/>
            <w:noWrap/>
            <w:vAlign w:val="center"/>
            <w:hideMark/>
          </w:tcPr>
          <w:p w14:paraId="60CAE18E" w14:textId="77777777" w:rsidR="004326E4" w:rsidRPr="009721A8" w:rsidRDefault="004326E4" w:rsidP="004326E4">
            <w:pPr>
              <w:spacing w:after="120" w:line="276" w:lineRule="auto"/>
              <w:jc w:val="center"/>
              <w:rPr>
                <w:sz w:val="22"/>
                <w:szCs w:val="22"/>
              </w:rPr>
            </w:pPr>
            <w:r w:rsidRPr="009721A8">
              <w:rPr>
                <w:sz w:val="22"/>
                <w:szCs w:val="22"/>
              </w:rPr>
              <w:t>-5.44</w:t>
            </w:r>
          </w:p>
        </w:tc>
        <w:tc>
          <w:tcPr>
            <w:tcW w:w="1240" w:type="dxa"/>
            <w:noWrap/>
            <w:vAlign w:val="center"/>
            <w:hideMark/>
          </w:tcPr>
          <w:p w14:paraId="623C0144" w14:textId="77777777" w:rsidR="004326E4" w:rsidRPr="009721A8" w:rsidRDefault="004326E4" w:rsidP="004326E4">
            <w:pPr>
              <w:spacing w:after="120" w:line="276" w:lineRule="auto"/>
              <w:jc w:val="center"/>
              <w:rPr>
                <w:sz w:val="22"/>
                <w:szCs w:val="22"/>
              </w:rPr>
            </w:pPr>
            <w:r w:rsidRPr="009721A8">
              <w:rPr>
                <w:sz w:val="22"/>
                <w:szCs w:val="22"/>
              </w:rPr>
              <w:t>-5.36</w:t>
            </w:r>
          </w:p>
        </w:tc>
        <w:tc>
          <w:tcPr>
            <w:tcW w:w="1240" w:type="dxa"/>
            <w:noWrap/>
            <w:vAlign w:val="center"/>
            <w:hideMark/>
          </w:tcPr>
          <w:p w14:paraId="33097122" w14:textId="77777777" w:rsidR="004326E4" w:rsidRPr="009721A8" w:rsidRDefault="004326E4" w:rsidP="004326E4">
            <w:pPr>
              <w:spacing w:after="120" w:line="276" w:lineRule="auto"/>
              <w:jc w:val="center"/>
              <w:rPr>
                <w:sz w:val="22"/>
                <w:szCs w:val="22"/>
              </w:rPr>
            </w:pPr>
            <w:r w:rsidRPr="009721A8">
              <w:rPr>
                <w:sz w:val="22"/>
                <w:szCs w:val="22"/>
              </w:rPr>
              <w:t>-5.41</w:t>
            </w:r>
          </w:p>
        </w:tc>
        <w:tc>
          <w:tcPr>
            <w:tcW w:w="1240" w:type="dxa"/>
            <w:noWrap/>
            <w:vAlign w:val="center"/>
            <w:hideMark/>
          </w:tcPr>
          <w:p w14:paraId="0C46009E" w14:textId="77777777" w:rsidR="004326E4" w:rsidRPr="009721A8" w:rsidRDefault="004326E4" w:rsidP="004326E4">
            <w:pPr>
              <w:spacing w:after="120" w:line="276" w:lineRule="auto"/>
              <w:jc w:val="center"/>
              <w:rPr>
                <w:sz w:val="22"/>
                <w:szCs w:val="22"/>
              </w:rPr>
            </w:pPr>
            <w:r w:rsidRPr="009721A8">
              <w:rPr>
                <w:sz w:val="22"/>
                <w:szCs w:val="22"/>
              </w:rPr>
              <w:t>-5.77</w:t>
            </w:r>
          </w:p>
        </w:tc>
      </w:tr>
      <w:tr w:rsidR="004326E4" w:rsidRPr="009721A8" w14:paraId="791810F6" w14:textId="77777777" w:rsidTr="009721A8">
        <w:trPr>
          <w:trHeight w:val="288"/>
          <w:jc w:val="center"/>
        </w:trPr>
        <w:tc>
          <w:tcPr>
            <w:tcW w:w="2048" w:type="dxa"/>
            <w:noWrap/>
            <w:vAlign w:val="center"/>
            <w:hideMark/>
          </w:tcPr>
          <w:p w14:paraId="2FF9F345" w14:textId="77777777" w:rsidR="004326E4" w:rsidRPr="009721A8" w:rsidRDefault="004326E4" w:rsidP="004326E4">
            <w:pPr>
              <w:spacing w:after="120" w:line="276" w:lineRule="auto"/>
              <w:jc w:val="center"/>
              <w:rPr>
                <w:sz w:val="22"/>
                <w:szCs w:val="22"/>
              </w:rPr>
            </w:pPr>
            <w:r w:rsidRPr="009721A8">
              <w:rPr>
                <w:sz w:val="22"/>
                <w:szCs w:val="22"/>
              </w:rPr>
              <w:t>HMG-CoA(A)</w:t>
            </w:r>
          </w:p>
        </w:tc>
        <w:tc>
          <w:tcPr>
            <w:tcW w:w="1296" w:type="dxa"/>
            <w:noWrap/>
            <w:vAlign w:val="center"/>
            <w:hideMark/>
          </w:tcPr>
          <w:p w14:paraId="22F67369" w14:textId="77777777" w:rsidR="004326E4" w:rsidRPr="009721A8" w:rsidRDefault="004326E4" w:rsidP="004326E4">
            <w:pPr>
              <w:spacing w:after="120" w:line="276" w:lineRule="auto"/>
              <w:jc w:val="center"/>
              <w:rPr>
                <w:sz w:val="22"/>
                <w:szCs w:val="22"/>
              </w:rPr>
            </w:pPr>
            <w:r w:rsidRPr="009721A8">
              <w:rPr>
                <w:sz w:val="22"/>
                <w:szCs w:val="22"/>
              </w:rPr>
              <w:t>-6.27</w:t>
            </w:r>
          </w:p>
        </w:tc>
        <w:tc>
          <w:tcPr>
            <w:tcW w:w="1240" w:type="dxa"/>
            <w:noWrap/>
            <w:vAlign w:val="center"/>
            <w:hideMark/>
          </w:tcPr>
          <w:p w14:paraId="63B658B6" w14:textId="77777777" w:rsidR="004326E4" w:rsidRPr="009721A8" w:rsidRDefault="004326E4" w:rsidP="004326E4">
            <w:pPr>
              <w:spacing w:after="120" w:line="276" w:lineRule="auto"/>
              <w:jc w:val="center"/>
              <w:rPr>
                <w:sz w:val="22"/>
                <w:szCs w:val="22"/>
              </w:rPr>
            </w:pPr>
            <w:r w:rsidRPr="009721A8">
              <w:rPr>
                <w:sz w:val="22"/>
                <w:szCs w:val="22"/>
              </w:rPr>
              <w:t>-6.25</w:t>
            </w:r>
          </w:p>
        </w:tc>
        <w:tc>
          <w:tcPr>
            <w:tcW w:w="1240" w:type="dxa"/>
            <w:noWrap/>
            <w:vAlign w:val="center"/>
            <w:hideMark/>
          </w:tcPr>
          <w:p w14:paraId="65762897" w14:textId="77777777" w:rsidR="004326E4" w:rsidRPr="009721A8" w:rsidRDefault="004326E4" w:rsidP="004326E4">
            <w:pPr>
              <w:spacing w:after="120" w:line="276" w:lineRule="auto"/>
              <w:jc w:val="center"/>
              <w:rPr>
                <w:sz w:val="22"/>
                <w:szCs w:val="22"/>
              </w:rPr>
            </w:pPr>
            <w:r w:rsidRPr="009721A8">
              <w:rPr>
                <w:sz w:val="22"/>
                <w:szCs w:val="22"/>
              </w:rPr>
              <w:t>---</w:t>
            </w:r>
          </w:p>
        </w:tc>
        <w:tc>
          <w:tcPr>
            <w:tcW w:w="1240" w:type="dxa"/>
            <w:noWrap/>
            <w:vAlign w:val="center"/>
            <w:hideMark/>
          </w:tcPr>
          <w:p w14:paraId="010006F8" w14:textId="77777777" w:rsidR="004326E4" w:rsidRPr="009721A8" w:rsidRDefault="004326E4" w:rsidP="004326E4">
            <w:pPr>
              <w:spacing w:after="120" w:line="276" w:lineRule="auto"/>
              <w:jc w:val="center"/>
              <w:rPr>
                <w:sz w:val="22"/>
                <w:szCs w:val="22"/>
              </w:rPr>
            </w:pPr>
            <w:r w:rsidRPr="009721A8">
              <w:rPr>
                <w:sz w:val="22"/>
                <w:szCs w:val="22"/>
              </w:rPr>
              <w:t>-7.19</w:t>
            </w:r>
          </w:p>
        </w:tc>
      </w:tr>
      <w:tr w:rsidR="004326E4" w:rsidRPr="009721A8" w14:paraId="7E046372" w14:textId="77777777" w:rsidTr="009721A8">
        <w:trPr>
          <w:trHeight w:val="288"/>
          <w:jc w:val="center"/>
        </w:trPr>
        <w:tc>
          <w:tcPr>
            <w:tcW w:w="2048" w:type="dxa"/>
            <w:noWrap/>
            <w:vAlign w:val="center"/>
            <w:hideMark/>
          </w:tcPr>
          <w:p w14:paraId="2B4FA867" w14:textId="77777777" w:rsidR="004326E4" w:rsidRPr="009721A8" w:rsidRDefault="004326E4" w:rsidP="004326E4">
            <w:pPr>
              <w:spacing w:after="120" w:line="276" w:lineRule="auto"/>
              <w:jc w:val="center"/>
              <w:rPr>
                <w:sz w:val="22"/>
                <w:szCs w:val="22"/>
              </w:rPr>
            </w:pPr>
            <w:r w:rsidRPr="009721A8">
              <w:rPr>
                <w:sz w:val="22"/>
                <w:szCs w:val="22"/>
              </w:rPr>
              <w:t>HMG-CoA(B)</w:t>
            </w:r>
          </w:p>
        </w:tc>
        <w:tc>
          <w:tcPr>
            <w:tcW w:w="1296" w:type="dxa"/>
            <w:noWrap/>
            <w:vAlign w:val="center"/>
            <w:hideMark/>
          </w:tcPr>
          <w:p w14:paraId="29FC402D" w14:textId="77777777" w:rsidR="004326E4" w:rsidRPr="009721A8" w:rsidRDefault="004326E4" w:rsidP="004326E4">
            <w:pPr>
              <w:spacing w:after="120" w:line="276" w:lineRule="auto"/>
              <w:jc w:val="center"/>
              <w:rPr>
                <w:sz w:val="22"/>
                <w:szCs w:val="22"/>
              </w:rPr>
            </w:pPr>
            <w:r w:rsidRPr="009721A8">
              <w:rPr>
                <w:sz w:val="22"/>
                <w:szCs w:val="22"/>
              </w:rPr>
              <w:t>-6.31</w:t>
            </w:r>
          </w:p>
        </w:tc>
        <w:tc>
          <w:tcPr>
            <w:tcW w:w="1240" w:type="dxa"/>
            <w:noWrap/>
            <w:vAlign w:val="center"/>
            <w:hideMark/>
          </w:tcPr>
          <w:p w14:paraId="4D36C022" w14:textId="77777777" w:rsidR="004326E4" w:rsidRPr="009721A8" w:rsidRDefault="004326E4" w:rsidP="004326E4">
            <w:pPr>
              <w:spacing w:after="120" w:line="276" w:lineRule="auto"/>
              <w:jc w:val="center"/>
              <w:rPr>
                <w:sz w:val="22"/>
                <w:szCs w:val="22"/>
              </w:rPr>
            </w:pPr>
            <w:r w:rsidRPr="009721A8">
              <w:rPr>
                <w:sz w:val="22"/>
                <w:szCs w:val="22"/>
              </w:rPr>
              <w:t>-6.26</w:t>
            </w:r>
          </w:p>
        </w:tc>
        <w:tc>
          <w:tcPr>
            <w:tcW w:w="1240" w:type="dxa"/>
            <w:noWrap/>
            <w:vAlign w:val="center"/>
            <w:hideMark/>
          </w:tcPr>
          <w:p w14:paraId="4875C49F" w14:textId="77777777" w:rsidR="004326E4" w:rsidRPr="009721A8" w:rsidRDefault="004326E4" w:rsidP="004326E4">
            <w:pPr>
              <w:spacing w:after="120" w:line="276" w:lineRule="auto"/>
              <w:jc w:val="center"/>
              <w:rPr>
                <w:sz w:val="22"/>
                <w:szCs w:val="22"/>
              </w:rPr>
            </w:pPr>
            <w:r w:rsidRPr="009721A8">
              <w:rPr>
                <w:sz w:val="22"/>
                <w:szCs w:val="22"/>
              </w:rPr>
              <w:t>---</w:t>
            </w:r>
          </w:p>
        </w:tc>
        <w:tc>
          <w:tcPr>
            <w:tcW w:w="1240" w:type="dxa"/>
            <w:noWrap/>
            <w:vAlign w:val="center"/>
            <w:hideMark/>
          </w:tcPr>
          <w:p w14:paraId="6904F3A8" w14:textId="77777777" w:rsidR="004326E4" w:rsidRPr="009721A8" w:rsidRDefault="004326E4" w:rsidP="004326E4">
            <w:pPr>
              <w:spacing w:after="120" w:line="276" w:lineRule="auto"/>
              <w:jc w:val="center"/>
              <w:rPr>
                <w:sz w:val="22"/>
                <w:szCs w:val="22"/>
              </w:rPr>
            </w:pPr>
            <w:r w:rsidRPr="009721A8">
              <w:rPr>
                <w:sz w:val="22"/>
                <w:szCs w:val="22"/>
              </w:rPr>
              <w:t>-7.83</w:t>
            </w:r>
          </w:p>
        </w:tc>
      </w:tr>
      <w:tr w:rsidR="004326E4" w:rsidRPr="009721A8" w14:paraId="03859908" w14:textId="77777777" w:rsidTr="009721A8">
        <w:trPr>
          <w:trHeight w:val="288"/>
          <w:jc w:val="center"/>
        </w:trPr>
        <w:tc>
          <w:tcPr>
            <w:tcW w:w="2048" w:type="dxa"/>
            <w:noWrap/>
            <w:vAlign w:val="center"/>
            <w:hideMark/>
          </w:tcPr>
          <w:p w14:paraId="09681071" w14:textId="77777777" w:rsidR="004326E4" w:rsidRPr="009721A8" w:rsidRDefault="004326E4" w:rsidP="004326E4">
            <w:pPr>
              <w:spacing w:after="120" w:line="276" w:lineRule="auto"/>
              <w:jc w:val="center"/>
              <w:rPr>
                <w:sz w:val="22"/>
                <w:szCs w:val="22"/>
              </w:rPr>
            </w:pPr>
            <w:r w:rsidRPr="009721A8">
              <w:rPr>
                <w:sz w:val="22"/>
                <w:szCs w:val="22"/>
              </w:rPr>
              <w:t>PTP1B</w:t>
            </w:r>
          </w:p>
        </w:tc>
        <w:tc>
          <w:tcPr>
            <w:tcW w:w="1296" w:type="dxa"/>
            <w:noWrap/>
            <w:vAlign w:val="center"/>
            <w:hideMark/>
          </w:tcPr>
          <w:p w14:paraId="784B749F" w14:textId="77777777" w:rsidR="004326E4" w:rsidRPr="009721A8" w:rsidRDefault="004326E4" w:rsidP="004326E4">
            <w:pPr>
              <w:spacing w:after="120" w:line="276" w:lineRule="auto"/>
              <w:jc w:val="center"/>
              <w:rPr>
                <w:sz w:val="22"/>
                <w:szCs w:val="22"/>
              </w:rPr>
            </w:pPr>
            <w:r w:rsidRPr="009721A8">
              <w:rPr>
                <w:sz w:val="22"/>
                <w:szCs w:val="22"/>
              </w:rPr>
              <w:t>-5.04</w:t>
            </w:r>
          </w:p>
        </w:tc>
        <w:tc>
          <w:tcPr>
            <w:tcW w:w="1240" w:type="dxa"/>
            <w:noWrap/>
            <w:vAlign w:val="center"/>
            <w:hideMark/>
          </w:tcPr>
          <w:p w14:paraId="01C5F319" w14:textId="56ABD886" w:rsidR="004326E4" w:rsidRPr="009721A8" w:rsidRDefault="004326E4" w:rsidP="004326E4">
            <w:pPr>
              <w:spacing w:after="120" w:line="276" w:lineRule="auto"/>
              <w:jc w:val="center"/>
              <w:rPr>
                <w:sz w:val="22"/>
                <w:szCs w:val="22"/>
              </w:rPr>
            </w:pPr>
            <w:r w:rsidRPr="009721A8">
              <w:rPr>
                <w:sz w:val="22"/>
                <w:szCs w:val="22"/>
              </w:rPr>
              <w:t>-5</w:t>
            </w:r>
            <w:r w:rsidR="009721A8" w:rsidRPr="009721A8">
              <w:rPr>
                <w:sz w:val="22"/>
                <w:szCs w:val="22"/>
              </w:rPr>
              <w:t>.00</w:t>
            </w:r>
          </w:p>
        </w:tc>
        <w:tc>
          <w:tcPr>
            <w:tcW w:w="1240" w:type="dxa"/>
            <w:noWrap/>
            <w:vAlign w:val="center"/>
            <w:hideMark/>
          </w:tcPr>
          <w:p w14:paraId="220BB8F6" w14:textId="77777777" w:rsidR="004326E4" w:rsidRPr="009721A8" w:rsidRDefault="004326E4" w:rsidP="004326E4">
            <w:pPr>
              <w:spacing w:after="120" w:line="276" w:lineRule="auto"/>
              <w:jc w:val="center"/>
              <w:rPr>
                <w:sz w:val="22"/>
                <w:szCs w:val="22"/>
              </w:rPr>
            </w:pPr>
            <w:r w:rsidRPr="009721A8">
              <w:rPr>
                <w:sz w:val="22"/>
                <w:szCs w:val="22"/>
              </w:rPr>
              <w:t>---</w:t>
            </w:r>
          </w:p>
        </w:tc>
        <w:tc>
          <w:tcPr>
            <w:tcW w:w="1240" w:type="dxa"/>
            <w:noWrap/>
            <w:vAlign w:val="center"/>
            <w:hideMark/>
          </w:tcPr>
          <w:p w14:paraId="36C375A9" w14:textId="77777777" w:rsidR="004326E4" w:rsidRPr="009721A8" w:rsidRDefault="004326E4" w:rsidP="004326E4">
            <w:pPr>
              <w:spacing w:after="120" w:line="276" w:lineRule="auto"/>
              <w:jc w:val="center"/>
              <w:rPr>
                <w:sz w:val="22"/>
                <w:szCs w:val="22"/>
              </w:rPr>
            </w:pPr>
            <w:r w:rsidRPr="009721A8">
              <w:rPr>
                <w:sz w:val="22"/>
                <w:szCs w:val="22"/>
              </w:rPr>
              <w:t>-6.37</w:t>
            </w:r>
          </w:p>
        </w:tc>
      </w:tr>
      <w:tr w:rsidR="004326E4" w:rsidRPr="009721A8" w14:paraId="66AD6077" w14:textId="77777777" w:rsidTr="009721A8">
        <w:trPr>
          <w:trHeight w:val="288"/>
          <w:jc w:val="center"/>
        </w:trPr>
        <w:tc>
          <w:tcPr>
            <w:tcW w:w="2048" w:type="dxa"/>
            <w:noWrap/>
            <w:vAlign w:val="center"/>
            <w:hideMark/>
          </w:tcPr>
          <w:p w14:paraId="374C8A12" w14:textId="77777777" w:rsidR="004326E4" w:rsidRPr="009721A8" w:rsidRDefault="004326E4" w:rsidP="004326E4">
            <w:pPr>
              <w:spacing w:after="120" w:line="276" w:lineRule="auto"/>
              <w:jc w:val="center"/>
              <w:rPr>
                <w:sz w:val="22"/>
                <w:szCs w:val="22"/>
              </w:rPr>
            </w:pPr>
            <w:r w:rsidRPr="009721A8">
              <w:rPr>
                <w:sz w:val="22"/>
                <w:szCs w:val="22"/>
              </w:rPr>
              <w:t>XO</w:t>
            </w:r>
          </w:p>
        </w:tc>
        <w:tc>
          <w:tcPr>
            <w:tcW w:w="1296" w:type="dxa"/>
            <w:noWrap/>
            <w:vAlign w:val="center"/>
            <w:hideMark/>
          </w:tcPr>
          <w:p w14:paraId="0E5996EE" w14:textId="77777777" w:rsidR="004326E4" w:rsidRPr="009721A8" w:rsidRDefault="004326E4" w:rsidP="004326E4">
            <w:pPr>
              <w:spacing w:after="120" w:line="276" w:lineRule="auto"/>
              <w:jc w:val="center"/>
              <w:rPr>
                <w:sz w:val="22"/>
                <w:szCs w:val="22"/>
              </w:rPr>
            </w:pPr>
            <w:r w:rsidRPr="009721A8">
              <w:rPr>
                <w:sz w:val="22"/>
                <w:szCs w:val="22"/>
              </w:rPr>
              <w:t>-5.05</w:t>
            </w:r>
          </w:p>
        </w:tc>
        <w:tc>
          <w:tcPr>
            <w:tcW w:w="1240" w:type="dxa"/>
            <w:noWrap/>
            <w:vAlign w:val="center"/>
            <w:hideMark/>
          </w:tcPr>
          <w:p w14:paraId="1DFFD964" w14:textId="77777777" w:rsidR="004326E4" w:rsidRPr="009721A8" w:rsidRDefault="004326E4" w:rsidP="004326E4">
            <w:pPr>
              <w:spacing w:after="120" w:line="276" w:lineRule="auto"/>
              <w:jc w:val="center"/>
              <w:rPr>
                <w:sz w:val="22"/>
                <w:szCs w:val="22"/>
              </w:rPr>
            </w:pPr>
            <w:r w:rsidRPr="009721A8">
              <w:rPr>
                <w:sz w:val="22"/>
                <w:szCs w:val="22"/>
              </w:rPr>
              <w:t>-5.35</w:t>
            </w:r>
          </w:p>
        </w:tc>
        <w:tc>
          <w:tcPr>
            <w:tcW w:w="1240" w:type="dxa"/>
            <w:noWrap/>
            <w:vAlign w:val="center"/>
            <w:hideMark/>
          </w:tcPr>
          <w:p w14:paraId="7B439C41" w14:textId="77777777" w:rsidR="004326E4" w:rsidRPr="009721A8" w:rsidRDefault="004326E4" w:rsidP="004326E4">
            <w:pPr>
              <w:spacing w:after="120" w:line="276" w:lineRule="auto"/>
              <w:jc w:val="center"/>
              <w:rPr>
                <w:sz w:val="22"/>
                <w:szCs w:val="22"/>
              </w:rPr>
            </w:pPr>
            <w:r w:rsidRPr="009721A8">
              <w:rPr>
                <w:sz w:val="22"/>
                <w:szCs w:val="22"/>
              </w:rPr>
              <w:t>-6.43</w:t>
            </w:r>
          </w:p>
        </w:tc>
        <w:tc>
          <w:tcPr>
            <w:tcW w:w="1240" w:type="dxa"/>
            <w:noWrap/>
            <w:vAlign w:val="center"/>
            <w:hideMark/>
          </w:tcPr>
          <w:p w14:paraId="6BCE5C07" w14:textId="77777777" w:rsidR="004326E4" w:rsidRPr="009721A8" w:rsidRDefault="004326E4" w:rsidP="004326E4">
            <w:pPr>
              <w:spacing w:after="120" w:line="276" w:lineRule="auto"/>
              <w:jc w:val="center"/>
              <w:rPr>
                <w:sz w:val="22"/>
                <w:szCs w:val="22"/>
              </w:rPr>
            </w:pPr>
            <w:r w:rsidRPr="009721A8">
              <w:rPr>
                <w:sz w:val="22"/>
                <w:szCs w:val="22"/>
              </w:rPr>
              <w:t>-5.65</w:t>
            </w:r>
          </w:p>
        </w:tc>
      </w:tr>
      <w:tr w:rsidR="004326E4" w:rsidRPr="009721A8" w14:paraId="163D13C3" w14:textId="77777777" w:rsidTr="009721A8">
        <w:trPr>
          <w:trHeight w:val="288"/>
          <w:jc w:val="center"/>
        </w:trPr>
        <w:tc>
          <w:tcPr>
            <w:tcW w:w="2048" w:type="dxa"/>
            <w:noWrap/>
            <w:vAlign w:val="center"/>
            <w:hideMark/>
          </w:tcPr>
          <w:p w14:paraId="245AB309" w14:textId="77777777" w:rsidR="004326E4" w:rsidRPr="009721A8" w:rsidRDefault="004326E4" w:rsidP="004326E4">
            <w:pPr>
              <w:spacing w:after="120" w:line="276" w:lineRule="auto"/>
              <w:jc w:val="center"/>
              <w:rPr>
                <w:sz w:val="22"/>
                <w:szCs w:val="22"/>
              </w:rPr>
            </w:pPr>
            <w:r w:rsidRPr="009721A8">
              <w:rPr>
                <w:sz w:val="22"/>
                <w:szCs w:val="22"/>
              </w:rPr>
              <w:t>CuZn-SOD</w:t>
            </w:r>
          </w:p>
        </w:tc>
        <w:tc>
          <w:tcPr>
            <w:tcW w:w="1296" w:type="dxa"/>
            <w:noWrap/>
            <w:vAlign w:val="center"/>
            <w:hideMark/>
          </w:tcPr>
          <w:p w14:paraId="46933922" w14:textId="77777777" w:rsidR="004326E4" w:rsidRPr="009721A8" w:rsidRDefault="004326E4" w:rsidP="004326E4">
            <w:pPr>
              <w:spacing w:after="120" w:line="276" w:lineRule="auto"/>
              <w:jc w:val="center"/>
              <w:rPr>
                <w:sz w:val="22"/>
                <w:szCs w:val="22"/>
              </w:rPr>
            </w:pPr>
            <w:r w:rsidRPr="009721A8">
              <w:rPr>
                <w:sz w:val="22"/>
                <w:szCs w:val="22"/>
              </w:rPr>
              <w:t>-6.78</w:t>
            </w:r>
          </w:p>
        </w:tc>
        <w:tc>
          <w:tcPr>
            <w:tcW w:w="1240" w:type="dxa"/>
            <w:noWrap/>
            <w:vAlign w:val="center"/>
            <w:hideMark/>
          </w:tcPr>
          <w:p w14:paraId="1903B787" w14:textId="77777777" w:rsidR="004326E4" w:rsidRPr="009721A8" w:rsidRDefault="004326E4" w:rsidP="004326E4">
            <w:pPr>
              <w:spacing w:after="120" w:line="276" w:lineRule="auto"/>
              <w:jc w:val="center"/>
              <w:rPr>
                <w:sz w:val="22"/>
                <w:szCs w:val="22"/>
              </w:rPr>
            </w:pPr>
            <w:r w:rsidRPr="009721A8">
              <w:rPr>
                <w:sz w:val="22"/>
                <w:szCs w:val="22"/>
              </w:rPr>
              <w:t>-7.35</w:t>
            </w:r>
          </w:p>
        </w:tc>
        <w:tc>
          <w:tcPr>
            <w:tcW w:w="1240" w:type="dxa"/>
            <w:noWrap/>
            <w:vAlign w:val="center"/>
            <w:hideMark/>
          </w:tcPr>
          <w:p w14:paraId="3EA47848" w14:textId="77777777" w:rsidR="004326E4" w:rsidRPr="009721A8" w:rsidRDefault="004326E4" w:rsidP="004326E4">
            <w:pPr>
              <w:spacing w:after="120" w:line="276" w:lineRule="auto"/>
              <w:jc w:val="center"/>
              <w:rPr>
                <w:sz w:val="22"/>
                <w:szCs w:val="22"/>
              </w:rPr>
            </w:pPr>
            <w:r w:rsidRPr="009721A8">
              <w:rPr>
                <w:sz w:val="22"/>
                <w:szCs w:val="22"/>
              </w:rPr>
              <w:t>---</w:t>
            </w:r>
          </w:p>
        </w:tc>
        <w:tc>
          <w:tcPr>
            <w:tcW w:w="1240" w:type="dxa"/>
            <w:noWrap/>
            <w:vAlign w:val="center"/>
            <w:hideMark/>
          </w:tcPr>
          <w:p w14:paraId="46A72B83" w14:textId="77777777" w:rsidR="004326E4" w:rsidRPr="009721A8" w:rsidRDefault="004326E4" w:rsidP="004326E4">
            <w:pPr>
              <w:spacing w:after="120" w:line="276" w:lineRule="auto"/>
              <w:jc w:val="center"/>
              <w:rPr>
                <w:sz w:val="22"/>
                <w:szCs w:val="22"/>
              </w:rPr>
            </w:pPr>
            <w:r w:rsidRPr="009721A8">
              <w:rPr>
                <w:sz w:val="22"/>
                <w:szCs w:val="22"/>
              </w:rPr>
              <w:t>-6.94</w:t>
            </w:r>
          </w:p>
        </w:tc>
      </w:tr>
      <w:tr w:rsidR="004326E4" w:rsidRPr="009721A8" w14:paraId="04799923" w14:textId="77777777" w:rsidTr="009721A8">
        <w:trPr>
          <w:trHeight w:val="288"/>
          <w:jc w:val="center"/>
        </w:trPr>
        <w:tc>
          <w:tcPr>
            <w:tcW w:w="2048" w:type="dxa"/>
            <w:noWrap/>
            <w:vAlign w:val="center"/>
            <w:hideMark/>
          </w:tcPr>
          <w:p w14:paraId="402BEB25" w14:textId="77777777" w:rsidR="004326E4" w:rsidRPr="009721A8" w:rsidRDefault="004326E4" w:rsidP="004326E4">
            <w:pPr>
              <w:spacing w:after="120" w:line="276" w:lineRule="auto"/>
              <w:jc w:val="center"/>
              <w:rPr>
                <w:sz w:val="22"/>
                <w:szCs w:val="22"/>
              </w:rPr>
            </w:pPr>
            <w:r w:rsidRPr="009721A8">
              <w:rPr>
                <w:sz w:val="22"/>
                <w:szCs w:val="22"/>
              </w:rPr>
              <w:t>COX2</w:t>
            </w:r>
          </w:p>
        </w:tc>
        <w:tc>
          <w:tcPr>
            <w:tcW w:w="1296" w:type="dxa"/>
            <w:noWrap/>
            <w:vAlign w:val="center"/>
            <w:hideMark/>
          </w:tcPr>
          <w:p w14:paraId="6FE8B2F8" w14:textId="77777777" w:rsidR="004326E4" w:rsidRPr="009721A8" w:rsidRDefault="004326E4" w:rsidP="004326E4">
            <w:pPr>
              <w:spacing w:after="120" w:line="276" w:lineRule="auto"/>
              <w:jc w:val="center"/>
              <w:rPr>
                <w:sz w:val="22"/>
                <w:szCs w:val="22"/>
              </w:rPr>
            </w:pPr>
            <w:r w:rsidRPr="009721A8">
              <w:rPr>
                <w:sz w:val="22"/>
                <w:szCs w:val="22"/>
              </w:rPr>
              <w:t>-6.58</w:t>
            </w:r>
          </w:p>
        </w:tc>
        <w:tc>
          <w:tcPr>
            <w:tcW w:w="1240" w:type="dxa"/>
            <w:noWrap/>
            <w:vAlign w:val="center"/>
            <w:hideMark/>
          </w:tcPr>
          <w:p w14:paraId="4D26CDB4" w14:textId="199E7EE0" w:rsidR="004326E4" w:rsidRPr="009721A8" w:rsidRDefault="004326E4" w:rsidP="004326E4">
            <w:pPr>
              <w:spacing w:after="120" w:line="276" w:lineRule="auto"/>
              <w:jc w:val="center"/>
              <w:rPr>
                <w:sz w:val="22"/>
                <w:szCs w:val="22"/>
              </w:rPr>
            </w:pPr>
            <w:r w:rsidRPr="009721A8">
              <w:rPr>
                <w:sz w:val="22"/>
                <w:szCs w:val="22"/>
              </w:rPr>
              <w:t>-6.9</w:t>
            </w:r>
            <w:r w:rsidR="009721A8" w:rsidRPr="009721A8">
              <w:rPr>
                <w:sz w:val="22"/>
                <w:szCs w:val="22"/>
              </w:rPr>
              <w:t>0</w:t>
            </w:r>
          </w:p>
        </w:tc>
        <w:tc>
          <w:tcPr>
            <w:tcW w:w="1240" w:type="dxa"/>
            <w:noWrap/>
            <w:vAlign w:val="center"/>
            <w:hideMark/>
          </w:tcPr>
          <w:p w14:paraId="64AE44BC" w14:textId="77777777" w:rsidR="004326E4" w:rsidRPr="009721A8" w:rsidRDefault="004326E4" w:rsidP="004326E4">
            <w:pPr>
              <w:spacing w:after="120" w:line="276" w:lineRule="auto"/>
              <w:jc w:val="center"/>
              <w:rPr>
                <w:sz w:val="22"/>
                <w:szCs w:val="22"/>
              </w:rPr>
            </w:pPr>
            <w:r w:rsidRPr="009721A8">
              <w:rPr>
                <w:sz w:val="22"/>
                <w:szCs w:val="22"/>
              </w:rPr>
              <w:t>-7.66</w:t>
            </w:r>
          </w:p>
        </w:tc>
        <w:tc>
          <w:tcPr>
            <w:tcW w:w="1240" w:type="dxa"/>
            <w:noWrap/>
            <w:vAlign w:val="center"/>
            <w:hideMark/>
          </w:tcPr>
          <w:p w14:paraId="0C8FD20B" w14:textId="70761AF5" w:rsidR="004326E4" w:rsidRPr="009721A8" w:rsidRDefault="004326E4" w:rsidP="004326E4">
            <w:pPr>
              <w:spacing w:after="120" w:line="276" w:lineRule="auto"/>
              <w:jc w:val="center"/>
              <w:rPr>
                <w:sz w:val="22"/>
                <w:szCs w:val="22"/>
              </w:rPr>
            </w:pPr>
            <w:r w:rsidRPr="009721A8">
              <w:rPr>
                <w:sz w:val="22"/>
                <w:szCs w:val="22"/>
              </w:rPr>
              <w:t>-8.8</w:t>
            </w:r>
            <w:r w:rsidR="009721A8" w:rsidRPr="009721A8">
              <w:rPr>
                <w:sz w:val="22"/>
                <w:szCs w:val="22"/>
              </w:rPr>
              <w:t>0</w:t>
            </w:r>
          </w:p>
        </w:tc>
      </w:tr>
      <w:tr w:rsidR="004326E4" w:rsidRPr="009721A8" w14:paraId="7133B9BF" w14:textId="77777777" w:rsidTr="009721A8">
        <w:trPr>
          <w:trHeight w:val="288"/>
          <w:jc w:val="center"/>
        </w:trPr>
        <w:tc>
          <w:tcPr>
            <w:tcW w:w="2048" w:type="dxa"/>
            <w:noWrap/>
            <w:vAlign w:val="center"/>
            <w:hideMark/>
          </w:tcPr>
          <w:p w14:paraId="47F47C7A" w14:textId="77777777" w:rsidR="004326E4" w:rsidRPr="009721A8" w:rsidRDefault="004326E4" w:rsidP="004326E4">
            <w:pPr>
              <w:spacing w:after="120" w:line="276" w:lineRule="auto"/>
              <w:jc w:val="center"/>
              <w:rPr>
                <w:sz w:val="22"/>
                <w:szCs w:val="22"/>
              </w:rPr>
            </w:pPr>
            <w:r w:rsidRPr="009721A8">
              <w:rPr>
                <w:sz w:val="22"/>
                <w:szCs w:val="22"/>
              </w:rPr>
              <w:t>P2X7</w:t>
            </w:r>
          </w:p>
        </w:tc>
        <w:tc>
          <w:tcPr>
            <w:tcW w:w="1296" w:type="dxa"/>
            <w:noWrap/>
            <w:vAlign w:val="center"/>
            <w:hideMark/>
          </w:tcPr>
          <w:p w14:paraId="095826F8" w14:textId="77777777" w:rsidR="004326E4" w:rsidRPr="009721A8" w:rsidRDefault="004326E4" w:rsidP="004326E4">
            <w:pPr>
              <w:spacing w:after="120" w:line="276" w:lineRule="auto"/>
              <w:jc w:val="center"/>
              <w:rPr>
                <w:sz w:val="22"/>
                <w:szCs w:val="22"/>
              </w:rPr>
            </w:pPr>
            <w:r w:rsidRPr="009721A8">
              <w:rPr>
                <w:sz w:val="22"/>
                <w:szCs w:val="22"/>
              </w:rPr>
              <w:t>-8.95</w:t>
            </w:r>
          </w:p>
        </w:tc>
        <w:tc>
          <w:tcPr>
            <w:tcW w:w="1240" w:type="dxa"/>
            <w:noWrap/>
            <w:vAlign w:val="center"/>
            <w:hideMark/>
          </w:tcPr>
          <w:p w14:paraId="15DBB8FC" w14:textId="77777777" w:rsidR="004326E4" w:rsidRPr="009721A8" w:rsidRDefault="004326E4" w:rsidP="004326E4">
            <w:pPr>
              <w:spacing w:after="120" w:line="276" w:lineRule="auto"/>
              <w:jc w:val="center"/>
              <w:rPr>
                <w:sz w:val="22"/>
                <w:szCs w:val="22"/>
              </w:rPr>
            </w:pPr>
            <w:r w:rsidRPr="009721A8">
              <w:rPr>
                <w:sz w:val="22"/>
                <w:szCs w:val="22"/>
              </w:rPr>
              <w:t>-8.92</w:t>
            </w:r>
          </w:p>
        </w:tc>
        <w:tc>
          <w:tcPr>
            <w:tcW w:w="1240" w:type="dxa"/>
            <w:noWrap/>
            <w:vAlign w:val="center"/>
            <w:hideMark/>
          </w:tcPr>
          <w:p w14:paraId="29545A90" w14:textId="77777777" w:rsidR="004326E4" w:rsidRPr="009721A8" w:rsidRDefault="004326E4" w:rsidP="004326E4">
            <w:pPr>
              <w:spacing w:after="120" w:line="276" w:lineRule="auto"/>
              <w:jc w:val="center"/>
              <w:rPr>
                <w:sz w:val="22"/>
                <w:szCs w:val="22"/>
              </w:rPr>
            </w:pPr>
            <w:r w:rsidRPr="009721A8">
              <w:rPr>
                <w:sz w:val="22"/>
                <w:szCs w:val="22"/>
              </w:rPr>
              <w:t>-8.55</w:t>
            </w:r>
          </w:p>
        </w:tc>
        <w:tc>
          <w:tcPr>
            <w:tcW w:w="1240" w:type="dxa"/>
            <w:noWrap/>
            <w:vAlign w:val="center"/>
            <w:hideMark/>
          </w:tcPr>
          <w:p w14:paraId="242316F0" w14:textId="77777777" w:rsidR="004326E4" w:rsidRPr="009721A8" w:rsidRDefault="004326E4" w:rsidP="004326E4">
            <w:pPr>
              <w:spacing w:after="120" w:line="276" w:lineRule="auto"/>
              <w:jc w:val="center"/>
              <w:rPr>
                <w:sz w:val="22"/>
                <w:szCs w:val="22"/>
              </w:rPr>
            </w:pPr>
            <w:r w:rsidRPr="009721A8">
              <w:rPr>
                <w:sz w:val="22"/>
                <w:szCs w:val="22"/>
              </w:rPr>
              <w:t>-7.49</w:t>
            </w:r>
          </w:p>
        </w:tc>
      </w:tr>
      <w:tr w:rsidR="004326E4" w:rsidRPr="009721A8" w14:paraId="76F772CC" w14:textId="77777777" w:rsidTr="009721A8">
        <w:trPr>
          <w:trHeight w:val="288"/>
          <w:jc w:val="center"/>
        </w:trPr>
        <w:tc>
          <w:tcPr>
            <w:tcW w:w="2048" w:type="dxa"/>
            <w:noWrap/>
            <w:vAlign w:val="center"/>
            <w:hideMark/>
          </w:tcPr>
          <w:p w14:paraId="6869B5F1" w14:textId="77777777" w:rsidR="004326E4" w:rsidRPr="009721A8" w:rsidRDefault="004326E4" w:rsidP="004326E4">
            <w:pPr>
              <w:spacing w:after="120" w:line="276" w:lineRule="auto"/>
              <w:jc w:val="center"/>
              <w:rPr>
                <w:sz w:val="22"/>
                <w:szCs w:val="22"/>
              </w:rPr>
            </w:pPr>
            <w:r w:rsidRPr="009721A8">
              <w:rPr>
                <w:sz w:val="22"/>
                <w:szCs w:val="22"/>
              </w:rPr>
              <w:t>nNOS</w:t>
            </w:r>
          </w:p>
        </w:tc>
        <w:tc>
          <w:tcPr>
            <w:tcW w:w="1296" w:type="dxa"/>
            <w:noWrap/>
            <w:vAlign w:val="center"/>
            <w:hideMark/>
          </w:tcPr>
          <w:p w14:paraId="3A75CB92" w14:textId="77777777" w:rsidR="004326E4" w:rsidRPr="009721A8" w:rsidRDefault="004326E4" w:rsidP="004326E4">
            <w:pPr>
              <w:spacing w:after="120" w:line="276" w:lineRule="auto"/>
              <w:jc w:val="center"/>
              <w:rPr>
                <w:sz w:val="22"/>
                <w:szCs w:val="22"/>
              </w:rPr>
            </w:pPr>
            <w:r w:rsidRPr="009721A8">
              <w:rPr>
                <w:sz w:val="22"/>
                <w:szCs w:val="22"/>
              </w:rPr>
              <w:t>-7.26</w:t>
            </w:r>
          </w:p>
        </w:tc>
        <w:tc>
          <w:tcPr>
            <w:tcW w:w="1240" w:type="dxa"/>
            <w:noWrap/>
            <w:vAlign w:val="center"/>
            <w:hideMark/>
          </w:tcPr>
          <w:p w14:paraId="540F84E4" w14:textId="77777777" w:rsidR="004326E4" w:rsidRPr="009721A8" w:rsidRDefault="004326E4" w:rsidP="004326E4">
            <w:pPr>
              <w:spacing w:after="120" w:line="276" w:lineRule="auto"/>
              <w:jc w:val="center"/>
              <w:rPr>
                <w:sz w:val="22"/>
                <w:szCs w:val="22"/>
              </w:rPr>
            </w:pPr>
            <w:r w:rsidRPr="009721A8">
              <w:rPr>
                <w:sz w:val="22"/>
                <w:szCs w:val="22"/>
              </w:rPr>
              <w:t>-7.24</w:t>
            </w:r>
          </w:p>
        </w:tc>
        <w:tc>
          <w:tcPr>
            <w:tcW w:w="1240" w:type="dxa"/>
            <w:noWrap/>
            <w:vAlign w:val="center"/>
            <w:hideMark/>
          </w:tcPr>
          <w:p w14:paraId="726A0B65" w14:textId="77777777" w:rsidR="004326E4" w:rsidRPr="009721A8" w:rsidRDefault="004326E4" w:rsidP="004326E4">
            <w:pPr>
              <w:spacing w:after="120" w:line="276" w:lineRule="auto"/>
              <w:jc w:val="center"/>
              <w:rPr>
                <w:sz w:val="22"/>
                <w:szCs w:val="22"/>
              </w:rPr>
            </w:pPr>
            <w:r w:rsidRPr="009721A8">
              <w:rPr>
                <w:sz w:val="22"/>
                <w:szCs w:val="22"/>
              </w:rPr>
              <w:t>-6.26</w:t>
            </w:r>
          </w:p>
        </w:tc>
        <w:tc>
          <w:tcPr>
            <w:tcW w:w="1240" w:type="dxa"/>
            <w:noWrap/>
            <w:vAlign w:val="center"/>
            <w:hideMark/>
          </w:tcPr>
          <w:p w14:paraId="69442976" w14:textId="77777777" w:rsidR="004326E4" w:rsidRPr="009721A8" w:rsidRDefault="004326E4" w:rsidP="004326E4">
            <w:pPr>
              <w:spacing w:after="120" w:line="276" w:lineRule="auto"/>
              <w:jc w:val="center"/>
              <w:rPr>
                <w:sz w:val="22"/>
                <w:szCs w:val="22"/>
              </w:rPr>
            </w:pPr>
            <w:r w:rsidRPr="009721A8">
              <w:rPr>
                <w:sz w:val="22"/>
                <w:szCs w:val="22"/>
              </w:rPr>
              <w:t>-7.13</w:t>
            </w:r>
          </w:p>
        </w:tc>
      </w:tr>
      <w:tr w:rsidR="004326E4" w:rsidRPr="009721A8" w14:paraId="4CED8829" w14:textId="77777777" w:rsidTr="009721A8">
        <w:trPr>
          <w:trHeight w:val="288"/>
          <w:jc w:val="center"/>
        </w:trPr>
        <w:tc>
          <w:tcPr>
            <w:tcW w:w="2048" w:type="dxa"/>
            <w:noWrap/>
            <w:vAlign w:val="center"/>
            <w:hideMark/>
          </w:tcPr>
          <w:p w14:paraId="0DFC01A3" w14:textId="77777777" w:rsidR="004326E4" w:rsidRPr="009721A8" w:rsidRDefault="004326E4" w:rsidP="004326E4">
            <w:pPr>
              <w:spacing w:after="120" w:line="276" w:lineRule="auto"/>
              <w:jc w:val="center"/>
              <w:rPr>
                <w:sz w:val="22"/>
                <w:szCs w:val="22"/>
              </w:rPr>
            </w:pPr>
            <w:r w:rsidRPr="009721A8">
              <w:rPr>
                <w:sz w:val="22"/>
                <w:szCs w:val="22"/>
              </w:rPr>
              <w:t>P450</w:t>
            </w:r>
          </w:p>
        </w:tc>
        <w:tc>
          <w:tcPr>
            <w:tcW w:w="1296" w:type="dxa"/>
            <w:noWrap/>
            <w:vAlign w:val="center"/>
            <w:hideMark/>
          </w:tcPr>
          <w:p w14:paraId="17D771B4" w14:textId="77777777" w:rsidR="004326E4" w:rsidRPr="009721A8" w:rsidRDefault="004326E4" w:rsidP="004326E4">
            <w:pPr>
              <w:spacing w:after="120" w:line="276" w:lineRule="auto"/>
              <w:jc w:val="center"/>
              <w:rPr>
                <w:sz w:val="22"/>
                <w:szCs w:val="22"/>
              </w:rPr>
            </w:pPr>
            <w:r w:rsidRPr="009721A8">
              <w:rPr>
                <w:sz w:val="22"/>
                <w:szCs w:val="22"/>
              </w:rPr>
              <w:t>-6.29</w:t>
            </w:r>
          </w:p>
        </w:tc>
        <w:tc>
          <w:tcPr>
            <w:tcW w:w="1240" w:type="dxa"/>
            <w:noWrap/>
            <w:vAlign w:val="center"/>
            <w:hideMark/>
          </w:tcPr>
          <w:p w14:paraId="3F31D5AA" w14:textId="77777777" w:rsidR="004326E4" w:rsidRPr="009721A8" w:rsidRDefault="004326E4" w:rsidP="004326E4">
            <w:pPr>
              <w:spacing w:after="120" w:line="276" w:lineRule="auto"/>
              <w:jc w:val="center"/>
              <w:rPr>
                <w:sz w:val="22"/>
                <w:szCs w:val="22"/>
              </w:rPr>
            </w:pPr>
            <w:r w:rsidRPr="009721A8">
              <w:rPr>
                <w:sz w:val="22"/>
                <w:szCs w:val="22"/>
              </w:rPr>
              <w:t>-6.31</w:t>
            </w:r>
          </w:p>
        </w:tc>
        <w:tc>
          <w:tcPr>
            <w:tcW w:w="1240" w:type="dxa"/>
            <w:noWrap/>
            <w:vAlign w:val="center"/>
            <w:hideMark/>
          </w:tcPr>
          <w:p w14:paraId="75DEBB56" w14:textId="77777777" w:rsidR="004326E4" w:rsidRPr="009721A8" w:rsidRDefault="004326E4" w:rsidP="004326E4">
            <w:pPr>
              <w:spacing w:after="120" w:line="276" w:lineRule="auto"/>
              <w:jc w:val="center"/>
              <w:rPr>
                <w:sz w:val="22"/>
                <w:szCs w:val="22"/>
              </w:rPr>
            </w:pPr>
            <w:r w:rsidRPr="009721A8">
              <w:rPr>
                <w:sz w:val="22"/>
                <w:szCs w:val="22"/>
              </w:rPr>
              <w:t>-8.096</w:t>
            </w:r>
          </w:p>
        </w:tc>
        <w:tc>
          <w:tcPr>
            <w:tcW w:w="1240" w:type="dxa"/>
            <w:noWrap/>
            <w:vAlign w:val="center"/>
            <w:hideMark/>
          </w:tcPr>
          <w:p w14:paraId="7CC5D79C" w14:textId="77777777" w:rsidR="004326E4" w:rsidRPr="009721A8" w:rsidRDefault="004326E4" w:rsidP="004326E4">
            <w:pPr>
              <w:spacing w:after="120" w:line="276" w:lineRule="auto"/>
              <w:jc w:val="center"/>
              <w:rPr>
                <w:sz w:val="22"/>
                <w:szCs w:val="22"/>
              </w:rPr>
            </w:pPr>
            <w:r w:rsidRPr="009721A8">
              <w:rPr>
                <w:sz w:val="22"/>
                <w:szCs w:val="22"/>
              </w:rPr>
              <w:t>-9.65</w:t>
            </w:r>
          </w:p>
        </w:tc>
      </w:tr>
      <w:tr w:rsidR="004326E4" w:rsidRPr="009721A8" w14:paraId="242D99AF" w14:textId="77777777" w:rsidTr="009721A8">
        <w:trPr>
          <w:trHeight w:val="288"/>
          <w:jc w:val="center"/>
        </w:trPr>
        <w:tc>
          <w:tcPr>
            <w:tcW w:w="2048" w:type="dxa"/>
            <w:noWrap/>
            <w:vAlign w:val="center"/>
            <w:hideMark/>
          </w:tcPr>
          <w:p w14:paraId="4F8D7CE9" w14:textId="77777777" w:rsidR="004326E4" w:rsidRPr="009721A8" w:rsidRDefault="004326E4" w:rsidP="004326E4">
            <w:pPr>
              <w:spacing w:after="120" w:line="276" w:lineRule="auto"/>
              <w:jc w:val="center"/>
              <w:rPr>
                <w:sz w:val="22"/>
                <w:szCs w:val="22"/>
              </w:rPr>
            </w:pPr>
            <w:r w:rsidRPr="009721A8">
              <w:rPr>
                <w:sz w:val="22"/>
                <w:szCs w:val="22"/>
              </w:rPr>
              <w:t>OATP1B1</w:t>
            </w:r>
          </w:p>
        </w:tc>
        <w:tc>
          <w:tcPr>
            <w:tcW w:w="1296" w:type="dxa"/>
            <w:noWrap/>
            <w:vAlign w:val="center"/>
            <w:hideMark/>
          </w:tcPr>
          <w:p w14:paraId="01FDE5B1" w14:textId="77777777" w:rsidR="004326E4" w:rsidRPr="009721A8" w:rsidRDefault="004326E4" w:rsidP="004326E4">
            <w:pPr>
              <w:spacing w:after="120" w:line="276" w:lineRule="auto"/>
              <w:jc w:val="center"/>
              <w:rPr>
                <w:sz w:val="22"/>
                <w:szCs w:val="22"/>
              </w:rPr>
            </w:pPr>
            <w:r w:rsidRPr="009721A8">
              <w:rPr>
                <w:sz w:val="22"/>
                <w:szCs w:val="22"/>
              </w:rPr>
              <w:t>-8.42</w:t>
            </w:r>
          </w:p>
        </w:tc>
        <w:tc>
          <w:tcPr>
            <w:tcW w:w="1240" w:type="dxa"/>
            <w:noWrap/>
            <w:vAlign w:val="center"/>
            <w:hideMark/>
          </w:tcPr>
          <w:p w14:paraId="04617220" w14:textId="77777777" w:rsidR="004326E4" w:rsidRPr="009721A8" w:rsidRDefault="004326E4" w:rsidP="004326E4">
            <w:pPr>
              <w:spacing w:after="120" w:line="276" w:lineRule="auto"/>
              <w:jc w:val="center"/>
              <w:rPr>
                <w:sz w:val="22"/>
                <w:szCs w:val="22"/>
              </w:rPr>
            </w:pPr>
            <w:r w:rsidRPr="009721A8">
              <w:rPr>
                <w:sz w:val="22"/>
                <w:szCs w:val="22"/>
              </w:rPr>
              <w:t>-8.17</w:t>
            </w:r>
          </w:p>
        </w:tc>
        <w:tc>
          <w:tcPr>
            <w:tcW w:w="1240" w:type="dxa"/>
            <w:noWrap/>
            <w:vAlign w:val="center"/>
            <w:hideMark/>
          </w:tcPr>
          <w:p w14:paraId="2963D94B" w14:textId="77777777" w:rsidR="004326E4" w:rsidRPr="009721A8" w:rsidRDefault="004326E4" w:rsidP="004326E4">
            <w:pPr>
              <w:spacing w:after="120" w:line="276" w:lineRule="auto"/>
              <w:jc w:val="center"/>
              <w:rPr>
                <w:sz w:val="22"/>
                <w:szCs w:val="22"/>
              </w:rPr>
            </w:pPr>
            <w:r w:rsidRPr="009721A8">
              <w:rPr>
                <w:sz w:val="22"/>
                <w:szCs w:val="22"/>
              </w:rPr>
              <w:t>-8.229</w:t>
            </w:r>
          </w:p>
        </w:tc>
        <w:tc>
          <w:tcPr>
            <w:tcW w:w="1240" w:type="dxa"/>
            <w:noWrap/>
            <w:vAlign w:val="center"/>
            <w:hideMark/>
          </w:tcPr>
          <w:p w14:paraId="7693EE65" w14:textId="7DF5230F" w:rsidR="004326E4" w:rsidRPr="009721A8" w:rsidRDefault="004326E4" w:rsidP="004326E4">
            <w:pPr>
              <w:spacing w:after="120" w:line="276" w:lineRule="auto"/>
              <w:jc w:val="center"/>
              <w:rPr>
                <w:sz w:val="22"/>
                <w:szCs w:val="22"/>
              </w:rPr>
            </w:pPr>
            <w:r w:rsidRPr="009721A8">
              <w:rPr>
                <w:sz w:val="22"/>
                <w:szCs w:val="22"/>
              </w:rPr>
              <w:t>-8.2</w:t>
            </w:r>
            <w:r w:rsidR="009721A8" w:rsidRPr="009721A8">
              <w:rPr>
                <w:sz w:val="22"/>
                <w:szCs w:val="22"/>
              </w:rPr>
              <w:t>0</w:t>
            </w:r>
          </w:p>
        </w:tc>
      </w:tr>
      <w:tr w:rsidR="004326E4" w:rsidRPr="009721A8" w14:paraId="4A4D7393" w14:textId="77777777" w:rsidTr="009721A8">
        <w:trPr>
          <w:trHeight w:val="288"/>
          <w:jc w:val="center"/>
        </w:trPr>
        <w:tc>
          <w:tcPr>
            <w:tcW w:w="2048" w:type="dxa"/>
            <w:noWrap/>
            <w:vAlign w:val="center"/>
            <w:hideMark/>
          </w:tcPr>
          <w:p w14:paraId="046D898C" w14:textId="77777777" w:rsidR="004326E4" w:rsidRPr="009721A8" w:rsidRDefault="004326E4" w:rsidP="004326E4">
            <w:pPr>
              <w:spacing w:after="120" w:line="276" w:lineRule="auto"/>
              <w:jc w:val="center"/>
              <w:rPr>
                <w:sz w:val="22"/>
                <w:szCs w:val="22"/>
              </w:rPr>
            </w:pPr>
            <w:r w:rsidRPr="009721A8">
              <w:rPr>
                <w:sz w:val="22"/>
                <w:szCs w:val="22"/>
              </w:rPr>
              <w:t>UGT2B15</w:t>
            </w:r>
          </w:p>
        </w:tc>
        <w:tc>
          <w:tcPr>
            <w:tcW w:w="1296" w:type="dxa"/>
            <w:noWrap/>
            <w:vAlign w:val="center"/>
            <w:hideMark/>
          </w:tcPr>
          <w:p w14:paraId="79427175" w14:textId="77777777" w:rsidR="004326E4" w:rsidRPr="009721A8" w:rsidRDefault="004326E4" w:rsidP="004326E4">
            <w:pPr>
              <w:spacing w:after="120" w:line="276" w:lineRule="auto"/>
              <w:jc w:val="center"/>
              <w:rPr>
                <w:sz w:val="22"/>
                <w:szCs w:val="22"/>
              </w:rPr>
            </w:pPr>
            <w:r w:rsidRPr="009721A8">
              <w:rPr>
                <w:sz w:val="22"/>
                <w:szCs w:val="22"/>
              </w:rPr>
              <w:t>-8.08</w:t>
            </w:r>
          </w:p>
        </w:tc>
        <w:tc>
          <w:tcPr>
            <w:tcW w:w="1240" w:type="dxa"/>
            <w:noWrap/>
            <w:vAlign w:val="center"/>
            <w:hideMark/>
          </w:tcPr>
          <w:p w14:paraId="05079F27" w14:textId="77777777" w:rsidR="004326E4" w:rsidRPr="009721A8" w:rsidRDefault="004326E4" w:rsidP="004326E4">
            <w:pPr>
              <w:spacing w:after="120" w:line="276" w:lineRule="auto"/>
              <w:jc w:val="center"/>
              <w:rPr>
                <w:sz w:val="22"/>
                <w:szCs w:val="22"/>
              </w:rPr>
            </w:pPr>
            <w:r w:rsidRPr="009721A8">
              <w:rPr>
                <w:sz w:val="22"/>
                <w:szCs w:val="22"/>
              </w:rPr>
              <w:t>-7.72</w:t>
            </w:r>
          </w:p>
        </w:tc>
        <w:tc>
          <w:tcPr>
            <w:tcW w:w="1240" w:type="dxa"/>
            <w:noWrap/>
            <w:vAlign w:val="center"/>
            <w:hideMark/>
          </w:tcPr>
          <w:p w14:paraId="10714235" w14:textId="77777777" w:rsidR="004326E4" w:rsidRPr="009721A8" w:rsidRDefault="004326E4" w:rsidP="004326E4">
            <w:pPr>
              <w:spacing w:after="120" w:line="276" w:lineRule="auto"/>
              <w:jc w:val="center"/>
              <w:rPr>
                <w:sz w:val="22"/>
                <w:szCs w:val="22"/>
              </w:rPr>
            </w:pPr>
            <w:r w:rsidRPr="009721A8">
              <w:rPr>
                <w:sz w:val="22"/>
                <w:szCs w:val="22"/>
              </w:rPr>
              <w:t>-6.109</w:t>
            </w:r>
          </w:p>
        </w:tc>
        <w:tc>
          <w:tcPr>
            <w:tcW w:w="1240" w:type="dxa"/>
            <w:noWrap/>
            <w:vAlign w:val="center"/>
            <w:hideMark/>
          </w:tcPr>
          <w:p w14:paraId="6405B714" w14:textId="77777777" w:rsidR="004326E4" w:rsidRPr="009721A8" w:rsidRDefault="004326E4" w:rsidP="004326E4">
            <w:pPr>
              <w:spacing w:after="120" w:line="276" w:lineRule="auto"/>
              <w:jc w:val="center"/>
              <w:rPr>
                <w:sz w:val="22"/>
                <w:szCs w:val="22"/>
              </w:rPr>
            </w:pPr>
            <w:r w:rsidRPr="009721A8">
              <w:rPr>
                <w:sz w:val="22"/>
                <w:szCs w:val="22"/>
              </w:rPr>
              <w:t>-6.42</w:t>
            </w:r>
          </w:p>
        </w:tc>
      </w:tr>
    </w:tbl>
    <w:p w14:paraId="0C559716" w14:textId="77777777" w:rsidR="00B429BC" w:rsidRDefault="00B429BC" w:rsidP="00B3064D">
      <w:pPr>
        <w:spacing w:after="120" w:line="276" w:lineRule="auto"/>
        <w:rPr>
          <w:sz w:val="24"/>
          <w:szCs w:val="24"/>
          <w:lang w:val="en-US"/>
        </w:rPr>
      </w:pPr>
    </w:p>
    <w:p w14:paraId="2F740527" w14:textId="77777777" w:rsidR="00284510" w:rsidRPr="00284510" w:rsidRDefault="00284510" w:rsidP="00284510">
      <w:pPr>
        <w:spacing w:after="120" w:line="276" w:lineRule="auto"/>
        <w:rPr>
          <w:sz w:val="24"/>
          <w:szCs w:val="24"/>
          <w:lang w:val="en-US"/>
        </w:rPr>
      </w:pPr>
      <w:r w:rsidRPr="00284510">
        <w:rPr>
          <w:sz w:val="24"/>
          <w:szCs w:val="24"/>
          <w:lang w:val="en-US"/>
        </w:rPr>
        <w:t>To more precisely compare the relative affinities of Trofinetide and GPE for endogenous substrates (ES) and reference modulators (RM), the polygenic score was estimated. A positive value indicates that the compound has a higher affinity than the reference substrate or modulator, while a negative value indicates the opposite.</w:t>
      </w:r>
    </w:p>
    <w:p w14:paraId="0E4AD22C" w14:textId="461E4D8F" w:rsidR="00284510" w:rsidRPr="00B429BC" w:rsidRDefault="00284510" w:rsidP="00284510">
      <w:pPr>
        <w:spacing w:after="120" w:line="276" w:lineRule="auto"/>
        <w:rPr>
          <w:sz w:val="24"/>
          <w:szCs w:val="24"/>
          <w:lang w:val="en-US"/>
        </w:rPr>
      </w:pPr>
      <w:r w:rsidRPr="00284510">
        <w:rPr>
          <w:sz w:val="24"/>
          <w:szCs w:val="24"/>
          <w:lang w:val="en-US"/>
        </w:rPr>
        <w:t xml:space="preserve">The graph based on endogenous substrates (Figure 1, top) revealed that both trofinetide and GPE displayed higher affinities for several targets involved in neurotransmission, including GABAB, GABAA, GAT1, and CHRM1, among others. Overall, Trofinetide displayed slightly higher scores than GPE for this set of targets, suggesting a more favorable interaction profile. In contrast, GPE displayed a higher score only for MAO-B, which could reflect differential modulation of this signaling pathway. Notably, both compounds exhibited positive values ​​for P2X7, a receptor with experimental implications for microglial activation in models of Rett syndrome (ref). In contrast, the reference modulator-based </w:t>
      </w:r>
      <w:r w:rsidRPr="00284510">
        <w:rPr>
          <w:sz w:val="24"/>
          <w:szCs w:val="24"/>
          <w:lang w:val="en-US"/>
        </w:rPr>
        <w:lastRenderedPageBreak/>
        <w:t xml:space="preserve">graph (Figure 1, bottom) showed predominantly negative values, which was expected since these compounds were specifically designed to exhibit high affinity for their respective receptors. However, </w:t>
      </w:r>
      <w:r w:rsidR="008A1DBB">
        <w:rPr>
          <w:sz w:val="24"/>
          <w:szCs w:val="24"/>
          <w:lang w:val="en-US"/>
        </w:rPr>
        <w:t>T</w:t>
      </w:r>
      <w:r w:rsidRPr="00284510">
        <w:rPr>
          <w:sz w:val="24"/>
          <w:szCs w:val="24"/>
          <w:lang w:val="en-US"/>
        </w:rPr>
        <w:t xml:space="preserve">rofinetide maintained a competitive relative affinity against several pathophysiologically relevant targets, such as GSK3β, nNOS, and P2X7, all of which are linked to neuroinflammation and oxidative stress processes in RTT. Once again, these findings reinforce the hypothesis of a possible multitarget modulatory effect of </w:t>
      </w:r>
      <w:r w:rsidR="008A1DBB">
        <w:rPr>
          <w:sz w:val="24"/>
          <w:szCs w:val="24"/>
          <w:lang w:val="en-US"/>
        </w:rPr>
        <w:t>T</w:t>
      </w:r>
      <w:r w:rsidRPr="00284510">
        <w:rPr>
          <w:sz w:val="24"/>
          <w:szCs w:val="24"/>
          <w:lang w:val="en-US"/>
        </w:rPr>
        <w:t>rofinetide.</w:t>
      </w:r>
    </w:p>
    <w:p w14:paraId="59BEB085" w14:textId="556DBB53" w:rsidR="00B429BC" w:rsidRDefault="00A9592D" w:rsidP="00A9592D">
      <w:pPr>
        <w:spacing w:after="120" w:line="276" w:lineRule="auto"/>
        <w:jc w:val="center"/>
        <w:rPr>
          <w:sz w:val="24"/>
          <w:szCs w:val="24"/>
          <w:lang w:val="en-US"/>
        </w:rPr>
      </w:pPr>
      <w:r>
        <w:rPr>
          <w:noProof/>
          <w:sz w:val="24"/>
          <w:szCs w:val="24"/>
          <w:lang w:val="en-US"/>
        </w:rPr>
        <w:drawing>
          <wp:inline distT="0" distB="0" distL="0" distR="0" wp14:anchorId="064A1408" wp14:editId="5EE420DB">
            <wp:extent cx="4500000" cy="3902426"/>
            <wp:effectExtent l="0" t="0" r="0" b="3175"/>
            <wp:docPr id="14741419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0000" cy="3902426"/>
                    </a:xfrm>
                    <a:prstGeom prst="rect">
                      <a:avLst/>
                    </a:prstGeom>
                    <a:noFill/>
                  </pic:spPr>
                </pic:pic>
              </a:graphicData>
            </a:graphic>
          </wp:inline>
        </w:drawing>
      </w:r>
    </w:p>
    <w:p w14:paraId="01BFC78A" w14:textId="42DFA937" w:rsidR="00A9592D" w:rsidRDefault="00A9592D" w:rsidP="00A9592D">
      <w:pPr>
        <w:spacing w:after="120" w:line="276" w:lineRule="auto"/>
        <w:jc w:val="center"/>
        <w:rPr>
          <w:sz w:val="24"/>
          <w:szCs w:val="24"/>
          <w:lang w:val="en-US"/>
        </w:rPr>
      </w:pPr>
      <w:r>
        <w:rPr>
          <w:noProof/>
          <w:sz w:val="24"/>
          <w:szCs w:val="24"/>
          <w:lang w:val="en-US"/>
        </w:rPr>
        <w:lastRenderedPageBreak/>
        <w:drawing>
          <wp:inline distT="0" distB="0" distL="0" distR="0" wp14:anchorId="5BA111E5" wp14:editId="0681F187">
            <wp:extent cx="4500000" cy="3898588"/>
            <wp:effectExtent l="0" t="0" r="0" b="6985"/>
            <wp:docPr id="544623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0000" cy="3898588"/>
                    </a:xfrm>
                    <a:prstGeom prst="rect">
                      <a:avLst/>
                    </a:prstGeom>
                    <a:noFill/>
                  </pic:spPr>
                </pic:pic>
              </a:graphicData>
            </a:graphic>
          </wp:inline>
        </w:drawing>
      </w:r>
    </w:p>
    <w:p w14:paraId="306DD0EE" w14:textId="20BBE748" w:rsidR="00284510" w:rsidRDefault="00A9592D" w:rsidP="00284510">
      <w:pPr>
        <w:spacing w:after="120" w:line="276" w:lineRule="auto"/>
        <w:jc w:val="center"/>
        <w:rPr>
          <w:sz w:val="24"/>
          <w:szCs w:val="24"/>
          <w:lang w:val="en-US"/>
        </w:rPr>
      </w:pPr>
      <w:r w:rsidRPr="00284510">
        <w:rPr>
          <w:b/>
          <w:bCs/>
          <w:sz w:val="24"/>
          <w:szCs w:val="24"/>
          <w:lang w:val="en-US"/>
        </w:rPr>
        <w:t>Figure 1.</w:t>
      </w:r>
      <w:r w:rsidRPr="00284510">
        <w:rPr>
          <w:sz w:val="24"/>
          <w:szCs w:val="24"/>
          <w:lang w:val="en-US"/>
        </w:rPr>
        <w:t xml:space="preserve"> </w:t>
      </w:r>
      <w:r w:rsidR="00284510" w:rsidRPr="00284510">
        <w:rPr>
          <w:sz w:val="24"/>
          <w:szCs w:val="24"/>
          <w:lang w:val="en-US"/>
        </w:rPr>
        <w:t>Trofinetide and GPE polygenic score</w:t>
      </w:r>
      <w:r w:rsidR="00284510">
        <w:rPr>
          <w:sz w:val="24"/>
          <w:szCs w:val="24"/>
          <w:lang w:val="en-US"/>
        </w:rPr>
        <w:t xml:space="preserve"> plot</w:t>
      </w:r>
      <w:r w:rsidR="00F11639">
        <w:rPr>
          <w:sz w:val="24"/>
          <w:szCs w:val="24"/>
          <w:lang w:val="en-US"/>
        </w:rPr>
        <w:t xml:space="preserve"> relative to </w:t>
      </w:r>
      <w:r w:rsidR="006F663F">
        <w:rPr>
          <w:sz w:val="24"/>
          <w:szCs w:val="24"/>
          <w:lang w:val="en-US"/>
        </w:rPr>
        <w:t>endogenous</w:t>
      </w:r>
      <w:r w:rsidR="00F11639">
        <w:rPr>
          <w:sz w:val="24"/>
          <w:szCs w:val="24"/>
          <w:lang w:val="en-US"/>
        </w:rPr>
        <w:t xml:space="preserve"> substrate (top) and reference modulator (bottom).</w:t>
      </w:r>
      <w:r w:rsidR="006F663F">
        <w:rPr>
          <w:sz w:val="24"/>
          <w:szCs w:val="24"/>
          <w:lang w:val="en-US"/>
        </w:rPr>
        <w:t xml:space="preserve"> </w:t>
      </w:r>
    </w:p>
    <w:p w14:paraId="57557B7A" w14:textId="77777777" w:rsidR="00284510" w:rsidRDefault="00284510" w:rsidP="00284510">
      <w:pPr>
        <w:spacing w:after="120" w:line="276" w:lineRule="auto"/>
        <w:jc w:val="center"/>
        <w:rPr>
          <w:sz w:val="24"/>
          <w:szCs w:val="24"/>
          <w:lang w:val="en-US"/>
        </w:rPr>
      </w:pPr>
    </w:p>
    <w:p w14:paraId="070A6731" w14:textId="77777777" w:rsidR="00284510" w:rsidRPr="00284510" w:rsidRDefault="00284510" w:rsidP="00284510">
      <w:pPr>
        <w:spacing w:after="120" w:line="276" w:lineRule="auto"/>
        <w:jc w:val="center"/>
        <w:rPr>
          <w:sz w:val="24"/>
          <w:szCs w:val="24"/>
          <w:lang w:val="en-US"/>
        </w:rPr>
      </w:pPr>
    </w:p>
    <w:p w14:paraId="29BD2E8B" w14:textId="1444DA0D" w:rsidR="00B3064D" w:rsidRPr="008B3BD9" w:rsidRDefault="00B3064D" w:rsidP="00284510">
      <w:pPr>
        <w:spacing w:after="120" w:line="276" w:lineRule="auto"/>
        <w:rPr>
          <w:b/>
          <w:bCs/>
          <w:sz w:val="24"/>
          <w:szCs w:val="24"/>
          <w:lang w:val="en-US"/>
        </w:rPr>
      </w:pPr>
      <w:r w:rsidRPr="008B3BD9">
        <w:rPr>
          <w:b/>
          <w:bCs/>
          <w:sz w:val="24"/>
          <w:szCs w:val="24"/>
          <w:lang w:val="en-US"/>
        </w:rPr>
        <w:t>Conclusions</w:t>
      </w:r>
    </w:p>
    <w:p w14:paraId="51BF55DF" w14:textId="77777777" w:rsidR="00034761" w:rsidRPr="008B3BD9" w:rsidRDefault="00034761" w:rsidP="00B3064D">
      <w:pPr>
        <w:spacing w:after="120" w:line="276" w:lineRule="auto"/>
        <w:rPr>
          <w:sz w:val="24"/>
          <w:szCs w:val="24"/>
          <w:lang w:val="en-US"/>
        </w:rPr>
      </w:pPr>
    </w:p>
    <w:p w14:paraId="489EEBF8" w14:textId="77777777" w:rsidR="008B3BD9" w:rsidRPr="008B3BD9" w:rsidRDefault="008B3BD9" w:rsidP="008B3BD9">
      <w:pPr>
        <w:spacing w:after="120" w:line="276" w:lineRule="auto"/>
        <w:rPr>
          <w:b/>
          <w:bCs/>
          <w:sz w:val="24"/>
          <w:szCs w:val="24"/>
          <w:lang w:val="en-US"/>
        </w:rPr>
      </w:pPr>
      <w:r w:rsidRPr="008B3BD9">
        <w:rPr>
          <w:b/>
          <w:bCs/>
          <w:sz w:val="24"/>
          <w:szCs w:val="24"/>
          <w:lang w:val="en-US"/>
        </w:rPr>
        <w:t>Acknowledgements</w:t>
      </w:r>
    </w:p>
    <w:p w14:paraId="3C141940" w14:textId="1B16260B" w:rsidR="00B3064D" w:rsidRPr="008B3BD9" w:rsidRDefault="008B3BD9" w:rsidP="008B3BD9">
      <w:pPr>
        <w:spacing w:after="120" w:line="276" w:lineRule="auto"/>
        <w:rPr>
          <w:sz w:val="24"/>
          <w:szCs w:val="24"/>
          <w:lang w:val="en-US"/>
        </w:rPr>
      </w:pPr>
      <w:r w:rsidRPr="008B3BD9">
        <w:rPr>
          <w:sz w:val="24"/>
          <w:szCs w:val="24"/>
          <w:lang w:val="en-US"/>
        </w:rPr>
        <w:t xml:space="preserve">The work in Mexico was supported by </w:t>
      </w:r>
      <w:r>
        <w:rPr>
          <w:sz w:val="24"/>
          <w:szCs w:val="24"/>
          <w:lang w:val="en-US"/>
        </w:rPr>
        <w:t xml:space="preserve">Ciencias Básica y de Frontrera </w:t>
      </w:r>
      <w:r w:rsidRPr="008B3BD9">
        <w:rPr>
          <w:sz w:val="24"/>
          <w:szCs w:val="24"/>
          <w:lang w:val="en-US"/>
        </w:rPr>
        <w:t>project</w:t>
      </w:r>
      <w:r>
        <w:rPr>
          <w:sz w:val="24"/>
          <w:szCs w:val="24"/>
          <w:lang w:val="en-US"/>
        </w:rPr>
        <w:t xml:space="preserve"> </w:t>
      </w:r>
      <w:r w:rsidRPr="008B3BD9">
        <w:rPr>
          <w:sz w:val="24"/>
          <w:szCs w:val="24"/>
          <w:lang w:val="en-US"/>
        </w:rPr>
        <w:t xml:space="preserve"> SECIHTI No. </w:t>
      </w:r>
      <w:r w:rsidRPr="008B3BD9">
        <w:rPr>
          <w:sz w:val="24"/>
          <w:szCs w:val="24"/>
        </w:rPr>
        <w:t xml:space="preserve">CBF2023-2024-1141. </w:t>
      </w:r>
      <w:r w:rsidRPr="008B3BD9">
        <w:rPr>
          <w:sz w:val="24"/>
          <w:szCs w:val="24"/>
          <w:lang w:val="en-US"/>
        </w:rPr>
        <w:t xml:space="preserve">We thank the </w:t>
      </w:r>
      <w:r w:rsidRPr="008B3BD9">
        <w:rPr>
          <w:sz w:val="24"/>
          <w:szCs w:val="24"/>
          <w:lang w:val="en-US"/>
        </w:rPr>
        <w:t xml:space="preserve">Yoltla and Miztli </w:t>
      </w:r>
      <w:r w:rsidRPr="008B3BD9">
        <w:rPr>
          <w:sz w:val="24"/>
          <w:szCs w:val="24"/>
          <w:lang w:val="en-US"/>
        </w:rPr>
        <w:t>Cluster</w:t>
      </w:r>
      <w:r w:rsidRPr="008B3BD9">
        <w:rPr>
          <w:sz w:val="24"/>
          <w:szCs w:val="24"/>
          <w:lang w:val="en-US"/>
        </w:rPr>
        <w:t>s f</w:t>
      </w:r>
      <w:r w:rsidRPr="008B3BD9">
        <w:rPr>
          <w:sz w:val="24"/>
          <w:szCs w:val="24"/>
          <w:lang w:val="en-US"/>
        </w:rPr>
        <w:t>or the computing</w:t>
      </w:r>
      <w:r w:rsidRPr="008B3BD9">
        <w:rPr>
          <w:sz w:val="24"/>
          <w:szCs w:val="24"/>
          <w:lang w:val="en-US"/>
        </w:rPr>
        <w:t xml:space="preserve"> r</w:t>
      </w:r>
      <w:r>
        <w:rPr>
          <w:sz w:val="24"/>
          <w:szCs w:val="24"/>
          <w:lang w:val="en-US"/>
        </w:rPr>
        <w:t>esources.</w:t>
      </w:r>
      <w:r w:rsidRPr="008B3BD9">
        <w:rPr>
          <w:sz w:val="24"/>
          <w:szCs w:val="24"/>
          <w:lang w:val="en-US"/>
        </w:rPr>
        <w:t xml:space="preserve"> L.F.H.A thanks to Estancias Posdoctorales por México (2022) SECIHTI program for the postdoctoral grant.  </w:t>
      </w:r>
    </w:p>
    <w:p w14:paraId="344E2D58" w14:textId="77777777" w:rsidR="00034761" w:rsidRPr="006C7CE9" w:rsidRDefault="00000000" w:rsidP="00F2115E">
      <w:pPr>
        <w:spacing w:after="120" w:line="276" w:lineRule="auto"/>
        <w:rPr>
          <w:rFonts w:asciiTheme="majorBidi" w:hAnsiTheme="majorBidi" w:cstheme="majorBidi"/>
          <w:b/>
          <w:bCs/>
          <w:sz w:val="24"/>
          <w:szCs w:val="24"/>
          <w:lang w:val="fr-FR"/>
        </w:rPr>
      </w:pPr>
      <w:r w:rsidRPr="006C7CE9">
        <w:rPr>
          <w:rFonts w:asciiTheme="majorBidi" w:hAnsiTheme="majorBidi" w:cstheme="majorBidi"/>
          <w:b/>
          <w:bCs/>
          <w:sz w:val="24"/>
          <w:szCs w:val="24"/>
          <w:lang w:val="fr-FR"/>
        </w:rPr>
        <w:t>References</w:t>
      </w:r>
    </w:p>
    <w:p w14:paraId="362E60EF" w14:textId="77777777" w:rsidR="00034761" w:rsidRPr="00F2115E" w:rsidRDefault="00000000" w:rsidP="00F2115E">
      <w:pPr>
        <w:spacing w:after="120" w:line="276" w:lineRule="auto"/>
        <w:rPr>
          <w:rFonts w:asciiTheme="majorBidi" w:hAnsiTheme="majorBidi" w:cstheme="majorBidi"/>
          <w:sz w:val="24"/>
          <w:szCs w:val="24"/>
          <w:lang w:val="en-US"/>
        </w:rPr>
      </w:pPr>
      <w:r w:rsidRPr="006C7CE9">
        <w:rPr>
          <w:rFonts w:asciiTheme="majorBidi" w:hAnsiTheme="majorBidi" w:cstheme="majorBidi"/>
          <w:sz w:val="24"/>
          <w:szCs w:val="24"/>
          <w:lang w:val="fr-FR"/>
        </w:rPr>
        <w:t xml:space="preserve">1. Neul JL, et al. </w:t>
      </w:r>
      <w:r w:rsidRPr="00F2115E">
        <w:rPr>
          <w:rFonts w:asciiTheme="majorBidi" w:hAnsiTheme="majorBidi" w:cstheme="majorBidi"/>
          <w:sz w:val="24"/>
          <w:szCs w:val="24"/>
          <w:lang w:val="en-US"/>
        </w:rPr>
        <w:t>Rett syndrome: Revised diagnostic criteria and nomenclature. Ann Neurol. 2010;68(6):944–950. https://pubmed.ncbi.nlm.nih.gov/21154482/</w:t>
      </w:r>
    </w:p>
    <w:p w14:paraId="2C49941B" w14:textId="77777777" w:rsidR="00034761" w:rsidRPr="00F2115E" w:rsidRDefault="0000000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2. Buchovecky CM, et al. The role of mitochondria in Rett syndrome. Dis Model Mech. 2013;6(1):17–25. https://www.ncbi.nlm.nih.gov/pmc/articles/PMC3537514/</w:t>
      </w:r>
    </w:p>
    <w:p w14:paraId="1DC39D23" w14:textId="308FC1B9" w:rsidR="00034761" w:rsidRPr="008B3BD9" w:rsidRDefault="0000000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lastRenderedPageBreak/>
        <w:t xml:space="preserve">3. Panighini A, et al. Dysregulation of lipid metabolism in Rett syndrome models. </w:t>
      </w:r>
      <w:r w:rsidRPr="008B3BD9">
        <w:rPr>
          <w:rFonts w:asciiTheme="majorBidi" w:hAnsiTheme="majorBidi" w:cstheme="majorBidi"/>
          <w:sz w:val="24"/>
          <w:szCs w:val="24"/>
          <w:lang w:val="en-US"/>
        </w:rPr>
        <w:t>Neurobiol Dis. 2013;</w:t>
      </w:r>
      <w:r w:rsidR="0085471F" w:rsidRPr="008B3BD9">
        <w:rPr>
          <w:rFonts w:asciiTheme="majorBidi" w:hAnsiTheme="majorBidi" w:cstheme="majorBidi"/>
          <w:sz w:val="24"/>
          <w:szCs w:val="24"/>
          <w:lang w:val="en-US"/>
        </w:rPr>
        <w:t xml:space="preserve"> </w:t>
      </w:r>
      <w:r w:rsidRPr="008B3BD9">
        <w:rPr>
          <w:rFonts w:asciiTheme="majorBidi" w:hAnsiTheme="majorBidi" w:cstheme="majorBidi"/>
          <w:sz w:val="24"/>
          <w:szCs w:val="24"/>
          <w:lang w:val="en-US"/>
        </w:rPr>
        <w:t xml:space="preserve">50:140–149. </w:t>
      </w:r>
      <w:hyperlink r:id="rId9" w:history="1">
        <w:r w:rsidR="00034761" w:rsidRPr="008B3BD9">
          <w:rPr>
            <w:rFonts w:asciiTheme="majorBidi" w:hAnsiTheme="majorBidi" w:cstheme="majorBidi"/>
            <w:sz w:val="24"/>
            <w:szCs w:val="24"/>
            <w:lang w:val="en-US"/>
          </w:rPr>
          <w:t>https://pubmed.ncbi.nlm.nih.gov/23022264/</w:t>
        </w:r>
      </w:hyperlink>
    </w:p>
    <w:p w14:paraId="74700C92" w14:textId="77777777" w:rsidR="00034761" w:rsidRPr="00F2115E" w:rsidRDefault="00000000" w:rsidP="00F2115E">
      <w:pPr>
        <w:spacing w:after="120" w:line="276" w:lineRule="auto"/>
        <w:rPr>
          <w:rFonts w:asciiTheme="majorBidi" w:hAnsiTheme="majorBidi" w:cstheme="majorBidi"/>
          <w:sz w:val="24"/>
          <w:szCs w:val="24"/>
          <w:lang w:val="pt-BR"/>
        </w:rPr>
      </w:pPr>
      <w:r w:rsidRPr="008B3BD9">
        <w:rPr>
          <w:rFonts w:asciiTheme="majorBidi" w:hAnsiTheme="majorBidi" w:cstheme="majorBidi"/>
          <w:sz w:val="24"/>
          <w:szCs w:val="24"/>
          <w:lang w:val="en-US"/>
        </w:rPr>
        <w:t xml:space="preserve">4. Motil KJ, et al. </w:t>
      </w:r>
      <w:r w:rsidRPr="00F2115E">
        <w:rPr>
          <w:rFonts w:asciiTheme="majorBidi" w:hAnsiTheme="majorBidi" w:cstheme="majorBidi"/>
          <w:sz w:val="24"/>
          <w:szCs w:val="24"/>
          <w:lang w:val="en-US"/>
        </w:rPr>
        <w:t xml:space="preserve">Gastrointestinal and nutritional problems occur frequently throughout life in girls and women with Rett syndrome. </w:t>
      </w:r>
      <w:r w:rsidRPr="00F2115E">
        <w:rPr>
          <w:rFonts w:asciiTheme="majorBidi" w:hAnsiTheme="majorBidi" w:cstheme="majorBidi"/>
          <w:sz w:val="24"/>
          <w:szCs w:val="24"/>
          <w:lang w:val="pt-BR"/>
        </w:rPr>
        <w:t>J Pediatr Gastroenterol Nutr. 2012;55(3):292–298. https://pubmed.ncbi.nlm.nih.gov/22357206/</w:t>
      </w:r>
    </w:p>
    <w:p w14:paraId="099F3A79" w14:textId="77777777" w:rsidR="00034761" w:rsidRPr="00F2115E" w:rsidRDefault="0000000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5. Epstein A, et al. The impact of Rett syndrome on quality of life. J Child Neurol. 2021;36(7):557–563. https://pubmed.ncbi.nlm.nih.gov/33739127/</w:t>
      </w:r>
    </w:p>
    <w:p w14:paraId="3C92EA21" w14:textId="77777777" w:rsidR="00034761" w:rsidRPr="00C4487C" w:rsidRDefault="00000000" w:rsidP="00F2115E">
      <w:pPr>
        <w:spacing w:after="120" w:line="276" w:lineRule="auto"/>
        <w:rPr>
          <w:rFonts w:asciiTheme="majorBidi" w:hAnsiTheme="majorBidi" w:cstheme="majorBidi"/>
          <w:sz w:val="24"/>
          <w:szCs w:val="24"/>
          <w:lang w:val="fr-FR"/>
        </w:rPr>
      </w:pPr>
      <w:r w:rsidRPr="00F2115E">
        <w:rPr>
          <w:rFonts w:asciiTheme="majorBidi" w:hAnsiTheme="majorBidi" w:cstheme="majorBidi"/>
          <w:sz w:val="24"/>
          <w:szCs w:val="24"/>
          <w:lang w:val="en-US"/>
        </w:rPr>
        <w:t xml:space="preserve">6. Tarquinio DC, et al. The changing face of survival in Rett syndrome and MECP2-related disorders. Pediatr Neurol. 2015;53(5):402–411.  </w:t>
      </w:r>
      <w:r w:rsidRPr="00C4487C">
        <w:rPr>
          <w:rFonts w:asciiTheme="majorBidi" w:hAnsiTheme="majorBidi" w:cstheme="majorBidi"/>
          <w:sz w:val="24"/>
          <w:szCs w:val="24"/>
          <w:lang w:val="fr-FR"/>
        </w:rPr>
        <w:t>https://pubmed.ncbi.nlm.nih.gov/26315311/</w:t>
      </w:r>
    </w:p>
    <w:p w14:paraId="6B2CDA57" w14:textId="77777777" w:rsidR="00034761" w:rsidRPr="00F2115E" w:rsidRDefault="00000000" w:rsidP="00F2115E">
      <w:pPr>
        <w:spacing w:after="120" w:line="276" w:lineRule="auto"/>
        <w:rPr>
          <w:rFonts w:asciiTheme="majorBidi" w:hAnsiTheme="majorBidi" w:cstheme="majorBidi"/>
          <w:sz w:val="24"/>
          <w:szCs w:val="24"/>
          <w:lang w:val="fr-FR"/>
        </w:rPr>
      </w:pPr>
      <w:r w:rsidRPr="008B3BD9">
        <w:rPr>
          <w:rFonts w:asciiTheme="majorBidi" w:hAnsiTheme="majorBidi" w:cstheme="majorBidi"/>
          <w:sz w:val="24"/>
          <w:szCs w:val="24"/>
          <w:lang w:val="en-US"/>
        </w:rPr>
        <w:t xml:space="preserve">7. Amir RE, et al. </w:t>
      </w:r>
      <w:r w:rsidRPr="00F2115E">
        <w:rPr>
          <w:rFonts w:asciiTheme="majorBidi" w:hAnsiTheme="majorBidi" w:cstheme="majorBidi"/>
          <w:sz w:val="24"/>
          <w:szCs w:val="24"/>
          <w:lang w:val="en-US"/>
        </w:rPr>
        <w:t xml:space="preserve">Rett syndrome is caused by mutations in X-linked MECP2, encoding methyl-CpG-binding protein 2. </w:t>
      </w:r>
      <w:r w:rsidRPr="00F2115E">
        <w:rPr>
          <w:rFonts w:asciiTheme="majorBidi" w:hAnsiTheme="majorBidi" w:cstheme="majorBidi"/>
          <w:sz w:val="24"/>
          <w:szCs w:val="24"/>
          <w:lang w:val="fr-FR"/>
        </w:rPr>
        <w:t>Nat Genet. 1999;23(2):185–188.  https://pubmed.ncbi.nlm.nih.gov/10508514/</w:t>
      </w:r>
    </w:p>
    <w:p w14:paraId="32C11A17" w14:textId="77777777" w:rsidR="00034761" w:rsidRPr="008B3BD9" w:rsidRDefault="00000000" w:rsidP="00F2115E">
      <w:pPr>
        <w:spacing w:after="120" w:line="276" w:lineRule="auto"/>
        <w:rPr>
          <w:rFonts w:asciiTheme="majorBidi" w:hAnsiTheme="majorBidi" w:cstheme="majorBidi"/>
          <w:sz w:val="24"/>
          <w:szCs w:val="24"/>
          <w:lang w:val="en-US"/>
        </w:rPr>
      </w:pPr>
      <w:r w:rsidRPr="008B3BD9">
        <w:rPr>
          <w:rFonts w:asciiTheme="majorBidi" w:hAnsiTheme="majorBidi" w:cstheme="majorBidi"/>
          <w:sz w:val="24"/>
          <w:szCs w:val="24"/>
          <w:lang w:val="en-US"/>
        </w:rPr>
        <w:t xml:space="preserve">8. Neul JL, et al. </w:t>
      </w:r>
      <w:r w:rsidRPr="00F2115E">
        <w:rPr>
          <w:rFonts w:asciiTheme="majorBidi" w:hAnsiTheme="majorBidi" w:cstheme="majorBidi"/>
          <w:sz w:val="24"/>
          <w:szCs w:val="24"/>
          <w:lang w:val="en-US"/>
        </w:rPr>
        <w:t xml:space="preserve">Specific mutations in CDKL5 and FOXG1 cause atypical variants of Rett syndrome. </w:t>
      </w:r>
      <w:r w:rsidRPr="008B3BD9">
        <w:rPr>
          <w:rFonts w:asciiTheme="majorBidi" w:hAnsiTheme="majorBidi" w:cstheme="majorBidi"/>
          <w:sz w:val="24"/>
          <w:szCs w:val="24"/>
          <w:lang w:val="en-US"/>
        </w:rPr>
        <w:t>J Neurodev Disord. 2014;6(1):25.  https://www.ncbi.nlm.nih.gov/pmc/articles/PMC4101771/</w:t>
      </w:r>
    </w:p>
    <w:p w14:paraId="2B62127A" w14:textId="0B733AD3" w:rsidR="00034761" w:rsidRPr="00F2115E" w:rsidRDefault="0077333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 xml:space="preserve">9. FDA. FDA approves first treatment for Rett syndrome. https://www.fda.gov/drugs/news-events-human-drugs/fda-approves-first-treatment-rett-syndrome </w:t>
      </w:r>
    </w:p>
    <w:p w14:paraId="6C6B8D49" w14:textId="060FB314" w:rsidR="00034761" w:rsidRPr="00F2115E" w:rsidRDefault="0000000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1</w:t>
      </w:r>
      <w:r w:rsidR="00773332" w:rsidRPr="00F2115E">
        <w:rPr>
          <w:rFonts w:asciiTheme="majorBidi" w:hAnsiTheme="majorBidi" w:cstheme="majorBidi"/>
          <w:sz w:val="24"/>
          <w:szCs w:val="24"/>
          <w:lang w:val="en-US"/>
        </w:rPr>
        <w:t>0</w:t>
      </w:r>
      <w:r w:rsidRPr="00F2115E">
        <w:rPr>
          <w:rFonts w:asciiTheme="majorBidi" w:hAnsiTheme="majorBidi" w:cstheme="majorBidi"/>
          <w:sz w:val="24"/>
          <w:szCs w:val="24"/>
          <w:lang w:val="en-US"/>
        </w:rPr>
        <w:t xml:space="preserve">. Glaze DG et al. A phase 3 trial of </w:t>
      </w:r>
      <w:r w:rsidR="002E4C0B" w:rsidRPr="00F2115E">
        <w:rPr>
          <w:rFonts w:asciiTheme="majorBidi" w:hAnsiTheme="majorBidi" w:cstheme="majorBidi"/>
          <w:sz w:val="24"/>
          <w:szCs w:val="24"/>
          <w:lang w:val="en-US"/>
        </w:rPr>
        <w:t>Trofinetide</w:t>
      </w:r>
      <w:r w:rsidRPr="00F2115E">
        <w:rPr>
          <w:rFonts w:asciiTheme="majorBidi" w:hAnsiTheme="majorBidi" w:cstheme="majorBidi"/>
          <w:sz w:val="24"/>
          <w:szCs w:val="24"/>
          <w:lang w:val="en-US"/>
        </w:rPr>
        <w:t xml:space="preserve"> in Rett syndrome. Nat Med. 2023;29:909–917. </w:t>
      </w:r>
      <w:hyperlink r:id="rId10" w:history="1">
        <w:r w:rsidR="008260EF" w:rsidRPr="00F2115E">
          <w:rPr>
            <w:rStyle w:val="Hipervnculo"/>
            <w:rFonts w:asciiTheme="majorBidi" w:hAnsiTheme="majorBidi" w:cstheme="majorBidi"/>
            <w:sz w:val="24"/>
            <w:szCs w:val="24"/>
            <w:lang w:val="en-US"/>
          </w:rPr>
          <w:t>https://www.nature.com/articles/s41591-023-02398-1</w:t>
        </w:r>
      </w:hyperlink>
      <w:r w:rsidR="008260EF" w:rsidRPr="00F2115E">
        <w:rPr>
          <w:rFonts w:asciiTheme="majorBidi" w:hAnsiTheme="majorBidi" w:cstheme="majorBidi"/>
          <w:sz w:val="24"/>
          <w:szCs w:val="24"/>
          <w:lang w:val="en-US"/>
        </w:rPr>
        <w:t xml:space="preserve"> </w:t>
      </w:r>
    </w:p>
    <w:p w14:paraId="751827D9" w14:textId="316809C8" w:rsidR="00034761" w:rsidRPr="00F2115E" w:rsidRDefault="0000000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1</w:t>
      </w:r>
      <w:r w:rsidR="00773332" w:rsidRPr="00F2115E">
        <w:rPr>
          <w:rFonts w:asciiTheme="majorBidi" w:hAnsiTheme="majorBidi" w:cstheme="majorBidi"/>
          <w:sz w:val="24"/>
          <w:szCs w:val="24"/>
          <w:lang w:val="en-US"/>
        </w:rPr>
        <w:t>1</w:t>
      </w:r>
      <w:r w:rsidRPr="00F2115E">
        <w:rPr>
          <w:rFonts w:asciiTheme="majorBidi" w:hAnsiTheme="majorBidi" w:cstheme="majorBidi"/>
          <w:sz w:val="24"/>
          <w:szCs w:val="24"/>
          <w:lang w:val="en-US"/>
        </w:rPr>
        <w:t>.</w:t>
      </w:r>
      <w:r w:rsidR="00C9115E" w:rsidRPr="00F2115E">
        <w:rPr>
          <w:rFonts w:asciiTheme="majorBidi" w:hAnsiTheme="majorBidi" w:cstheme="majorBidi"/>
          <w:sz w:val="24"/>
          <w:szCs w:val="24"/>
          <w:lang w:val="en-US"/>
        </w:rPr>
        <w:t xml:space="preserve"> </w:t>
      </w:r>
      <w:r w:rsidR="002E4C0B" w:rsidRPr="00F2115E">
        <w:rPr>
          <w:rFonts w:asciiTheme="majorBidi" w:hAnsiTheme="majorBidi" w:cstheme="majorBidi"/>
          <w:sz w:val="24"/>
          <w:szCs w:val="24"/>
          <w:lang w:val="en-US"/>
        </w:rPr>
        <w:t>Trofinetide</w:t>
      </w:r>
      <w:r w:rsidRPr="00F2115E">
        <w:rPr>
          <w:rFonts w:asciiTheme="majorBidi" w:hAnsiTheme="majorBidi" w:cstheme="majorBidi"/>
          <w:sz w:val="24"/>
          <w:szCs w:val="24"/>
          <w:lang w:val="en-US"/>
        </w:rPr>
        <w:t xml:space="preserve"> (Daybue™) – Prescribing information, NDA 217026.  </w:t>
      </w:r>
      <w:hyperlink r:id="rId11" w:history="1">
        <w:r w:rsidR="00C9115E" w:rsidRPr="00F2115E">
          <w:rPr>
            <w:rStyle w:val="Hipervnculo"/>
            <w:rFonts w:asciiTheme="majorBidi" w:hAnsiTheme="majorBidi" w:cstheme="majorBidi"/>
            <w:sz w:val="24"/>
            <w:szCs w:val="24"/>
            <w:lang w:val="en-US"/>
          </w:rPr>
          <w:t>https://www.accessdata.fda.gov/drugsatfda_docs/label/2023/217026s000lbl.pdf</w:t>
        </w:r>
      </w:hyperlink>
      <w:r w:rsidR="00C9115E" w:rsidRPr="00F2115E">
        <w:rPr>
          <w:rFonts w:asciiTheme="majorBidi" w:hAnsiTheme="majorBidi" w:cstheme="majorBidi"/>
          <w:sz w:val="24"/>
          <w:szCs w:val="24"/>
          <w:lang w:val="en-US"/>
        </w:rPr>
        <w:t xml:space="preserve"> </w:t>
      </w:r>
    </w:p>
    <w:p w14:paraId="3ABD9343" w14:textId="6A11C4C3" w:rsidR="00034761" w:rsidRPr="00F2115E" w:rsidRDefault="0000000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1</w:t>
      </w:r>
      <w:r w:rsidR="00773332" w:rsidRPr="00F2115E">
        <w:rPr>
          <w:rFonts w:asciiTheme="majorBidi" w:hAnsiTheme="majorBidi" w:cstheme="majorBidi"/>
          <w:sz w:val="24"/>
          <w:szCs w:val="24"/>
          <w:lang w:val="en-US"/>
        </w:rPr>
        <w:t>2</w:t>
      </w:r>
      <w:r w:rsidRPr="00F2115E">
        <w:rPr>
          <w:rFonts w:asciiTheme="majorBidi" w:hAnsiTheme="majorBidi" w:cstheme="majorBidi"/>
          <w:sz w:val="24"/>
          <w:szCs w:val="24"/>
          <w:lang w:val="en-US"/>
        </w:rPr>
        <w:t>. Castro J et al. Functional recovery with recombinant human IGF-1 in a mouse model of Rett syndrome. Proc Natl Acad Sci U S A. 2014;111(27):9941–9946.  https://www.pnas.org/doi/10.1073/pnas.1400113111</w:t>
      </w:r>
    </w:p>
    <w:p w14:paraId="15C74CAE" w14:textId="5A54EC49" w:rsidR="00034761" w:rsidRPr="00F2115E" w:rsidRDefault="0000000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1</w:t>
      </w:r>
      <w:r w:rsidR="00773332" w:rsidRPr="00F2115E">
        <w:rPr>
          <w:rFonts w:asciiTheme="majorBidi" w:hAnsiTheme="majorBidi" w:cstheme="majorBidi"/>
          <w:sz w:val="24"/>
          <w:szCs w:val="24"/>
          <w:lang w:val="en-US"/>
        </w:rPr>
        <w:t>3</w:t>
      </w:r>
      <w:r w:rsidRPr="00F2115E">
        <w:rPr>
          <w:rFonts w:asciiTheme="majorBidi" w:hAnsiTheme="majorBidi" w:cstheme="majorBidi"/>
          <w:sz w:val="24"/>
          <w:szCs w:val="24"/>
          <w:lang w:val="en-US"/>
        </w:rPr>
        <w:t xml:space="preserve">. </w:t>
      </w:r>
      <w:r w:rsidR="002E4C0B" w:rsidRPr="00F2115E">
        <w:rPr>
          <w:rFonts w:asciiTheme="majorBidi" w:hAnsiTheme="majorBidi" w:cstheme="majorBidi"/>
          <w:sz w:val="24"/>
          <w:szCs w:val="24"/>
          <w:lang w:val="en-US"/>
        </w:rPr>
        <w:t>Trofinetide</w:t>
      </w:r>
      <w:r w:rsidRPr="00F2115E">
        <w:rPr>
          <w:rFonts w:asciiTheme="majorBidi" w:hAnsiTheme="majorBidi" w:cstheme="majorBidi"/>
          <w:sz w:val="24"/>
          <w:szCs w:val="24"/>
          <w:lang w:val="en-US"/>
        </w:rPr>
        <w:t xml:space="preserve"> – DrugBank DB06045. https://go.drugbank.com/drugs/DB06045</w:t>
      </w:r>
    </w:p>
    <w:p w14:paraId="40EC07C6" w14:textId="3E732C22" w:rsidR="004B77A2" w:rsidRPr="006C7CE9" w:rsidRDefault="00773332" w:rsidP="00F2115E">
      <w:pPr>
        <w:spacing w:after="120" w:line="276" w:lineRule="auto"/>
        <w:rPr>
          <w:rFonts w:asciiTheme="majorBidi" w:hAnsiTheme="majorBidi" w:cstheme="majorBidi"/>
          <w:sz w:val="24"/>
          <w:szCs w:val="24"/>
          <w:lang w:val="en-US"/>
        </w:rPr>
      </w:pPr>
      <w:r w:rsidRPr="00C4487C">
        <w:rPr>
          <w:rFonts w:asciiTheme="majorBidi" w:hAnsiTheme="majorBidi" w:cstheme="majorBidi"/>
          <w:sz w:val="24"/>
          <w:szCs w:val="24"/>
          <w:lang w:val="en-US"/>
        </w:rPr>
        <w:t>1</w:t>
      </w:r>
      <w:r w:rsidR="00384A4C" w:rsidRPr="00C4487C">
        <w:rPr>
          <w:rFonts w:asciiTheme="majorBidi" w:hAnsiTheme="majorBidi" w:cstheme="majorBidi"/>
          <w:sz w:val="24"/>
          <w:szCs w:val="24"/>
          <w:lang w:val="en-US"/>
        </w:rPr>
        <w:t>4</w:t>
      </w:r>
      <w:r w:rsidR="004B77A2" w:rsidRPr="00C4487C">
        <w:rPr>
          <w:rFonts w:asciiTheme="majorBidi" w:hAnsiTheme="majorBidi" w:cstheme="majorBidi"/>
          <w:sz w:val="24"/>
          <w:szCs w:val="24"/>
          <w:lang w:val="en-US"/>
        </w:rPr>
        <w:t xml:space="preserve">. Chapleau CA, et al. </w:t>
      </w:r>
      <w:r w:rsidR="004B77A2" w:rsidRPr="00F2115E">
        <w:rPr>
          <w:rFonts w:asciiTheme="majorBidi" w:hAnsiTheme="majorBidi" w:cstheme="majorBidi"/>
          <w:sz w:val="24"/>
          <w:szCs w:val="24"/>
          <w:lang w:val="en-US"/>
        </w:rPr>
        <w:t xml:space="preserve">Recent Progress in Rett Syndrome and MeCP2 Dysfunction: Assessment of Potential Treatment Options. </w:t>
      </w:r>
      <w:r w:rsidR="004B77A2" w:rsidRPr="008B3BD9">
        <w:rPr>
          <w:rFonts w:asciiTheme="majorBidi" w:hAnsiTheme="majorBidi" w:cstheme="majorBidi"/>
          <w:sz w:val="24"/>
          <w:szCs w:val="24"/>
          <w:lang w:val="en-US"/>
        </w:rPr>
        <w:t xml:space="preserve">Future Neurol. 2013;8(1):69–88. </w:t>
      </w:r>
      <w:hyperlink r:id="rId12" w:history="1">
        <w:r w:rsidR="004B77A2" w:rsidRPr="006C7CE9">
          <w:rPr>
            <w:rStyle w:val="Hipervnculo"/>
            <w:rFonts w:asciiTheme="majorBidi" w:hAnsiTheme="majorBidi" w:cstheme="majorBidi"/>
            <w:sz w:val="24"/>
            <w:szCs w:val="24"/>
            <w:lang w:val="en-US"/>
          </w:rPr>
          <w:t xml:space="preserve">https://doi.org/10.2217/fnl.12.79 </w:t>
        </w:r>
      </w:hyperlink>
      <w:r w:rsidR="004B77A2" w:rsidRPr="006C7CE9">
        <w:rPr>
          <w:rFonts w:asciiTheme="majorBidi" w:hAnsiTheme="majorBidi" w:cstheme="majorBidi"/>
          <w:sz w:val="24"/>
          <w:szCs w:val="24"/>
          <w:lang w:val="en-US"/>
        </w:rPr>
        <w:t xml:space="preserve"> </w:t>
      </w:r>
    </w:p>
    <w:p w14:paraId="667E446F" w14:textId="7DF5E4E7" w:rsidR="004B77A2" w:rsidRPr="00F2115E" w:rsidRDefault="004B77A2" w:rsidP="00F2115E">
      <w:pPr>
        <w:spacing w:after="120" w:line="276" w:lineRule="auto"/>
        <w:rPr>
          <w:rFonts w:asciiTheme="majorBidi" w:hAnsiTheme="majorBidi" w:cstheme="majorBidi"/>
          <w:sz w:val="24"/>
          <w:szCs w:val="24"/>
          <w:lang w:val="en-US"/>
        </w:rPr>
      </w:pPr>
      <w:r w:rsidRPr="006C7CE9">
        <w:rPr>
          <w:rFonts w:asciiTheme="majorBidi" w:hAnsiTheme="majorBidi" w:cstheme="majorBidi"/>
          <w:sz w:val="24"/>
          <w:szCs w:val="24"/>
          <w:lang w:val="en-US"/>
        </w:rPr>
        <w:t>1</w:t>
      </w:r>
      <w:r w:rsidR="00384A4C" w:rsidRPr="006C7CE9">
        <w:rPr>
          <w:rFonts w:asciiTheme="majorBidi" w:hAnsiTheme="majorBidi" w:cstheme="majorBidi"/>
          <w:sz w:val="24"/>
          <w:szCs w:val="24"/>
          <w:lang w:val="en-US"/>
        </w:rPr>
        <w:t>5</w:t>
      </w:r>
      <w:r w:rsidRPr="006C7CE9">
        <w:rPr>
          <w:rFonts w:asciiTheme="majorBidi" w:hAnsiTheme="majorBidi" w:cstheme="majorBidi"/>
          <w:sz w:val="24"/>
          <w:szCs w:val="24"/>
          <w:lang w:val="en-US"/>
        </w:rPr>
        <w:t xml:space="preserve">. Ehinger Y, et al. </w:t>
      </w:r>
      <w:r w:rsidRPr="00F2115E">
        <w:rPr>
          <w:rFonts w:asciiTheme="majorBidi" w:hAnsiTheme="majorBidi" w:cstheme="majorBidi"/>
          <w:sz w:val="24"/>
          <w:szCs w:val="24"/>
          <w:lang w:val="en-US"/>
        </w:rPr>
        <w:t xml:space="preserve">Rett syndrome from bench to bedside: recent advances. F1000Research. 2018;7:398. </w:t>
      </w:r>
      <w:hyperlink r:id="rId13" w:history="1">
        <w:r w:rsidRPr="00F2115E">
          <w:rPr>
            <w:rStyle w:val="Hipervnculo"/>
            <w:rFonts w:asciiTheme="majorBidi" w:hAnsiTheme="majorBidi" w:cstheme="majorBidi"/>
            <w:sz w:val="24"/>
            <w:szCs w:val="24"/>
            <w:lang w:val="en-US"/>
          </w:rPr>
          <w:t>https://doi.org/10.12688/f1000research.14039.1</w:t>
        </w:r>
      </w:hyperlink>
    </w:p>
    <w:p w14:paraId="139BA709" w14:textId="1556021E" w:rsidR="004B77A2" w:rsidRPr="008B3BD9" w:rsidRDefault="004B77A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1</w:t>
      </w:r>
      <w:r w:rsidR="00384A4C" w:rsidRPr="00F2115E">
        <w:rPr>
          <w:rFonts w:asciiTheme="majorBidi" w:hAnsiTheme="majorBidi" w:cstheme="majorBidi"/>
          <w:sz w:val="24"/>
          <w:szCs w:val="24"/>
          <w:lang w:val="en-US"/>
        </w:rPr>
        <w:t>6</w:t>
      </w:r>
      <w:r w:rsidRPr="00F2115E">
        <w:rPr>
          <w:rFonts w:asciiTheme="majorBidi" w:hAnsiTheme="majorBidi" w:cstheme="majorBidi"/>
          <w:sz w:val="24"/>
          <w:szCs w:val="24"/>
          <w:lang w:val="en-US"/>
        </w:rPr>
        <w:t xml:space="preserve">. Ehrhart F, et al. Rett syndrome – biological pathways leading from MECP2 to disorder phenotypes. </w:t>
      </w:r>
      <w:r w:rsidRPr="008B3BD9">
        <w:rPr>
          <w:rFonts w:asciiTheme="majorBidi" w:hAnsiTheme="majorBidi" w:cstheme="majorBidi"/>
          <w:sz w:val="24"/>
          <w:szCs w:val="24"/>
          <w:lang w:val="en-US"/>
        </w:rPr>
        <w:t xml:space="preserve">Orphanet J Rare Dis. 2016;11:158. </w:t>
      </w:r>
      <w:hyperlink r:id="rId14" w:history="1">
        <w:r w:rsidRPr="008B3BD9">
          <w:rPr>
            <w:rStyle w:val="Hipervnculo"/>
            <w:rFonts w:asciiTheme="majorBidi" w:hAnsiTheme="majorBidi" w:cstheme="majorBidi"/>
            <w:sz w:val="24"/>
            <w:szCs w:val="24"/>
            <w:lang w:val="en-US"/>
          </w:rPr>
          <w:t>https://doi.org/10.1186/s13023-016-0521-1</w:t>
        </w:r>
      </w:hyperlink>
    </w:p>
    <w:p w14:paraId="5CA38D19" w14:textId="3FA1E430" w:rsidR="004B77A2" w:rsidRPr="00F2115E" w:rsidRDefault="004B77A2" w:rsidP="00F2115E">
      <w:pPr>
        <w:spacing w:after="120" w:line="276" w:lineRule="auto"/>
        <w:rPr>
          <w:rFonts w:asciiTheme="majorBidi" w:hAnsiTheme="majorBidi" w:cstheme="majorBidi"/>
          <w:sz w:val="24"/>
          <w:szCs w:val="24"/>
          <w:lang w:val="en-US"/>
        </w:rPr>
      </w:pPr>
      <w:r w:rsidRPr="008B3BD9">
        <w:rPr>
          <w:rFonts w:asciiTheme="majorBidi" w:hAnsiTheme="majorBidi" w:cstheme="majorBidi"/>
          <w:sz w:val="24"/>
          <w:szCs w:val="24"/>
          <w:lang w:val="en-US"/>
        </w:rPr>
        <w:lastRenderedPageBreak/>
        <w:t>1</w:t>
      </w:r>
      <w:r w:rsidR="00384A4C" w:rsidRPr="008B3BD9">
        <w:rPr>
          <w:rFonts w:asciiTheme="majorBidi" w:hAnsiTheme="majorBidi" w:cstheme="majorBidi"/>
          <w:sz w:val="24"/>
          <w:szCs w:val="24"/>
          <w:lang w:val="en-US"/>
        </w:rPr>
        <w:t>7</w:t>
      </w:r>
      <w:r w:rsidRPr="008B3BD9">
        <w:rPr>
          <w:rFonts w:asciiTheme="majorBidi" w:hAnsiTheme="majorBidi" w:cstheme="majorBidi"/>
          <w:sz w:val="24"/>
          <w:szCs w:val="24"/>
          <w:lang w:val="en-US"/>
        </w:rPr>
        <w:t xml:space="preserve">. Filosa S, Pecorelli A, Lucchesi C, et al. </w:t>
      </w:r>
      <w:r w:rsidRPr="00F2115E">
        <w:rPr>
          <w:rFonts w:asciiTheme="majorBidi" w:hAnsiTheme="majorBidi" w:cstheme="majorBidi"/>
          <w:sz w:val="24"/>
          <w:szCs w:val="24"/>
          <w:lang w:val="en-US"/>
        </w:rPr>
        <w:t xml:space="preserve">Exploring the possible link between MeCP2 and oxidative stress in Rett syndrome. Free Radic Biol Med. 2015;88(Pt A):81–90. </w:t>
      </w:r>
      <w:hyperlink r:id="rId15" w:history="1">
        <w:r w:rsidRPr="00F2115E">
          <w:rPr>
            <w:rStyle w:val="Hipervnculo"/>
            <w:rFonts w:asciiTheme="majorBidi" w:hAnsiTheme="majorBidi" w:cstheme="majorBidi"/>
            <w:sz w:val="24"/>
            <w:szCs w:val="24"/>
            <w:lang w:val="en-US"/>
          </w:rPr>
          <w:t>https://doi.org/10.1016/j.freeradbiomed.2015.06.029</w:t>
        </w:r>
      </w:hyperlink>
      <w:r w:rsidRPr="00F2115E">
        <w:rPr>
          <w:rFonts w:asciiTheme="majorBidi" w:hAnsiTheme="majorBidi" w:cstheme="majorBidi"/>
          <w:sz w:val="24"/>
          <w:szCs w:val="24"/>
          <w:lang w:val="en-US"/>
        </w:rPr>
        <w:t xml:space="preserve"> </w:t>
      </w:r>
    </w:p>
    <w:p w14:paraId="77377101" w14:textId="03434F07" w:rsidR="004B77A2" w:rsidRPr="00F2115E" w:rsidRDefault="004B77A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1</w:t>
      </w:r>
      <w:r w:rsidR="00384A4C" w:rsidRPr="00F2115E">
        <w:rPr>
          <w:rFonts w:asciiTheme="majorBidi" w:hAnsiTheme="majorBidi" w:cstheme="majorBidi"/>
          <w:sz w:val="24"/>
          <w:szCs w:val="24"/>
          <w:lang w:val="en-US"/>
        </w:rPr>
        <w:t>8</w:t>
      </w:r>
      <w:r w:rsidRPr="00F2115E">
        <w:rPr>
          <w:rFonts w:asciiTheme="majorBidi" w:hAnsiTheme="majorBidi" w:cstheme="majorBidi"/>
          <w:sz w:val="24"/>
          <w:szCs w:val="24"/>
          <w:lang w:val="en-US"/>
        </w:rPr>
        <w:t>.</w:t>
      </w:r>
      <w:r w:rsidR="009A45E2" w:rsidRPr="00F2115E">
        <w:rPr>
          <w:rFonts w:asciiTheme="majorBidi" w:hAnsiTheme="majorBidi" w:cstheme="majorBidi"/>
          <w:sz w:val="24"/>
          <w:szCs w:val="24"/>
          <w:lang w:val="en-US"/>
        </w:rPr>
        <w:t xml:space="preserve"> R.C. Samaco, C. Mandel-Brehm, H. Chao, C.S. Ward, S.L. Fyffe-Maricich, J. Ren, K. Hyland, C. Thaller, S.M. Maricich, P. Humphreys, J.J. Greer, A. Percy, D.G. Glaze, H.Y. Zoghbi, &amp; J.L. Neul, Loss of MeCP2 in aminergic neurons causes cell-autonomous defects in neurotransmitter synthesis and specific behavioral abnormalities, Proc. Natl. Acad. Sci. U.S.A. 106 (51) 21966-21971, https://doi.org/10.1073/pnas.0912257106 (2009).</w:t>
      </w:r>
    </w:p>
    <w:p w14:paraId="47A23271" w14:textId="351F5A34" w:rsidR="004B77A2" w:rsidRPr="00F2115E" w:rsidRDefault="00384A4C"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19</w:t>
      </w:r>
      <w:r w:rsidR="004B77A2" w:rsidRPr="00F2115E">
        <w:rPr>
          <w:rFonts w:asciiTheme="majorBidi" w:hAnsiTheme="majorBidi" w:cstheme="majorBidi"/>
          <w:sz w:val="24"/>
          <w:szCs w:val="24"/>
          <w:lang w:val="en-US"/>
        </w:rPr>
        <w:t>.</w:t>
      </w:r>
      <w:r w:rsidR="009A45E2" w:rsidRPr="00F2115E">
        <w:rPr>
          <w:rFonts w:asciiTheme="majorBidi" w:hAnsiTheme="majorBidi" w:cstheme="majorBidi"/>
          <w:sz w:val="24"/>
          <w:szCs w:val="24"/>
          <w:lang w:val="en-US"/>
        </w:rPr>
        <w:t xml:space="preserve"> </w:t>
      </w:r>
      <w:r w:rsidR="0040240B" w:rsidRPr="00F2115E">
        <w:rPr>
          <w:rFonts w:asciiTheme="majorBidi" w:hAnsiTheme="majorBidi" w:cstheme="majorBidi"/>
          <w:sz w:val="24"/>
          <w:szCs w:val="24"/>
          <w:lang w:val="en-US"/>
        </w:rPr>
        <w:t xml:space="preserve">ClinicalTrials.gov. A Study of Trofinetide for the Treatment of Girls With Rett Syndrome (LAVENDER). Identifier: NCT04304482. U.S. National Library of Medicine. Updated August 8, 2023. Available from: </w:t>
      </w:r>
      <w:hyperlink r:id="rId16" w:history="1">
        <w:r w:rsidR="0040240B" w:rsidRPr="00F2115E">
          <w:rPr>
            <w:rStyle w:val="Hipervnculo"/>
            <w:rFonts w:asciiTheme="majorBidi" w:hAnsiTheme="majorBidi" w:cstheme="majorBidi"/>
            <w:sz w:val="24"/>
            <w:szCs w:val="24"/>
            <w:lang w:val="en-US"/>
          </w:rPr>
          <w:t>https://clinicaltrials.gov/study/NCT04304482</w:t>
        </w:r>
      </w:hyperlink>
      <w:r w:rsidR="0040240B" w:rsidRPr="00F2115E">
        <w:rPr>
          <w:rFonts w:asciiTheme="majorBidi" w:hAnsiTheme="majorBidi" w:cstheme="majorBidi"/>
          <w:sz w:val="24"/>
          <w:szCs w:val="24"/>
          <w:lang w:val="en-US"/>
        </w:rPr>
        <w:t xml:space="preserve"> </w:t>
      </w:r>
    </w:p>
    <w:p w14:paraId="5FE373A2" w14:textId="01BCE4DF" w:rsidR="0040240B" w:rsidRPr="00C4487C" w:rsidRDefault="0040240B" w:rsidP="00F2115E">
      <w:pPr>
        <w:spacing w:after="120" w:line="276" w:lineRule="auto"/>
        <w:rPr>
          <w:rFonts w:asciiTheme="majorBidi" w:hAnsiTheme="majorBidi" w:cstheme="majorBidi"/>
          <w:sz w:val="24"/>
          <w:szCs w:val="24"/>
          <w:lang w:val="fr-FR"/>
        </w:rPr>
      </w:pPr>
      <w:r w:rsidRPr="00F2115E">
        <w:rPr>
          <w:rFonts w:asciiTheme="majorBidi" w:hAnsiTheme="majorBidi" w:cstheme="majorBidi"/>
          <w:sz w:val="24"/>
          <w:szCs w:val="24"/>
          <w:lang w:val="en-US"/>
        </w:rPr>
        <w:t>2</w:t>
      </w:r>
      <w:r w:rsidR="00384A4C" w:rsidRPr="00F2115E">
        <w:rPr>
          <w:rFonts w:asciiTheme="majorBidi" w:hAnsiTheme="majorBidi" w:cstheme="majorBidi"/>
          <w:sz w:val="24"/>
          <w:szCs w:val="24"/>
          <w:lang w:val="en-US"/>
        </w:rPr>
        <w:t>0</w:t>
      </w:r>
      <w:r w:rsidRPr="00F2115E">
        <w:rPr>
          <w:rFonts w:asciiTheme="majorBidi" w:hAnsiTheme="majorBidi" w:cstheme="majorBidi"/>
          <w:sz w:val="24"/>
          <w:szCs w:val="24"/>
          <w:lang w:val="en-US"/>
        </w:rPr>
        <w:t xml:space="preserve">. Mony L, et al. PPAR gamma agonists as neuroprotective agents: implications for Rett syndrome. </w:t>
      </w:r>
      <w:r w:rsidRPr="00C4487C">
        <w:rPr>
          <w:rFonts w:asciiTheme="majorBidi" w:hAnsiTheme="majorBidi" w:cstheme="majorBidi"/>
          <w:sz w:val="24"/>
          <w:szCs w:val="24"/>
          <w:lang w:val="fr-FR"/>
        </w:rPr>
        <w:t xml:space="preserve">Neuropharmacology. 2018;131:127–138. </w:t>
      </w:r>
      <w:r w:rsidRPr="00F2115E">
        <w:rPr>
          <w:rFonts w:asciiTheme="majorBidi" w:hAnsiTheme="majorBidi" w:cstheme="majorBidi"/>
          <w:sz w:val="24"/>
          <w:szCs w:val="24"/>
          <w:lang w:val="en-US"/>
        </w:rPr>
        <w:fldChar w:fldCharType="begin"/>
      </w:r>
      <w:r w:rsidRPr="00C4487C">
        <w:rPr>
          <w:rFonts w:asciiTheme="majorBidi" w:hAnsiTheme="majorBidi" w:cstheme="majorBidi"/>
          <w:sz w:val="24"/>
          <w:szCs w:val="24"/>
          <w:lang w:val="fr-FR"/>
        </w:rPr>
        <w:instrText xml:space="preserve">HYPERLINK "https://doi.org/10.1016/j.neuropharm.2017.12.018 </w:instrText>
      </w:r>
    </w:p>
    <w:p w14:paraId="33D7F22E" w14:textId="77777777" w:rsidR="0040240B" w:rsidRPr="00C4487C" w:rsidRDefault="0040240B" w:rsidP="00F2115E">
      <w:pPr>
        <w:spacing w:after="120" w:line="276" w:lineRule="auto"/>
        <w:rPr>
          <w:rStyle w:val="Hipervnculo"/>
          <w:rFonts w:asciiTheme="majorBidi" w:hAnsiTheme="majorBidi" w:cstheme="majorBidi"/>
          <w:sz w:val="24"/>
          <w:szCs w:val="24"/>
          <w:lang w:val="fr-FR"/>
        </w:rPr>
      </w:pPr>
      <w:r w:rsidRPr="00C4487C">
        <w:rPr>
          <w:rFonts w:asciiTheme="majorBidi" w:hAnsiTheme="majorBidi" w:cstheme="majorBidi"/>
          <w:sz w:val="24"/>
          <w:szCs w:val="24"/>
          <w:lang w:val="fr-FR"/>
        </w:rPr>
        <w:instrText>"</w:instrText>
      </w:r>
      <w:r w:rsidRPr="00F2115E">
        <w:rPr>
          <w:rFonts w:asciiTheme="majorBidi" w:hAnsiTheme="majorBidi" w:cstheme="majorBidi"/>
          <w:sz w:val="24"/>
          <w:szCs w:val="24"/>
          <w:lang w:val="en-US"/>
        </w:rPr>
      </w:r>
      <w:r w:rsidRPr="00F2115E">
        <w:rPr>
          <w:rFonts w:asciiTheme="majorBidi" w:hAnsiTheme="majorBidi" w:cstheme="majorBidi"/>
          <w:sz w:val="24"/>
          <w:szCs w:val="24"/>
          <w:lang w:val="en-US"/>
        </w:rPr>
        <w:fldChar w:fldCharType="separate"/>
      </w:r>
      <w:r w:rsidRPr="00C4487C">
        <w:rPr>
          <w:rStyle w:val="Hipervnculo"/>
          <w:rFonts w:asciiTheme="majorBidi" w:hAnsiTheme="majorBidi" w:cstheme="majorBidi"/>
          <w:sz w:val="24"/>
          <w:szCs w:val="24"/>
          <w:lang w:val="fr-FR"/>
        </w:rPr>
        <w:t xml:space="preserve">https://doi.org/10.1016/j.neuropharm.2017.12.018 </w:t>
      </w:r>
    </w:p>
    <w:p w14:paraId="68564D39" w14:textId="3F090D54" w:rsidR="0040240B" w:rsidRPr="00F2115E" w:rsidRDefault="0040240B"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fldChar w:fldCharType="end"/>
      </w:r>
      <w:r w:rsidRPr="00C4487C">
        <w:rPr>
          <w:rFonts w:asciiTheme="majorBidi" w:hAnsiTheme="majorBidi" w:cstheme="majorBidi"/>
          <w:sz w:val="24"/>
          <w:szCs w:val="24"/>
          <w:lang w:val="fr-FR"/>
        </w:rPr>
        <w:t>2</w:t>
      </w:r>
      <w:r w:rsidR="00384A4C" w:rsidRPr="00C4487C">
        <w:rPr>
          <w:rFonts w:asciiTheme="majorBidi" w:hAnsiTheme="majorBidi" w:cstheme="majorBidi"/>
          <w:sz w:val="24"/>
          <w:szCs w:val="24"/>
          <w:lang w:val="fr-FR"/>
        </w:rPr>
        <w:t>1</w:t>
      </w:r>
      <w:r w:rsidRPr="00C4487C">
        <w:rPr>
          <w:rFonts w:asciiTheme="majorBidi" w:hAnsiTheme="majorBidi" w:cstheme="majorBidi"/>
          <w:sz w:val="24"/>
          <w:szCs w:val="24"/>
          <w:lang w:val="fr-FR"/>
        </w:rPr>
        <w:t xml:space="preserve">. Buchovecky CM, et al. </w:t>
      </w:r>
      <w:r w:rsidRPr="00F2115E">
        <w:rPr>
          <w:rFonts w:asciiTheme="majorBidi" w:hAnsiTheme="majorBidi" w:cstheme="majorBidi"/>
          <w:sz w:val="24"/>
          <w:szCs w:val="24"/>
          <w:lang w:val="en-US"/>
        </w:rPr>
        <w:t xml:space="preserve">A suppressor screen in Mecp2 mutant mice implicates cholesterol metabolism in Rett syndrome. Nat Genet. 2013;45(9):1013–1020. </w:t>
      </w:r>
      <w:hyperlink r:id="rId17" w:history="1">
        <w:r w:rsidRPr="00F2115E">
          <w:rPr>
            <w:rStyle w:val="Hipervnculo"/>
            <w:rFonts w:asciiTheme="majorBidi" w:hAnsiTheme="majorBidi" w:cstheme="majorBidi"/>
            <w:sz w:val="24"/>
            <w:szCs w:val="24"/>
            <w:lang w:val="en-US"/>
          </w:rPr>
          <w:t>https://doi.org/10.1038/ng.2714</w:t>
        </w:r>
      </w:hyperlink>
      <w:r w:rsidRPr="00F2115E">
        <w:rPr>
          <w:rFonts w:asciiTheme="majorBidi" w:hAnsiTheme="majorBidi" w:cstheme="majorBidi"/>
          <w:sz w:val="24"/>
          <w:szCs w:val="24"/>
          <w:lang w:val="en-US"/>
        </w:rPr>
        <w:t xml:space="preserve"> </w:t>
      </w:r>
    </w:p>
    <w:p w14:paraId="5D3AFA82" w14:textId="1A0B3577" w:rsidR="0040240B" w:rsidRPr="00F2115E" w:rsidRDefault="0040240B"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2</w:t>
      </w:r>
      <w:r w:rsidR="00384A4C" w:rsidRPr="00F2115E">
        <w:rPr>
          <w:rFonts w:asciiTheme="majorBidi" w:hAnsiTheme="majorBidi" w:cstheme="majorBidi"/>
          <w:sz w:val="24"/>
          <w:szCs w:val="24"/>
          <w:lang w:val="en-US"/>
        </w:rPr>
        <w:t>2</w:t>
      </w:r>
      <w:r w:rsidRPr="00F2115E">
        <w:rPr>
          <w:rFonts w:asciiTheme="majorBidi" w:hAnsiTheme="majorBidi" w:cstheme="majorBidi"/>
          <w:sz w:val="24"/>
          <w:szCs w:val="24"/>
          <w:lang w:val="en-US"/>
        </w:rPr>
        <w:t>. Krishnan N, et al. Targeting the PTP1B–AMPK signaling axis improves energy metabolism and neurodegeneration in Rett syndrome. Nat Neurosci. 2015;18:1658–1670. https://doi.org/10.1038/nn.4144</w:t>
      </w:r>
    </w:p>
    <w:p w14:paraId="2820E830" w14:textId="43E97912" w:rsidR="0040240B" w:rsidRPr="00F2115E" w:rsidRDefault="0040240B"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2</w:t>
      </w:r>
      <w:r w:rsidR="00384A4C" w:rsidRPr="00F2115E">
        <w:rPr>
          <w:rFonts w:asciiTheme="majorBidi" w:hAnsiTheme="majorBidi" w:cstheme="majorBidi"/>
          <w:sz w:val="24"/>
          <w:szCs w:val="24"/>
          <w:lang w:val="en-US"/>
        </w:rPr>
        <w:t>3</w:t>
      </w:r>
      <w:r w:rsidRPr="00F2115E">
        <w:rPr>
          <w:rFonts w:asciiTheme="majorBidi" w:hAnsiTheme="majorBidi" w:cstheme="majorBidi"/>
          <w:sz w:val="24"/>
          <w:szCs w:val="24"/>
          <w:lang w:val="en-US"/>
        </w:rPr>
        <w:t>.</w:t>
      </w:r>
      <w:r w:rsidR="006D4FBB" w:rsidRPr="00F2115E">
        <w:rPr>
          <w:rFonts w:asciiTheme="majorBidi" w:hAnsiTheme="majorBidi" w:cstheme="majorBidi"/>
          <w:sz w:val="24"/>
          <w:szCs w:val="24"/>
          <w:lang w:val="en-US"/>
        </w:rPr>
        <w:t xml:space="preserve"> Kamal, D.A.M., Abidin, S.Z., Saudi, W.S.W. et al. Roles of Prostaglandins and Cyclooxygenases in Autism Spectrum Disorder: A Comprehensive Review. Curr Behav Neurosci Rep 12, 2 (2025). https://doi.org/10.1007/s40473-024-00294-7</w:t>
      </w:r>
    </w:p>
    <w:p w14:paraId="54EF26E5" w14:textId="33E6B22A" w:rsidR="00773332" w:rsidRPr="00F2115E" w:rsidRDefault="0040240B"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2</w:t>
      </w:r>
      <w:r w:rsidR="00384A4C" w:rsidRPr="00F2115E">
        <w:rPr>
          <w:rFonts w:asciiTheme="majorBidi" w:hAnsiTheme="majorBidi" w:cstheme="majorBidi"/>
          <w:sz w:val="24"/>
          <w:szCs w:val="24"/>
          <w:lang w:val="en-US"/>
        </w:rPr>
        <w:t>4</w:t>
      </w:r>
      <w:r w:rsidRPr="00F2115E">
        <w:rPr>
          <w:rFonts w:asciiTheme="majorBidi" w:hAnsiTheme="majorBidi" w:cstheme="majorBidi"/>
          <w:sz w:val="24"/>
          <w:szCs w:val="24"/>
          <w:lang w:val="en-US"/>
        </w:rPr>
        <w:t>.</w:t>
      </w:r>
      <w:r w:rsidR="006D4FBB" w:rsidRPr="00F2115E">
        <w:rPr>
          <w:rFonts w:asciiTheme="majorBidi" w:hAnsiTheme="majorBidi" w:cstheme="majorBidi"/>
          <w:sz w:val="24"/>
          <w:szCs w:val="24"/>
          <w:lang w:val="en-US"/>
        </w:rPr>
        <w:t xml:space="preserve"> Garré, J.M., Silva, H.M., Lafaille, J.J. et al. P2X7 receptor inhibition ameliorates dendritic spine pathology and social behavioral deficits in Rett syndrome mice. Nat Commun 11, 1784 (2020). </w:t>
      </w:r>
      <w:hyperlink r:id="rId18" w:history="1">
        <w:r w:rsidR="006D4FBB" w:rsidRPr="00F2115E">
          <w:rPr>
            <w:rStyle w:val="Hipervnculo"/>
            <w:rFonts w:asciiTheme="majorBidi" w:hAnsiTheme="majorBidi" w:cstheme="majorBidi"/>
            <w:sz w:val="24"/>
            <w:szCs w:val="24"/>
            <w:lang w:val="en-US"/>
          </w:rPr>
          <w:t>https://doi.org/10.1038/s41467-020-15590-5</w:t>
        </w:r>
      </w:hyperlink>
    </w:p>
    <w:p w14:paraId="5CDF65BA" w14:textId="03D0BB74" w:rsidR="006D4FBB"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25.</w:t>
      </w:r>
    </w:p>
    <w:p w14:paraId="0CCB346C" w14:textId="1E2FE29D" w:rsidR="007C3522"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26</w:t>
      </w:r>
    </w:p>
    <w:p w14:paraId="07C48450" w14:textId="222A7A09" w:rsidR="007C3522"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27.</w:t>
      </w:r>
    </w:p>
    <w:p w14:paraId="3A9175E5" w14:textId="37E01407" w:rsidR="007C3522"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28.</w:t>
      </w:r>
    </w:p>
    <w:p w14:paraId="055C5564" w14:textId="5A8B2AFB" w:rsidR="007C3522"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29.</w:t>
      </w:r>
    </w:p>
    <w:p w14:paraId="29499F34" w14:textId="4BA1BFDA" w:rsidR="007C3522"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30.</w:t>
      </w:r>
    </w:p>
    <w:p w14:paraId="0C431FD1" w14:textId="1861A6C2"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3</w:t>
      </w:r>
      <w:r w:rsidR="00E21AC0" w:rsidRPr="00F2115E">
        <w:rPr>
          <w:rFonts w:asciiTheme="majorBidi" w:hAnsiTheme="majorBidi" w:cstheme="majorBidi"/>
          <w:sz w:val="24"/>
          <w:szCs w:val="24"/>
          <w:lang w:val="en-US"/>
        </w:rPr>
        <w:t>1. Petriti U, Dudman DC, Scosyrev E, Lopez-Leon S. Global prevalence of Rett syndrome: systematic review and meta-analysis. Syst Rev. 2023 Jan 16;12(1):5. doi: 10.1186/s13643-023-02169-6</w:t>
      </w:r>
    </w:p>
    <w:p w14:paraId="06284F73" w14:textId="75470FD4"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lastRenderedPageBreak/>
        <w:t>3</w:t>
      </w:r>
      <w:r w:rsidR="00E21AC0" w:rsidRPr="00F2115E">
        <w:rPr>
          <w:rFonts w:asciiTheme="majorBidi" w:hAnsiTheme="majorBidi" w:cstheme="majorBidi"/>
          <w:sz w:val="24"/>
          <w:szCs w:val="24"/>
          <w:lang w:val="en-US"/>
        </w:rPr>
        <w:t>2. Wenk GL. Rett syndrome: neurobiological changes underlying specific symptoms. Prog Neurobiol. 1997 Mar;51(4):383-91. doi: 10.1016/s0301-0082(96)00059-7</w:t>
      </w:r>
    </w:p>
    <w:p w14:paraId="537C9CEF" w14:textId="4237306D"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3</w:t>
      </w:r>
      <w:r w:rsidR="00E21AC0" w:rsidRPr="00F2115E">
        <w:rPr>
          <w:rFonts w:asciiTheme="majorBidi" w:hAnsiTheme="majorBidi" w:cstheme="majorBidi"/>
          <w:sz w:val="24"/>
          <w:szCs w:val="24"/>
          <w:lang w:val="en-US"/>
        </w:rPr>
        <w:t>3. Leonard H, Cobb S, Downs J. Clinical and biological progress over 50 years in Rett syndrome. Nat Rev Neurol. 2017 Jan;13(1):37-51. doi: 10.1038/nrneurol.2016.186.</w:t>
      </w:r>
    </w:p>
    <w:p w14:paraId="6E9D5277" w14:textId="5A499B8A"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3</w:t>
      </w:r>
      <w:r w:rsidR="00E21AC0" w:rsidRPr="00F2115E">
        <w:rPr>
          <w:rFonts w:asciiTheme="majorBidi" w:hAnsiTheme="majorBidi" w:cstheme="majorBidi"/>
          <w:sz w:val="24"/>
          <w:szCs w:val="24"/>
          <w:lang w:val="en-US"/>
        </w:rPr>
        <w:t>4. Wulffaert J, Van Berckelaer-Onnes IA, Scholte EM. Autistic disorder symptoms in Rett syndrome. Autism. 2009 Nov;13(6):567-81. doi: 10.1177/1362361309338184.</w:t>
      </w:r>
    </w:p>
    <w:p w14:paraId="247190AD" w14:textId="54E0E415"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3</w:t>
      </w:r>
      <w:r w:rsidR="00E21AC0" w:rsidRPr="00F2115E">
        <w:rPr>
          <w:rFonts w:asciiTheme="majorBidi" w:hAnsiTheme="majorBidi" w:cstheme="majorBidi"/>
          <w:sz w:val="24"/>
          <w:szCs w:val="24"/>
          <w:lang w:val="en-US"/>
        </w:rPr>
        <w:t>5. Lee JY, Leonard H, Piek JP, Downs J. Early development and regression in Rett syndrome. Clin Genet. 2013 Dec;84(6):572-6. doi: 10.1111/cge.12110.</w:t>
      </w:r>
    </w:p>
    <w:p w14:paraId="33C7F0A0" w14:textId="529AE97F"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3</w:t>
      </w:r>
      <w:r w:rsidR="00E21AC0" w:rsidRPr="00F2115E">
        <w:rPr>
          <w:rFonts w:asciiTheme="majorBidi" w:hAnsiTheme="majorBidi" w:cstheme="majorBidi"/>
          <w:sz w:val="24"/>
          <w:szCs w:val="24"/>
          <w:lang w:val="en-US"/>
        </w:rPr>
        <w:t>6. Nomura Y, Segawa M, Hasegawa M. Rett syndrome--clinical studies and pathophysiological consideration. Brain Dev. 1984;6(5):475-86. doi: 10.1016/s0387-7604(84)80030-3.</w:t>
      </w:r>
    </w:p>
    <w:p w14:paraId="1866F14F" w14:textId="1BFC8E3F" w:rsidR="00E21AC0" w:rsidRPr="00F2115E" w:rsidRDefault="007C3522" w:rsidP="00F2115E">
      <w:pPr>
        <w:spacing w:after="120" w:line="276" w:lineRule="auto"/>
        <w:rPr>
          <w:rFonts w:asciiTheme="majorBidi" w:hAnsiTheme="majorBidi" w:cstheme="majorBidi"/>
          <w:sz w:val="24"/>
          <w:szCs w:val="24"/>
          <w:lang w:val="en-US"/>
        </w:rPr>
      </w:pPr>
      <w:r w:rsidRPr="00C4487C">
        <w:rPr>
          <w:rFonts w:asciiTheme="majorBidi" w:hAnsiTheme="majorBidi" w:cstheme="majorBidi"/>
          <w:sz w:val="24"/>
          <w:szCs w:val="24"/>
          <w:lang w:val="en-US"/>
        </w:rPr>
        <w:t>3</w:t>
      </w:r>
      <w:r w:rsidR="00E21AC0" w:rsidRPr="00C4487C">
        <w:rPr>
          <w:rFonts w:asciiTheme="majorBidi" w:hAnsiTheme="majorBidi" w:cstheme="majorBidi"/>
          <w:sz w:val="24"/>
          <w:szCs w:val="24"/>
          <w:lang w:val="en-US"/>
        </w:rPr>
        <w:t xml:space="preserve">7. Schmidt A, Zhang H, Cardoso MC. </w:t>
      </w:r>
      <w:r w:rsidR="00E21AC0" w:rsidRPr="00F2115E">
        <w:rPr>
          <w:rFonts w:asciiTheme="majorBidi" w:hAnsiTheme="majorBidi" w:cstheme="majorBidi"/>
          <w:sz w:val="24"/>
          <w:szCs w:val="24"/>
          <w:lang w:val="en-US"/>
        </w:rPr>
        <w:t>MeCP2 and Chromatin Compartmentalization. Cells. 2020 Apr 3;9(4):878. doi: 10.3390/cells9040878.</w:t>
      </w:r>
    </w:p>
    <w:p w14:paraId="40442C9B" w14:textId="42E9C9F3" w:rsidR="00E21AC0" w:rsidRPr="00F2115E" w:rsidRDefault="007C3522" w:rsidP="00F2115E">
      <w:pPr>
        <w:spacing w:after="120" w:line="276" w:lineRule="auto"/>
        <w:rPr>
          <w:rFonts w:asciiTheme="majorBidi" w:hAnsiTheme="majorBidi" w:cstheme="majorBidi"/>
          <w:sz w:val="24"/>
          <w:szCs w:val="24"/>
          <w:lang w:val="en-US"/>
        </w:rPr>
      </w:pPr>
      <w:r w:rsidRPr="00C4487C">
        <w:rPr>
          <w:rFonts w:asciiTheme="majorBidi" w:hAnsiTheme="majorBidi" w:cstheme="majorBidi"/>
          <w:sz w:val="24"/>
          <w:szCs w:val="24"/>
          <w:lang w:val="en-US"/>
        </w:rPr>
        <w:t>3</w:t>
      </w:r>
      <w:r w:rsidR="00E21AC0" w:rsidRPr="00C4487C">
        <w:rPr>
          <w:rFonts w:asciiTheme="majorBidi" w:hAnsiTheme="majorBidi" w:cstheme="majorBidi"/>
          <w:sz w:val="24"/>
          <w:szCs w:val="24"/>
          <w:lang w:val="en-US"/>
        </w:rPr>
        <w:t xml:space="preserve">8. Na ES, Nelson ED, Kavalali ET, Monteggia LM. </w:t>
      </w:r>
      <w:r w:rsidR="00E21AC0" w:rsidRPr="00F2115E">
        <w:rPr>
          <w:rFonts w:asciiTheme="majorBidi" w:hAnsiTheme="majorBidi" w:cstheme="majorBidi"/>
          <w:sz w:val="24"/>
          <w:szCs w:val="24"/>
          <w:lang w:val="en-US"/>
        </w:rPr>
        <w:t>The impact of MeCP2 loss- or gain-of-function on synaptic plasticity. Neuropsychopharmacology. 2013 Jan;38(1):212-9. doi: 10.1038/npp.2012.116.</w:t>
      </w:r>
    </w:p>
    <w:p w14:paraId="12700609" w14:textId="1DF5388F"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3</w:t>
      </w:r>
      <w:r w:rsidR="00E21AC0" w:rsidRPr="00F2115E">
        <w:rPr>
          <w:rFonts w:asciiTheme="majorBidi" w:hAnsiTheme="majorBidi" w:cstheme="majorBidi"/>
          <w:sz w:val="24"/>
          <w:szCs w:val="24"/>
          <w:lang w:val="en-US"/>
        </w:rPr>
        <w:t>9. Qiu Z, Sylwestrak EL, Lieberman DN, Zhang Y, Liu XY, Ghosh A. The Rett syndrome protein MeCP2 regulates synaptic scaling. J Neurosci. 2012 Jan 18;32(3):989-94. doi: 10.1523/JNEUROSCI.0175-11.2012.</w:t>
      </w:r>
    </w:p>
    <w:p w14:paraId="6EA444EF" w14:textId="0FE625A5"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40</w:t>
      </w:r>
      <w:r w:rsidR="00E21AC0" w:rsidRPr="00F2115E">
        <w:rPr>
          <w:rFonts w:asciiTheme="majorBidi" w:hAnsiTheme="majorBidi" w:cstheme="majorBidi"/>
          <w:sz w:val="24"/>
          <w:szCs w:val="24"/>
          <w:lang w:val="en-US"/>
        </w:rPr>
        <w:t>. Guy J, Cheval H, Selfridge J, Bird A. The role of MeCP2 in the brain. Annu Rev Cell Dev Biol. 2011;27:631-52. doi: 10.1146/annurev-cellbio-092910-154121</w:t>
      </w:r>
    </w:p>
    <w:p w14:paraId="2EF57179" w14:textId="07DBAA0B"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4</w:t>
      </w:r>
      <w:r w:rsidR="00E21AC0" w:rsidRPr="00F2115E">
        <w:rPr>
          <w:rFonts w:asciiTheme="majorBidi" w:hAnsiTheme="majorBidi" w:cstheme="majorBidi"/>
          <w:sz w:val="24"/>
          <w:szCs w:val="24"/>
          <w:lang w:val="en-US"/>
        </w:rPr>
        <w:t>1. De Felice C, Signorini C, Leoncini S, Pecorelli A, Durand T, Valacchi G, Ciccoli L, Hayek J. The role of oxidative stress in Rett syndrome: an overview. Ann N Y Acad Sci. 2012 Jul;1259:121-35</w:t>
      </w:r>
    </w:p>
    <w:p w14:paraId="6D44F4A5" w14:textId="7F21EBC8"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42</w:t>
      </w:r>
      <w:r w:rsidR="00E21AC0" w:rsidRPr="00F2115E">
        <w:rPr>
          <w:rFonts w:asciiTheme="majorBidi" w:hAnsiTheme="majorBidi" w:cstheme="majorBidi"/>
          <w:sz w:val="24"/>
          <w:szCs w:val="24"/>
          <w:lang w:val="en-US"/>
        </w:rPr>
        <w:t>. Shulyakova N, Andreazza AC, Mills LR, Eubanks JH. Mitochondrial Dysfunction in the Pathogenesis of Rett Syndrome: Implications for Mitochondria-Targeted Therapies. Front Cell Neurosci. 2017 Mar 14;11:58. doi: 10.3389/fncel.2017.00058.</w:t>
      </w:r>
    </w:p>
    <w:p w14:paraId="096A5B9A" w14:textId="7F64DB88"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43</w:t>
      </w:r>
      <w:r w:rsidR="00E21AC0" w:rsidRPr="00F2115E">
        <w:rPr>
          <w:rFonts w:asciiTheme="majorBidi" w:hAnsiTheme="majorBidi" w:cstheme="majorBidi"/>
          <w:sz w:val="24"/>
          <w:szCs w:val="24"/>
          <w:lang w:val="en-US"/>
        </w:rPr>
        <w:t>. Müller M. Disturbed redox homeostasis and oxidative stress: Potential players in the developmental regression in Rett syndrome. Neurosci Biobehav Rev. 2019 Mar;98:154-163. doi: 10.1016/j.neubiorev.2018.12.009.</w:t>
      </w:r>
    </w:p>
    <w:p w14:paraId="5048C796" w14:textId="2BE93F38"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44</w:t>
      </w:r>
      <w:r w:rsidR="00E21AC0" w:rsidRPr="00F2115E">
        <w:rPr>
          <w:rFonts w:asciiTheme="majorBidi" w:hAnsiTheme="majorBidi" w:cstheme="majorBidi"/>
          <w:sz w:val="24"/>
          <w:szCs w:val="24"/>
          <w:lang w:val="en-US"/>
        </w:rPr>
        <w:t>. Gonçalez JL, Shen J, Li W. Molecular Mechanisms of Rett Syndrome: Emphasizing the Roles of Monoamine, Immunity, and Mitochondrial Dysfunction. Cells. 2024 Dec 17;13(24):2077. doi: 10.3390/cells13242077.</w:t>
      </w:r>
    </w:p>
    <w:p w14:paraId="131D9884" w14:textId="12845B20"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45</w:t>
      </w:r>
      <w:r w:rsidR="00E21AC0" w:rsidRPr="00F2115E">
        <w:rPr>
          <w:rFonts w:asciiTheme="majorBidi" w:hAnsiTheme="majorBidi" w:cstheme="majorBidi"/>
          <w:sz w:val="24"/>
          <w:szCs w:val="24"/>
          <w:lang w:val="en-US"/>
        </w:rPr>
        <w:t xml:space="preserve">. De Felice C, Ciccoli L, Leoncini S, Signorini C, Rossi M, Vannuccini L, Guazzi G, Latini G, Comporti M, Valacchi G, Hayek J. Systemic oxidative stress in classic Rett </w:t>
      </w:r>
      <w:r w:rsidR="00E21AC0" w:rsidRPr="00F2115E">
        <w:rPr>
          <w:rFonts w:asciiTheme="majorBidi" w:hAnsiTheme="majorBidi" w:cstheme="majorBidi"/>
          <w:sz w:val="24"/>
          <w:szCs w:val="24"/>
          <w:lang w:val="en-US"/>
        </w:rPr>
        <w:lastRenderedPageBreak/>
        <w:t>syndrome. Free Radic Biol Med. 2009 Aug 15;47(4):440-8. doi: 10.1016/j.freeradbiomed.2009.05.016.</w:t>
      </w:r>
    </w:p>
    <w:p w14:paraId="2F905015" w14:textId="3FE15198"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46</w:t>
      </w:r>
      <w:r w:rsidR="00E21AC0" w:rsidRPr="00F2115E">
        <w:rPr>
          <w:rFonts w:asciiTheme="majorBidi" w:hAnsiTheme="majorBidi" w:cstheme="majorBidi"/>
          <w:sz w:val="24"/>
          <w:szCs w:val="24"/>
          <w:lang w:val="en-US"/>
        </w:rPr>
        <w:t>. De Filippis B, Valenti D, de Bari L, De Rasmo D, Musto M, Fabbri A, Ricceri L, Fiorentini C, Laviola G, Vacca RA. Mitochondrial free radical overproduction due to respiratory chain impairment in the brain of a mouse model of Rett syndrome: protective effect of CNF1. Free Radic Biol Med. 2015 Jun;83:167-77. doi: 10.1016/j.freeradbiomed.2015.02.014</w:t>
      </w:r>
    </w:p>
    <w:p w14:paraId="10923277" w14:textId="00BB2187"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47</w:t>
      </w:r>
      <w:r w:rsidR="00E21AC0" w:rsidRPr="00F2115E">
        <w:rPr>
          <w:rFonts w:asciiTheme="majorBidi" w:hAnsiTheme="majorBidi" w:cstheme="majorBidi"/>
          <w:sz w:val="24"/>
          <w:szCs w:val="24"/>
          <w:lang w:val="en-US"/>
        </w:rPr>
        <w:t>. Dyer AH, Vahdatpour C, Sanfeliu A, Tropea D. The role of Insulin-Like Growth Factor 1 (IGF-1) in brain development, maturation and neuroplasticity. Neuroscience. 2016 Jun 14;325:89-99. doi: 10.1016/j.neuroscience.2016.03.056.</w:t>
      </w:r>
    </w:p>
    <w:p w14:paraId="53A6BE2B" w14:textId="71CF6929"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48</w:t>
      </w:r>
      <w:r w:rsidR="00E21AC0" w:rsidRPr="00F2115E">
        <w:rPr>
          <w:rFonts w:asciiTheme="majorBidi" w:hAnsiTheme="majorBidi" w:cstheme="majorBidi"/>
          <w:sz w:val="24"/>
          <w:szCs w:val="24"/>
          <w:lang w:val="en-US"/>
        </w:rPr>
        <w:t>. Williams EC, Zhong X, Mohamed A, Li R, Liu Y, Dong Q, Ananiev GE, Mok JC, Lin BR, Lu J, Chiao C, Cherney R, Li H, Zhang SC, Chang Q. Mutant astrocytes differentiated from Rett syndrome patients-specific iPSCs have adverse effects on wild-type neurons. Hum Mol Genet. 2014 Jun 1;23(11):2968-80. doi: 10.1093/hmg/ddu008.</w:t>
      </w:r>
    </w:p>
    <w:p w14:paraId="3EDA67A4" w14:textId="5CF289D6"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49</w:t>
      </w:r>
      <w:r w:rsidR="00E21AC0" w:rsidRPr="00F2115E">
        <w:rPr>
          <w:rFonts w:asciiTheme="majorBidi" w:hAnsiTheme="majorBidi" w:cstheme="majorBidi"/>
          <w:sz w:val="24"/>
          <w:szCs w:val="24"/>
          <w:lang w:val="en-US"/>
        </w:rPr>
        <w:t xml:space="preserve">. Alonso De Diego S. A., Gutiérrez-Rodríguez M., Pérez de Vega M. J., González-Muñiz R., Herranz, R., Martín-Martínez M., Cenarruzabetia E., Frechilla, D., Del Río, J., Jimeno M. L. and García-López M. T. The neuroprotective activity of GPE tripeptide analogues does not correlate with glutamate receptor binding affinity. Bioorg. Med. Chem Lett. 2006, 16 (13) 3396-3400.   </w:t>
      </w:r>
    </w:p>
    <w:p w14:paraId="5BC6C742" w14:textId="27389DCB"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50</w:t>
      </w:r>
      <w:r w:rsidR="00E21AC0" w:rsidRPr="00F2115E">
        <w:rPr>
          <w:rFonts w:asciiTheme="majorBidi" w:hAnsiTheme="majorBidi" w:cstheme="majorBidi"/>
          <w:sz w:val="24"/>
          <w:szCs w:val="24"/>
          <w:lang w:val="en-US"/>
        </w:rPr>
        <w:t>. Neul JL, Percy AK, Benke TA, Berry-Kravis EM, Glaze DG, Marsh ED, Lin T, Stankovic S, Bishop KM, Youakim JM. Trofinetide for the treatment of Rett syndrome: a randomized phase 3 study. Nat Med. 2023 Jun;29(6):1468-1475. doi: 10.1038/s41591-023-02398-1.</w:t>
      </w:r>
    </w:p>
    <w:p w14:paraId="73D71028" w14:textId="365098F0"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51</w:t>
      </w:r>
      <w:r w:rsidR="00E21AC0" w:rsidRPr="00F2115E">
        <w:rPr>
          <w:rFonts w:asciiTheme="majorBidi" w:hAnsiTheme="majorBidi" w:cstheme="majorBidi"/>
          <w:sz w:val="24"/>
          <w:szCs w:val="24"/>
          <w:lang w:val="en-US"/>
        </w:rPr>
        <w:t>. Sinnett SE, Gray SJ. Recent endeavors in MECP2 gene transfer for gene therapy of Rett syndrome. Discov Med. 2017 Oct;24(132):153-159</w:t>
      </w:r>
    </w:p>
    <w:p w14:paraId="1C93BEED" w14:textId="39DEAF3E"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52</w:t>
      </w:r>
      <w:r w:rsidR="00E21AC0" w:rsidRPr="00F2115E">
        <w:rPr>
          <w:rFonts w:asciiTheme="majorBidi" w:hAnsiTheme="majorBidi" w:cstheme="majorBidi"/>
          <w:sz w:val="24"/>
          <w:szCs w:val="24"/>
          <w:lang w:val="en-US"/>
        </w:rPr>
        <w:t>. Pozzo-Miller L, Pati S, Percy AK. Rett Syndrome: Reaching for Clinical Trials. Neurotherapeutics. 2015 Jul;12(3):631-40. doi: 10.1007/s13311-015-0353-y</w:t>
      </w:r>
    </w:p>
    <w:p w14:paraId="6B104F41" w14:textId="17673606"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53</w:t>
      </w:r>
      <w:r w:rsidR="00E21AC0" w:rsidRPr="00F2115E">
        <w:rPr>
          <w:rFonts w:asciiTheme="majorBidi" w:hAnsiTheme="majorBidi" w:cstheme="majorBidi"/>
          <w:sz w:val="24"/>
          <w:szCs w:val="24"/>
          <w:lang w:val="en-US"/>
        </w:rPr>
        <w:t>. Palmieri M, Pozzer D, Landsberger N. Advanced genetic therapies for the treatment of Rett syndrome: state of the art and future perspectives. Front Neurosci. 2023 May 25;17:1172805. doi: 10.3389/fnins.2023.1172805</w:t>
      </w:r>
    </w:p>
    <w:p w14:paraId="6BBD638D" w14:textId="6A1E89CE" w:rsidR="00E21AC0" w:rsidRPr="00F2115E" w:rsidRDefault="007C3522" w:rsidP="00F2115E">
      <w:pPr>
        <w:spacing w:after="120" w:line="276" w:lineRule="auto"/>
        <w:rPr>
          <w:rFonts w:asciiTheme="majorBidi" w:hAnsiTheme="majorBidi" w:cstheme="majorBidi"/>
          <w:sz w:val="24"/>
          <w:szCs w:val="24"/>
          <w:lang w:val="pt-BR"/>
        </w:rPr>
      </w:pPr>
      <w:r w:rsidRPr="00F2115E">
        <w:rPr>
          <w:rFonts w:asciiTheme="majorBidi" w:hAnsiTheme="majorBidi" w:cstheme="majorBidi"/>
          <w:sz w:val="24"/>
          <w:szCs w:val="24"/>
          <w:lang w:val="en-US"/>
        </w:rPr>
        <w:t>54</w:t>
      </w:r>
      <w:r w:rsidR="00E21AC0" w:rsidRPr="00F2115E">
        <w:rPr>
          <w:rFonts w:asciiTheme="majorBidi" w:hAnsiTheme="majorBidi" w:cstheme="majorBidi"/>
          <w:sz w:val="24"/>
          <w:szCs w:val="24"/>
          <w:lang w:val="en-US"/>
        </w:rPr>
        <w:t xml:space="preserve">. Leonard H, Gold W, Samaco R, Sahin M, Benke T, Downs J. Improving clinical trial readiness to accelerate development of new therapeutics for Rett syndrome. </w:t>
      </w:r>
      <w:r w:rsidR="00E21AC0" w:rsidRPr="00F2115E">
        <w:rPr>
          <w:rFonts w:asciiTheme="majorBidi" w:hAnsiTheme="majorBidi" w:cstheme="majorBidi"/>
          <w:sz w:val="24"/>
          <w:szCs w:val="24"/>
          <w:lang w:val="pt-BR"/>
        </w:rPr>
        <w:t>Orphanet J Rare Dis. 2022 Mar 4;17(1):108. doi: 10.1186/s13023-022-02240-w.</w:t>
      </w:r>
    </w:p>
    <w:p w14:paraId="5BA10AA3" w14:textId="33C3EB85"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pt-BR"/>
        </w:rPr>
        <w:t>55</w:t>
      </w:r>
      <w:r w:rsidR="00E21AC0" w:rsidRPr="00F2115E">
        <w:rPr>
          <w:rFonts w:asciiTheme="majorBidi" w:hAnsiTheme="majorBidi" w:cstheme="majorBidi"/>
          <w:sz w:val="24"/>
          <w:szCs w:val="24"/>
          <w:lang w:val="pt-BR"/>
        </w:rPr>
        <w:t xml:space="preserve">. Percy AK. </w:t>
      </w:r>
      <w:r w:rsidR="00E21AC0" w:rsidRPr="00F2115E">
        <w:rPr>
          <w:rFonts w:asciiTheme="majorBidi" w:hAnsiTheme="majorBidi" w:cstheme="majorBidi"/>
          <w:sz w:val="24"/>
          <w:szCs w:val="24"/>
          <w:lang w:val="en-US"/>
        </w:rPr>
        <w:t>Progress in Rett Syndrome: from discovery to clinical trials. Wien Med Wochenschr. 2016 Sep;166(11-12):325-32. doi: 10.1007/s10354-016-0491-9.</w:t>
      </w:r>
    </w:p>
    <w:p w14:paraId="4C21F724" w14:textId="0D0FEBBC"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lastRenderedPageBreak/>
        <w:t>56</w:t>
      </w:r>
      <w:r w:rsidR="00E21AC0" w:rsidRPr="00F2115E">
        <w:rPr>
          <w:rFonts w:asciiTheme="majorBidi" w:hAnsiTheme="majorBidi" w:cstheme="majorBidi"/>
          <w:sz w:val="24"/>
          <w:szCs w:val="24"/>
          <w:lang w:val="en-US"/>
        </w:rPr>
        <w:t>. Gomathi M, Padmapriya S, Balachandar V. Drug Studies on Rett Syndrome: From Bench to Bedside. J Autism Dev Disord. 2020 Aug;50(8):2740-2764. doi: 10.1007/s10803-020-04381-y.</w:t>
      </w:r>
    </w:p>
    <w:p w14:paraId="4E12F772" w14:textId="2E704041"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57</w:t>
      </w:r>
      <w:r w:rsidR="00E21AC0" w:rsidRPr="00F2115E">
        <w:rPr>
          <w:rFonts w:asciiTheme="majorBidi" w:hAnsiTheme="majorBidi" w:cstheme="majorBidi"/>
          <w:sz w:val="24"/>
          <w:szCs w:val="24"/>
          <w:lang w:val="en-US"/>
        </w:rPr>
        <w:t>. Percy AK, Ananth A, Neul JL. Rett Syndrome: The Emerging Landscape of Treatment Strategies. CNS Drugs. 2024 Nov;38(11):851-867. doi: 10.1007/s40263-024-01106-y.</w:t>
      </w:r>
    </w:p>
    <w:p w14:paraId="48ABA24F" w14:textId="03DB44A1"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58</w:t>
      </w:r>
      <w:r w:rsidR="00E21AC0" w:rsidRPr="00F2115E">
        <w:rPr>
          <w:rFonts w:asciiTheme="majorBidi" w:hAnsiTheme="majorBidi" w:cstheme="majorBidi"/>
          <w:sz w:val="24"/>
          <w:szCs w:val="24"/>
          <w:lang w:val="en-US"/>
        </w:rPr>
        <w:t>. Sandweiss AJ, Brandt VL, Zoghbi HY. Advances in understanding of Rett syndrome and MECP2 duplication syndrome: prospects for future therapies. Lancet Neurol. 2020 Aug;19(8):689-698. doi: 10.1016/S1474-4422(20)30217-9.</w:t>
      </w:r>
    </w:p>
    <w:p w14:paraId="7B7E9EFE" w14:textId="4519AAD6"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59</w:t>
      </w:r>
      <w:r w:rsidR="00E21AC0" w:rsidRPr="00F2115E">
        <w:rPr>
          <w:rFonts w:asciiTheme="majorBidi" w:hAnsiTheme="majorBidi" w:cstheme="majorBidi"/>
          <w:sz w:val="24"/>
          <w:szCs w:val="24"/>
          <w:lang w:val="en-US"/>
        </w:rPr>
        <w:t>. Grimm NB, Lee JT. Selective Xi reactivation and alternative methods to restore MECP2 function in Rett syndrome. Trends Genet. 2022 Sep;38(9):920-943. doi: 10.1016/j.tig.2022.01.007.</w:t>
      </w:r>
    </w:p>
    <w:p w14:paraId="43A65E80" w14:textId="56CBE3D3"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60</w:t>
      </w:r>
      <w:r w:rsidR="00E21AC0" w:rsidRPr="00F2115E">
        <w:rPr>
          <w:rFonts w:asciiTheme="majorBidi" w:hAnsiTheme="majorBidi" w:cstheme="majorBidi"/>
          <w:sz w:val="24"/>
          <w:szCs w:val="24"/>
          <w:lang w:val="en-US"/>
        </w:rPr>
        <w:t>. Jorge-Torres OC, Szczesna K, Roa L, Casal C, Gonzalez-Somermeyer L, Soler M, Velasco CD, Martínez-San Segundo P, Petazzi P, Sáez MA, Delgado-Morales R, Fourcade S, Pujol A, Huertas D, Llobet A, Guil S, Esteller M. Inhibition of Gsk3b Reduces Nfkb1 Signaling and Rescues Synaptic Activity to Improve the Rett Syndrome Phenotype in Mecp2-Knockout Mice. Cell Rep. 2018 May 8;23(6):1665-1677. doi: 10.1016/j.celrep.2018.04.010.</w:t>
      </w:r>
    </w:p>
    <w:p w14:paraId="48042785" w14:textId="349F832A" w:rsidR="00E21AC0" w:rsidRPr="00F2115E" w:rsidRDefault="007C3522" w:rsidP="00F2115E">
      <w:pPr>
        <w:spacing w:after="120" w:line="276" w:lineRule="auto"/>
        <w:rPr>
          <w:rFonts w:asciiTheme="majorBidi" w:hAnsiTheme="majorBidi" w:cstheme="majorBidi"/>
          <w:sz w:val="24"/>
          <w:szCs w:val="24"/>
          <w:lang w:val="en-US"/>
        </w:rPr>
      </w:pPr>
      <w:r w:rsidRPr="00C4487C">
        <w:rPr>
          <w:rFonts w:asciiTheme="majorBidi" w:hAnsiTheme="majorBidi" w:cstheme="majorBidi"/>
          <w:sz w:val="24"/>
          <w:szCs w:val="24"/>
          <w:lang w:val="en-US"/>
        </w:rPr>
        <w:t>61</w:t>
      </w:r>
      <w:r w:rsidR="00E21AC0" w:rsidRPr="00C4487C">
        <w:rPr>
          <w:rFonts w:asciiTheme="majorBidi" w:hAnsiTheme="majorBidi" w:cstheme="majorBidi"/>
          <w:sz w:val="24"/>
          <w:szCs w:val="24"/>
          <w:lang w:val="en-US"/>
        </w:rPr>
        <w:t xml:space="preserve">. Urdinguio RG, Lopez-Serra L, Lopez-Nieva P, Alaminos M, Diaz-Uriarte R, Fernandez AF, Esteller M. Mecp2-null mice provide new neuronal targets for Rett syndrome. </w:t>
      </w:r>
      <w:r w:rsidR="00E21AC0" w:rsidRPr="00F2115E">
        <w:rPr>
          <w:rFonts w:asciiTheme="majorBidi" w:hAnsiTheme="majorBidi" w:cstheme="majorBidi"/>
          <w:sz w:val="24"/>
          <w:szCs w:val="24"/>
          <w:lang w:val="en-US"/>
        </w:rPr>
        <w:t>PLoS One. 2008;3(11):e3669. doi: 10.1371/journal.pone.0003669.</w:t>
      </w:r>
    </w:p>
    <w:p w14:paraId="7D2A3DF4" w14:textId="18E9C10D"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62</w:t>
      </w:r>
      <w:r w:rsidR="00E21AC0" w:rsidRPr="00F2115E">
        <w:rPr>
          <w:rFonts w:asciiTheme="majorBidi" w:hAnsiTheme="majorBidi" w:cstheme="majorBidi"/>
          <w:sz w:val="24"/>
          <w:szCs w:val="24"/>
          <w:lang w:val="en-US"/>
        </w:rPr>
        <w:t>. Bender HU, Almashanu S, Steel G, Hu CA, Lin WW, Willis A, Pulver A, Valle D. Functional consequences of PRODH missense mutations. Am J Hum Genet. 2005 Mar;76(3):409-20. doi: 10.1086/428142.</w:t>
      </w:r>
    </w:p>
    <w:p w14:paraId="5B9546EF" w14:textId="3C199C4C"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63</w:t>
      </w:r>
      <w:r w:rsidR="00E21AC0" w:rsidRPr="00F2115E">
        <w:rPr>
          <w:rFonts w:asciiTheme="majorBidi" w:hAnsiTheme="majorBidi" w:cstheme="majorBidi"/>
          <w:sz w:val="24"/>
          <w:szCs w:val="24"/>
          <w:lang w:val="en-US"/>
        </w:rPr>
        <w:t>. Fu C, Armstrong D, Marsh E, Lieberman D, Motil K, Witt R, Standridge S, Lane J, Dinkel T, Jones M, Hale K, Suter B, Glaze D, Neul J, Percy A, Benke T. Multisystem comorbidities in classic Rett syndrome: a scoping review. BMJ Paediatr Open. 2020 Sep 22;4(1):e000731. doi: 10.1136/bmjpo-2020-000731.</w:t>
      </w:r>
    </w:p>
    <w:p w14:paraId="08CF2E06" w14:textId="4C939C5B"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64</w:t>
      </w:r>
      <w:r w:rsidR="00E21AC0" w:rsidRPr="00F2115E">
        <w:rPr>
          <w:rFonts w:asciiTheme="majorBidi" w:hAnsiTheme="majorBidi" w:cstheme="majorBidi"/>
          <w:sz w:val="24"/>
          <w:szCs w:val="24"/>
          <w:lang w:val="en-US"/>
        </w:rPr>
        <w:t>. Ivy AS, Standridge SM. Rett Syndrome: A Timely Review From Recognition to Current Clinical Approaches and Clinical Study Updates. Semin Pediatr Neurol. 2021 Apr;37:100881. doi: 10.1016/j.spen.2021.100881.</w:t>
      </w:r>
    </w:p>
    <w:p w14:paraId="4590D0B5" w14:textId="7429334C"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65</w:t>
      </w:r>
      <w:r w:rsidR="00E21AC0" w:rsidRPr="00F2115E">
        <w:rPr>
          <w:rFonts w:asciiTheme="majorBidi" w:hAnsiTheme="majorBidi" w:cstheme="majorBidi"/>
          <w:sz w:val="24"/>
          <w:szCs w:val="24"/>
          <w:lang w:val="en-US"/>
        </w:rPr>
        <w:t>. Arancibia T, Pardo R, Barrientos P. Síndrome de Rett, una mirada actual [Rett Syndrome: an updated view]. Andes Pediatr. 2023 Jan;94(1):94-103. Spanish. doi: 10.32641/andespediatr.v94i1.4014.</w:t>
      </w:r>
    </w:p>
    <w:p w14:paraId="5FA39BA6" w14:textId="05470996"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66</w:t>
      </w:r>
      <w:r w:rsidR="00E21AC0" w:rsidRPr="00F2115E">
        <w:rPr>
          <w:rFonts w:asciiTheme="majorBidi" w:hAnsiTheme="majorBidi" w:cstheme="majorBidi"/>
          <w:sz w:val="24"/>
          <w:szCs w:val="24"/>
          <w:lang w:val="en-US"/>
        </w:rPr>
        <w:t>. Einspieler C, Marschik PB. Regression in Rett syndrome: Developmental pathways to its onset. Neurosci Biobehav Rev. 2019 Mar;98:320-332. doi: 10.1016/j.neubiorev.2019.01.028.</w:t>
      </w:r>
    </w:p>
    <w:p w14:paraId="22971EBA" w14:textId="7AD93F5E" w:rsidR="00E21AC0" w:rsidRPr="00F2115E" w:rsidRDefault="00E21AC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lastRenderedPageBreak/>
        <w:t>6</w:t>
      </w:r>
      <w:r w:rsidR="007C3522" w:rsidRPr="00F2115E">
        <w:rPr>
          <w:rFonts w:asciiTheme="majorBidi" w:hAnsiTheme="majorBidi" w:cstheme="majorBidi"/>
          <w:sz w:val="24"/>
          <w:szCs w:val="24"/>
          <w:lang w:val="en-US"/>
        </w:rPr>
        <w:t>7</w:t>
      </w:r>
      <w:r w:rsidRPr="00F2115E">
        <w:rPr>
          <w:rFonts w:asciiTheme="majorBidi" w:hAnsiTheme="majorBidi" w:cstheme="majorBidi"/>
          <w:sz w:val="24"/>
          <w:szCs w:val="24"/>
          <w:lang w:val="en-US"/>
        </w:rPr>
        <w:t>. Chahrour M, Zoghbi HY. The story of Rett syndrome: from clinic to neurobiology. Neuron. 2007 Nov 8;56(3):422-37. doi: 10.1016/j.neuron.2007.10.001.</w:t>
      </w:r>
    </w:p>
    <w:p w14:paraId="1A827CDF" w14:textId="53C6325F" w:rsidR="00E21AC0" w:rsidRPr="00F2115E" w:rsidRDefault="00E21AC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6</w:t>
      </w:r>
      <w:r w:rsidR="007C3522" w:rsidRPr="00F2115E">
        <w:rPr>
          <w:rFonts w:asciiTheme="majorBidi" w:hAnsiTheme="majorBidi" w:cstheme="majorBidi"/>
          <w:sz w:val="24"/>
          <w:szCs w:val="24"/>
          <w:lang w:val="en-US"/>
        </w:rPr>
        <w:t>8</w:t>
      </w:r>
      <w:r w:rsidRPr="00F2115E">
        <w:rPr>
          <w:rFonts w:asciiTheme="majorBidi" w:hAnsiTheme="majorBidi" w:cstheme="majorBidi"/>
          <w:sz w:val="24"/>
          <w:szCs w:val="24"/>
          <w:lang w:val="en-US"/>
        </w:rPr>
        <w:t>. Gomathi M, Balachandar V. Novel therapeutic approaches: Rett syndrome and human induced pluripotent stem cell technology. Stem Cell Investig. 2017 Mar 2;4:20. doi: 10.21037/sci.2017.02.11.</w:t>
      </w:r>
    </w:p>
    <w:p w14:paraId="1AFD2C70" w14:textId="60B10EE2" w:rsidR="00E21AC0" w:rsidRPr="00F2115E" w:rsidRDefault="00E21AC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6</w:t>
      </w:r>
      <w:r w:rsidR="007C3522" w:rsidRPr="00F2115E">
        <w:rPr>
          <w:rFonts w:asciiTheme="majorBidi" w:hAnsiTheme="majorBidi" w:cstheme="majorBidi"/>
          <w:sz w:val="24"/>
          <w:szCs w:val="24"/>
          <w:lang w:val="en-US"/>
        </w:rPr>
        <w:t>9</w:t>
      </w:r>
      <w:r w:rsidRPr="00F2115E">
        <w:rPr>
          <w:rFonts w:asciiTheme="majorBidi" w:hAnsiTheme="majorBidi" w:cstheme="majorBidi"/>
          <w:sz w:val="24"/>
          <w:szCs w:val="24"/>
          <w:lang w:val="en-US"/>
        </w:rPr>
        <w:t>. Katz DM, Bird A, Coenraads M, Gray SJ, Menon DU, Philpot BD, Tarquinio DC. Rett Syndrome: Crossing the Threshold to Clinical Translation. Trends Neurosci. 2016 Feb;39(2):100-113. doi: 10.1016/j.tins.2015.12.008.</w:t>
      </w:r>
    </w:p>
    <w:p w14:paraId="7D9E8BB7" w14:textId="7B00351A"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70</w:t>
      </w:r>
      <w:r w:rsidR="00E21AC0" w:rsidRPr="00F2115E">
        <w:rPr>
          <w:rFonts w:asciiTheme="majorBidi" w:hAnsiTheme="majorBidi" w:cstheme="majorBidi"/>
          <w:sz w:val="24"/>
          <w:szCs w:val="24"/>
          <w:lang w:val="en-US"/>
        </w:rPr>
        <w:t>. Good KV, Vincent JB, Ausió J. MeCP2: The Genetic Driver of Rett Syndrome Epigenetics. Front Genet. 2021 Jan 21;12:620859. doi: 10.3389/fgene.2021.620859</w:t>
      </w:r>
    </w:p>
    <w:p w14:paraId="4662F32D" w14:textId="084118EE"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71</w:t>
      </w:r>
      <w:r w:rsidR="00E21AC0" w:rsidRPr="00F2115E">
        <w:rPr>
          <w:rFonts w:asciiTheme="majorBidi" w:hAnsiTheme="majorBidi" w:cstheme="majorBidi"/>
          <w:sz w:val="24"/>
          <w:szCs w:val="24"/>
          <w:lang w:val="en-US"/>
        </w:rPr>
        <w:t>. Lyst MJ, Bird A. Rett syndrome: a complex disorder with simple roots. Nat Rev Genet. 2015 May;16(5):261-75. doi: 10.1038/nrg3897.</w:t>
      </w:r>
    </w:p>
    <w:p w14:paraId="77950936" w14:textId="380F0004"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72</w:t>
      </w:r>
      <w:r w:rsidR="00E21AC0" w:rsidRPr="00F2115E">
        <w:rPr>
          <w:rFonts w:asciiTheme="majorBidi" w:hAnsiTheme="majorBidi" w:cstheme="majorBidi"/>
          <w:sz w:val="24"/>
          <w:szCs w:val="24"/>
          <w:lang w:val="en-US"/>
        </w:rPr>
        <w:t>. Lu S, Chen Y, Wang Z. Advances in the pathogenesis of Rett syndrome using cell models. Animal Model Exp Med. 2022 Dec;5(6):532-541. doi: 10.1002/ame2.12236.</w:t>
      </w:r>
    </w:p>
    <w:p w14:paraId="2B8F4C30" w14:textId="5FC70E68"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73</w:t>
      </w:r>
      <w:r w:rsidR="00E21AC0" w:rsidRPr="00F2115E">
        <w:rPr>
          <w:rFonts w:asciiTheme="majorBidi" w:hAnsiTheme="majorBidi" w:cstheme="majorBidi"/>
          <w:sz w:val="24"/>
          <w:szCs w:val="24"/>
          <w:lang w:val="en-US"/>
        </w:rPr>
        <w:t>. Lim J, Greenspoon D, Hunt A, McAdam L. Rehabilitation interventions in Rett syndrome: a scoping review. Dev Med Child Neurol. 2020 Aug;62(8):906-916. doi: 10.1111/dmcn.14565.</w:t>
      </w:r>
    </w:p>
    <w:p w14:paraId="336A92BF" w14:textId="3EB01A82" w:rsidR="00E21AC0" w:rsidRPr="00F2115E" w:rsidRDefault="007C3522" w:rsidP="00F2115E">
      <w:pPr>
        <w:spacing w:after="120" w:line="276" w:lineRule="auto"/>
        <w:rPr>
          <w:rFonts w:asciiTheme="majorBidi" w:hAnsiTheme="majorBidi" w:cstheme="majorBidi"/>
          <w:sz w:val="24"/>
          <w:szCs w:val="24"/>
          <w:lang w:val="pt-BR"/>
        </w:rPr>
      </w:pPr>
      <w:r w:rsidRPr="00F2115E">
        <w:rPr>
          <w:rFonts w:asciiTheme="majorBidi" w:hAnsiTheme="majorBidi" w:cstheme="majorBidi"/>
          <w:sz w:val="24"/>
          <w:szCs w:val="24"/>
          <w:lang w:val="en-US"/>
        </w:rPr>
        <w:t>74</w:t>
      </w:r>
      <w:r w:rsidR="00E21AC0" w:rsidRPr="00F2115E">
        <w:rPr>
          <w:rFonts w:asciiTheme="majorBidi" w:hAnsiTheme="majorBidi" w:cstheme="majorBidi"/>
          <w:sz w:val="24"/>
          <w:szCs w:val="24"/>
          <w:lang w:val="en-US"/>
        </w:rPr>
        <w:t xml:space="preserve">. Hudu SA, Elmigdadi F, Qtaitat AA, Almehmadi M, Alsaiari AA, Allahyani M, Aljuaid A, Salih M, Alghamdi A, Alrofaidi MA, Abida, Imran M. Trofinetide for Rett Syndrome: Highlights on the Development and Related Inventions of the First USFDA-Approved Treatment for Rare Pediatric Unmet Medical Need. </w:t>
      </w:r>
      <w:r w:rsidR="00E21AC0" w:rsidRPr="00F2115E">
        <w:rPr>
          <w:rFonts w:asciiTheme="majorBidi" w:hAnsiTheme="majorBidi" w:cstheme="majorBidi"/>
          <w:sz w:val="24"/>
          <w:szCs w:val="24"/>
          <w:lang w:val="pt-BR"/>
        </w:rPr>
        <w:t>J Clin Med. 2023 Aug 4;12(15):5114. doi: 10.3390/jcm12155114.</w:t>
      </w:r>
    </w:p>
    <w:p w14:paraId="1A8C83E7" w14:textId="22159448" w:rsidR="00E21AC0" w:rsidRPr="00F2115E" w:rsidRDefault="007C3522"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pt-BR"/>
        </w:rPr>
        <w:t>75</w:t>
      </w:r>
      <w:r w:rsidR="00E21AC0" w:rsidRPr="00F2115E">
        <w:rPr>
          <w:rFonts w:asciiTheme="majorBidi" w:hAnsiTheme="majorBidi" w:cstheme="majorBidi"/>
          <w:sz w:val="24"/>
          <w:szCs w:val="24"/>
          <w:lang w:val="pt-BR"/>
        </w:rPr>
        <w:t xml:space="preserve">. Mouro FM, Miranda-Lourenço C, Sebastião AM, Diógenes MJ. </w:t>
      </w:r>
      <w:r w:rsidR="00E21AC0" w:rsidRPr="00F2115E">
        <w:rPr>
          <w:rFonts w:asciiTheme="majorBidi" w:hAnsiTheme="majorBidi" w:cstheme="majorBidi"/>
          <w:sz w:val="24"/>
          <w:szCs w:val="24"/>
          <w:lang w:val="en-US"/>
        </w:rPr>
        <w:t>From Cannabinoids and Neurosteroids to Statins and the Ketogenic Diet: New Therapeutic Avenues in Rett Syndrome? Front Neurosci. 2019 Jul 2;13:680. doi: 10.3389/fnins.2019.00680.</w:t>
      </w:r>
    </w:p>
    <w:p w14:paraId="1BACF895" w14:textId="0CE3B05B" w:rsidR="00E21AC0" w:rsidRPr="00F2115E" w:rsidRDefault="00E21AC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7</w:t>
      </w:r>
      <w:r w:rsidR="007C3522" w:rsidRPr="00F2115E">
        <w:rPr>
          <w:rFonts w:asciiTheme="majorBidi" w:hAnsiTheme="majorBidi" w:cstheme="majorBidi"/>
          <w:sz w:val="24"/>
          <w:szCs w:val="24"/>
          <w:lang w:val="en-US"/>
        </w:rPr>
        <w:t>6</w:t>
      </w:r>
      <w:r w:rsidRPr="00F2115E">
        <w:rPr>
          <w:rFonts w:asciiTheme="majorBidi" w:hAnsiTheme="majorBidi" w:cstheme="majorBidi"/>
          <w:sz w:val="24"/>
          <w:szCs w:val="24"/>
          <w:lang w:val="en-US"/>
        </w:rPr>
        <w:t>. Percy AK. Neuroscience. Path to treat Rett syndrome. Science. 2013 Oct 18;342(6156):318-20. doi: 10.1126/science.1245657.</w:t>
      </w:r>
    </w:p>
    <w:p w14:paraId="55C9206E" w14:textId="62659BE0" w:rsidR="00E21AC0" w:rsidRPr="00F2115E" w:rsidRDefault="00E21AC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7</w:t>
      </w:r>
      <w:r w:rsidR="007C3522" w:rsidRPr="00F2115E">
        <w:rPr>
          <w:rFonts w:asciiTheme="majorBidi" w:hAnsiTheme="majorBidi" w:cstheme="majorBidi"/>
          <w:sz w:val="24"/>
          <w:szCs w:val="24"/>
          <w:lang w:val="en-US"/>
        </w:rPr>
        <w:t>7</w:t>
      </w:r>
      <w:r w:rsidRPr="00F2115E">
        <w:rPr>
          <w:rFonts w:asciiTheme="majorBidi" w:hAnsiTheme="majorBidi" w:cstheme="majorBidi"/>
          <w:sz w:val="24"/>
          <w:szCs w:val="24"/>
          <w:lang w:val="en-US"/>
        </w:rPr>
        <w:t>. Sharifi O, Yasui DH. The Molecular Functions of MeCP2 in Rett Syndrome Pathology. Front Genet. 2021 Apr 23;12:624290. doi: 10.3389/fgene.2021.624290.</w:t>
      </w:r>
    </w:p>
    <w:p w14:paraId="1FEDED8F" w14:textId="48D0243D" w:rsidR="00E21AC0" w:rsidRPr="00F2115E" w:rsidRDefault="00E21AC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7</w:t>
      </w:r>
      <w:r w:rsidR="007C3522" w:rsidRPr="00F2115E">
        <w:rPr>
          <w:rFonts w:asciiTheme="majorBidi" w:hAnsiTheme="majorBidi" w:cstheme="majorBidi"/>
          <w:sz w:val="24"/>
          <w:szCs w:val="24"/>
          <w:lang w:val="en-US"/>
        </w:rPr>
        <w:t>8</w:t>
      </w:r>
      <w:r w:rsidRPr="00F2115E">
        <w:rPr>
          <w:rFonts w:asciiTheme="majorBidi" w:hAnsiTheme="majorBidi" w:cstheme="majorBidi"/>
          <w:sz w:val="24"/>
          <w:szCs w:val="24"/>
          <w:lang w:val="en-US"/>
        </w:rPr>
        <w:t>. Pozzo-Miller L, Pati S, Percy AK. Rett Syndrome: Reaching for Clinical Trials. Neurotherapeutics. 2015 Jul;12(3):631-40. doi: 10.1007/s13311-015-0353-y.</w:t>
      </w:r>
    </w:p>
    <w:p w14:paraId="4F8545A5" w14:textId="688D525C" w:rsidR="00E21AC0" w:rsidRPr="00F2115E" w:rsidRDefault="00E21AC0"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7</w:t>
      </w:r>
      <w:r w:rsidR="007C3522" w:rsidRPr="00F2115E">
        <w:rPr>
          <w:rFonts w:asciiTheme="majorBidi" w:hAnsiTheme="majorBidi" w:cstheme="majorBidi"/>
          <w:sz w:val="24"/>
          <w:szCs w:val="24"/>
          <w:lang w:val="en-US"/>
        </w:rPr>
        <w:t>9</w:t>
      </w:r>
      <w:r w:rsidRPr="00F2115E">
        <w:rPr>
          <w:rFonts w:asciiTheme="majorBidi" w:hAnsiTheme="majorBidi" w:cstheme="majorBidi"/>
          <w:sz w:val="24"/>
          <w:szCs w:val="24"/>
          <w:lang w:val="en-US"/>
        </w:rPr>
        <w:t>. Panayotis N, Ehinger Y, Felix MS, Roux JC. State-of-the-art therapies for Rett syndrome. Dev Med Child Neurol. 2023 Feb;65(2):162-170. doi: 10.1111/dmcn.15383.</w:t>
      </w:r>
    </w:p>
    <w:p w14:paraId="2CBF766C" w14:textId="695EC2A8" w:rsidR="00B84994" w:rsidRDefault="00B84994" w:rsidP="00F2115E">
      <w:pPr>
        <w:spacing w:after="120" w:line="276" w:lineRule="auto"/>
        <w:rPr>
          <w:rFonts w:asciiTheme="majorBidi" w:hAnsiTheme="majorBidi" w:cstheme="majorBidi"/>
          <w:sz w:val="24"/>
          <w:szCs w:val="24"/>
          <w:lang w:val="en-US"/>
        </w:rPr>
      </w:pPr>
      <w:r w:rsidRPr="00F2115E">
        <w:rPr>
          <w:rFonts w:asciiTheme="majorBidi" w:hAnsiTheme="majorBidi" w:cstheme="majorBidi"/>
          <w:sz w:val="24"/>
          <w:szCs w:val="24"/>
          <w:lang w:val="en-US"/>
        </w:rPr>
        <w:t xml:space="preserve">80. </w:t>
      </w:r>
    </w:p>
    <w:p w14:paraId="6CD5DAB3" w14:textId="438EE890" w:rsidR="00F2115E" w:rsidRDefault="00F2115E" w:rsidP="00F2115E">
      <w:pPr>
        <w:spacing w:after="120" w:line="276" w:lineRule="auto"/>
        <w:rPr>
          <w:rFonts w:asciiTheme="majorBidi" w:hAnsiTheme="majorBidi" w:cstheme="majorBidi"/>
          <w:sz w:val="24"/>
          <w:szCs w:val="24"/>
          <w:lang w:val="en-US"/>
        </w:rPr>
      </w:pPr>
      <w:r>
        <w:rPr>
          <w:rFonts w:asciiTheme="majorBidi" w:hAnsiTheme="majorBidi" w:cstheme="majorBidi"/>
          <w:sz w:val="24"/>
          <w:szCs w:val="24"/>
          <w:lang w:val="en-US"/>
        </w:rPr>
        <w:t>82.</w:t>
      </w:r>
    </w:p>
    <w:p w14:paraId="378D0608" w14:textId="2C9A7CB5" w:rsidR="00F2115E" w:rsidRDefault="00F2115E" w:rsidP="00F2115E">
      <w:pPr>
        <w:spacing w:after="120" w:line="276" w:lineRule="auto"/>
        <w:rPr>
          <w:rFonts w:asciiTheme="majorBidi" w:hAnsiTheme="majorBidi" w:cstheme="majorBidi"/>
          <w:sz w:val="24"/>
          <w:szCs w:val="24"/>
          <w:lang w:val="en-US"/>
        </w:rPr>
      </w:pPr>
      <w:r>
        <w:rPr>
          <w:rFonts w:asciiTheme="majorBidi" w:hAnsiTheme="majorBidi" w:cstheme="majorBidi"/>
          <w:sz w:val="24"/>
          <w:szCs w:val="24"/>
          <w:lang w:val="en-US"/>
        </w:rPr>
        <w:lastRenderedPageBreak/>
        <w:t>83.</w:t>
      </w:r>
    </w:p>
    <w:p w14:paraId="79660437" w14:textId="79225C1D" w:rsidR="00F2115E" w:rsidRDefault="00F2115E" w:rsidP="00F2115E">
      <w:pPr>
        <w:spacing w:after="120" w:line="276" w:lineRule="auto"/>
        <w:rPr>
          <w:rFonts w:asciiTheme="majorBidi" w:hAnsiTheme="majorBidi" w:cstheme="majorBidi"/>
          <w:sz w:val="24"/>
          <w:szCs w:val="24"/>
          <w:lang w:val="en-US"/>
        </w:rPr>
      </w:pPr>
      <w:r>
        <w:rPr>
          <w:rFonts w:asciiTheme="majorBidi" w:hAnsiTheme="majorBidi" w:cstheme="majorBidi"/>
          <w:sz w:val="24"/>
          <w:szCs w:val="24"/>
          <w:lang w:val="en-US"/>
        </w:rPr>
        <w:t>84.</w:t>
      </w:r>
    </w:p>
    <w:p w14:paraId="1F782EE9" w14:textId="4CAAE5FF" w:rsidR="00F2115E" w:rsidRDefault="00F2115E" w:rsidP="00F2115E">
      <w:pPr>
        <w:spacing w:after="120" w:line="276" w:lineRule="auto"/>
        <w:rPr>
          <w:rFonts w:asciiTheme="majorBidi" w:hAnsiTheme="majorBidi" w:cstheme="majorBidi"/>
          <w:sz w:val="24"/>
          <w:szCs w:val="24"/>
          <w:lang w:val="en-US"/>
        </w:rPr>
      </w:pPr>
      <w:r>
        <w:rPr>
          <w:rFonts w:asciiTheme="majorBidi" w:hAnsiTheme="majorBidi" w:cstheme="majorBidi"/>
          <w:sz w:val="24"/>
          <w:szCs w:val="24"/>
          <w:lang w:val="en-US"/>
        </w:rPr>
        <w:t>85.</w:t>
      </w:r>
    </w:p>
    <w:p w14:paraId="495076BC" w14:textId="4A898809" w:rsidR="00F2115E" w:rsidRDefault="00F2115E" w:rsidP="00F2115E">
      <w:pPr>
        <w:spacing w:after="120" w:line="276" w:lineRule="auto"/>
        <w:rPr>
          <w:rFonts w:asciiTheme="majorBidi" w:hAnsiTheme="majorBidi" w:cstheme="majorBidi"/>
          <w:sz w:val="24"/>
          <w:szCs w:val="24"/>
          <w:lang w:val="en-US"/>
        </w:rPr>
      </w:pPr>
      <w:r>
        <w:rPr>
          <w:rFonts w:asciiTheme="majorBidi" w:hAnsiTheme="majorBidi" w:cstheme="majorBidi"/>
          <w:sz w:val="24"/>
          <w:szCs w:val="24"/>
          <w:lang w:val="en-US"/>
        </w:rPr>
        <w:t>86.</w:t>
      </w:r>
    </w:p>
    <w:p w14:paraId="156E0D79" w14:textId="37F5DAB2" w:rsidR="00F2115E" w:rsidRDefault="00F2115E" w:rsidP="00F2115E">
      <w:pPr>
        <w:spacing w:after="120" w:line="276" w:lineRule="auto"/>
        <w:rPr>
          <w:rFonts w:asciiTheme="majorBidi" w:hAnsiTheme="majorBidi" w:cstheme="majorBidi"/>
          <w:sz w:val="24"/>
          <w:szCs w:val="24"/>
          <w:lang w:val="en-US"/>
        </w:rPr>
      </w:pPr>
      <w:r>
        <w:rPr>
          <w:rFonts w:asciiTheme="majorBidi" w:hAnsiTheme="majorBidi" w:cstheme="majorBidi"/>
          <w:sz w:val="24"/>
          <w:szCs w:val="24"/>
          <w:lang w:val="en-US"/>
        </w:rPr>
        <w:t>87.</w:t>
      </w:r>
    </w:p>
    <w:p w14:paraId="6AE1C67F" w14:textId="502F2BD5" w:rsidR="00F2115E" w:rsidRDefault="00F2115E" w:rsidP="00F2115E">
      <w:pPr>
        <w:spacing w:after="120" w:line="276" w:lineRule="auto"/>
        <w:rPr>
          <w:rFonts w:asciiTheme="majorBidi" w:hAnsiTheme="majorBidi" w:cstheme="majorBidi"/>
          <w:sz w:val="24"/>
          <w:szCs w:val="24"/>
          <w:lang w:val="en-US"/>
        </w:rPr>
      </w:pPr>
      <w:r>
        <w:rPr>
          <w:rFonts w:asciiTheme="majorBidi" w:hAnsiTheme="majorBidi" w:cstheme="majorBidi"/>
          <w:sz w:val="24"/>
          <w:szCs w:val="24"/>
          <w:lang w:val="en-US"/>
        </w:rPr>
        <w:t>88.</w:t>
      </w:r>
    </w:p>
    <w:p w14:paraId="7A957E93" w14:textId="5199A47D" w:rsidR="00F2115E" w:rsidRDefault="00F2115E" w:rsidP="00F2115E">
      <w:pPr>
        <w:spacing w:after="120" w:line="276" w:lineRule="auto"/>
        <w:rPr>
          <w:rFonts w:asciiTheme="majorBidi" w:hAnsiTheme="majorBidi" w:cstheme="majorBidi"/>
          <w:sz w:val="24"/>
          <w:szCs w:val="24"/>
          <w:lang w:val="en-US"/>
        </w:rPr>
      </w:pPr>
      <w:r>
        <w:rPr>
          <w:rFonts w:asciiTheme="majorBidi" w:hAnsiTheme="majorBidi" w:cstheme="majorBidi"/>
          <w:sz w:val="24"/>
          <w:szCs w:val="24"/>
          <w:lang w:val="en-US"/>
        </w:rPr>
        <w:t>89.</w:t>
      </w:r>
    </w:p>
    <w:p w14:paraId="00609991" w14:textId="270A7138" w:rsidR="00F2115E" w:rsidRDefault="00F2115E" w:rsidP="00F2115E">
      <w:pPr>
        <w:spacing w:after="120" w:line="276" w:lineRule="auto"/>
        <w:rPr>
          <w:rFonts w:asciiTheme="majorBidi" w:hAnsiTheme="majorBidi" w:cstheme="majorBidi"/>
          <w:sz w:val="24"/>
          <w:szCs w:val="24"/>
          <w:lang w:val="en-US"/>
        </w:rPr>
      </w:pPr>
      <w:r>
        <w:rPr>
          <w:rFonts w:asciiTheme="majorBidi" w:hAnsiTheme="majorBidi" w:cstheme="majorBidi"/>
          <w:sz w:val="24"/>
          <w:szCs w:val="24"/>
          <w:lang w:val="en-US"/>
        </w:rPr>
        <w:t>90.</w:t>
      </w:r>
    </w:p>
    <w:p w14:paraId="6C28CEE5" w14:textId="2A9E5100" w:rsidR="00F2115E" w:rsidRDefault="00F2115E" w:rsidP="00F2115E">
      <w:pPr>
        <w:spacing w:after="120" w:line="276" w:lineRule="auto"/>
        <w:rPr>
          <w:rFonts w:asciiTheme="majorBidi" w:hAnsiTheme="majorBidi" w:cstheme="majorBidi"/>
          <w:sz w:val="24"/>
          <w:szCs w:val="24"/>
          <w:lang w:val="en-US"/>
        </w:rPr>
      </w:pPr>
      <w:r>
        <w:rPr>
          <w:rFonts w:asciiTheme="majorBidi" w:hAnsiTheme="majorBidi" w:cstheme="majorBidi"/>
          <w:sz w:val="24"/>
          <w:szCs w:val="24"/>
          <w:lang w:val="en-US"/>
        </w:rPr>
        <w:t>91.</w:t>
      </w:r>
    </w:p>
    <w:p w14:paraId="1E8193C5" w14:textId="435EB9BD" w:rsidR="00F2115E" w:rsidRDefault="00F2115E" w:rsidP="00F2115E">
      <w:pPr>
        <w:spacing w:after="120" w:line="276" w:lineRule="auto"/>
        <w:rPr>
          <w:rFonts w:asciiTheme="majorBidi" w:hAnsiTheme="majorBidi" w:cstheme="majorBidi"/>
          <w:sz w:val="24"/>
          <w:szCs w:val="24"/>
          <w:lang w:val="en-US"/>
        </w:rPr>
      </w:pPr>
      <w:r>
        <w:rPr>
          <w:rFonts w:asciiTheme="majorBidi" w:hAnsiTheme="majorBidi" w:cstheme="majorBidi"/>
          <w:sz w:val="24"/>
          <w:szCs w:val="24"/>
          <w:lang w:val="en-US"/>
        </w:rPr>
        <w:t>92.</w:t>
      </w:r>
    </w:p>
    <w:p w14:paraId="718B51EB" w14:textId="1B0F994E" w:rsidR="00F2115E" w:rsidRDefault="00F2115E" w:rsidP="00F2115E">
      <w:pPr>
        <w:spacing w:after="120" w:line="276" w:lineRule="auto"/>
        <w:rPr>
          <w:rFonts w:asciiTheme="majorBidi" w:hAnsiTheme="majorBidi" w:cstheme="majorBidi"/>
          <w:sz w:val="24"/>
          <w:szCs w:val="24"/>
          <w:lang w:val="en-US"/>
        </w:rPr>
      </w:pPr>
      <w:r>
        <w:rPr>
          <w:rFonts w:asciiTheme="majorBidi" w:hAnsiTheme="majorBidi" w:cstheme="majorBidi"/>
          <w:sz w:val="24"/>
          <w:szCs w:val="24"/>
          <w:lang w:val="en-US"/>
        </w:rPr>
        <w:t>93.</w:t>
      </w:r>
    </w:p>
    <w:p w14:paraId="7B69DB2E" w14:textId="77777777" w:rsidR="00F2115E" w:rsidRPr="00F2115E" w:rsidRDefault="00F2115E" w:rsidP="00F2115E">
      <w:pPr>
        <w:spacing w:after="120" w:line="276" w:lineRule="auto"/>
        <w:rPr>
          <w:rFonts w:asciiTheme="majorBidi" w:hAnsiTheme="majorBidi" w:cstheme="majorBidi"/>
          <w:sz w:val="24"/>
          <w:szCs w:val="24"/>
          <w:lang w:val="en-US"/>
        </w:rPr>
      </w:pPr>
    </w:p>
    <w:sectPr w:rsidR="00F2115E" w:rsidRPr="00F2115E">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E50B4" w14:textId="77777777" w:rsidR="00E30A81" w:rsidRDefault="00E30A81" w:rsidP="00B3064D">
      <w:r>
        <w:separator/>
      </w:r>
    </w:p>
  </w:endnote>
  <w:endnote w:type="continuationSeparator" w:id="0">
    <w:p w14:paraId="1BD0F7F2" w14:textId="77777777" w:rsidR="00E30A81" w:rsidRDefault="00E30A81" w:rsidP="00B30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E00002AF" w:usb1="5000E07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775BF" w14:textId="77777777" w:rsidR="00E30A81" w:rsidRDefault="00E30A81" w:rsidP="00B3064D">
      <w:r>
        <w:separator/>
      </w:r>
    </w:p>
  </w:footnote>
  <w:footnote w:type="continuationSeparator" w:id="0">
    <w:p w14:paraId="074BD21A" w14:textId="77777777" w:rsidR="00E30A81" w:rsidRDefault="00E30A81" w:rsidP="00B306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34761"/>
    <w:rsid w:val="00010826"/>
    <w:rsid w:val="00034761"/>
    <w:rsid w:val="00040C74"/>
    <w:rsid w:val="0006191E"/>
    <w:rsid w:val="00066AE0"/>
    <w:rsid w:val="000809F2"/>
    <w:rsid w:val="00085D82"/>
    <w:rsid w:val="001309A3"/>
    <w:rsid w:val="00134286"/>
    <w:rsid w:val="00174014"/>
    <w:rsid w:val="00191818"/>
    <w:rsid w:val="001A5FBC"/>
    <w:rsid w:val="001C4009"/>
    <w:rsid w:val="001E62E6"/>
    <w:rsid w:val="00201215"/>
    <w:rsid w:val="00204B6B"/>
    <w:rsid w:val="002053D6"/>
    <w:rsid w:val="00284510"/>
    <w:rsid w:val="002A534A"/>
    <w:rsid w:val="002E4C0B"/>
    <w:rsid w:val="003151F5"/>
    <w:rsid w:val="00340AC5"/>
    <w:rsid w:val="003478DF"/>
    <w:rsid w:val="00384A4C"/>
    <w:rsid w:val="003A2A3A"/>
    <w:rsid w:val="003B79DB"/>
    <w:rsid w:val="003D407E"/>
    <w:rsid w:val="0040240B"/>
    <w:rsid w:val="004126D5"/>
    <w:rsid w:val="004326E4"/>
    <w:rsid w:val="0046065B"/>
    <w:rsid w:val="00461AFD"/>
    <w:rsid w:val="0046460C"/>
    <w:rsid w:val="004647F2"/>
    <w:rsid w:val="00467369"/>
    <w:rsid w:val="004812B5"/>
    <w:rsid w:val="004820F9"/>
    <w:rsid w:val="004A77AA"/>
    <w:rsid w:val="004B2C41"/>
    <w:rsid w:val="004B69AF"/>
    <w:rsid w:val="004B77A2"/>
    <w:rsid w:val="00545A89"/>
    <w:rsid w:val="005C1A8D"/>
    <w:rsid w:val="005D251D"/>
    <w:rsid w:val="005F6767"/>
    <w:rsid w:val="00626913"/>
    <w:rsid w:val="00677D35"/>
    <w:rsid w:val="006C7CE9"/>
    <w:rsid w:val="006D4FBB"/>
    <w:rsid w:val="006E3C7A"/>
    <w:rsid w:val="006F663F"/>
    <w:rsid w:val="00714DC3"/>
    <w:rsid w:val="00733272"/>
    <w:rsid w:val="00746C65"/>
    <w:rsid w:val="00773332"/>
    <w:rsid w:val="007770B3"/>
    <w:rsid w:val="0079784C"/>
    <w:rsid w:val="007C3522"/>
    <w:rsid w:val="007E1D46"/>
    <w:rsid w:val="007E3B3A"/>
    <w:rsid w:val="007F71A8"/>
    <w:rsid w:val="00807C52"/>
    <w:rsid w:val="008260EF"/>
    <w:rsid w:val="0085471F"/>
    <w:rsid w:val="00857C56"/>
    <w:rsid w:val="00871AF3"/>
    <w:rsid w:val="00874DDA"/>
    <w:rsid w:val="00886078"/>
    <w:rsid w:val="008A1DBB"/>
    <w:rsid w:val="008B3BD9"/>
    <w:rsid w:val="008B75CC"/>
    <w:rsid w:val="008C5EBA"/>
    <w:rsid w:val="008D5E11"/>
    <w:rsid w:val="008E2310"/>
    <w:rsid w:val="008F58DE"/>
    <w:rsid w:val="0090036A"/>
    <w:rsid w:val="00906B3F"/>
    <w:rsid w:val="00913B1F"/>
    <w:rsid w:val="00960804"/>
    <w:rsid w:val="009721A8"/>
    <w:rsid w:val="00980A90"/>
    <w:rsid w:val="009A2758"/>
    <w:rsid w:val="009A45E2"/>
    <w:rsid w:val="009D55A0"/>
    <w:rsid w:val="00A432E0"/>
    <w:rsid w:val="00A9592D"/>
    <w:rsid w:val="00AE3D97"/>
    <w:rsid w:val="00AE7B53"/>
    <w:rsid w:val="00AF10AE"/>
    <w:rsid w:val="00AF53BF"/>
    <w:rsid w:val="00B23D7F"/>
    <w:rsid w:val="00B3064D"/>
    <w:rsid w:val="00B429BC"/>
    <w:rsid w:val="00B44952"/>
    <w:rsid w:val="00B84994"/>
    <w:rsid w:val="00B90737"/>
    <w:rsid w:val="00BF5F7A"/>
    <w:rsid w:val="00C42DA3"/>
    <w:rsid w:val="00C4487C"/>
    <w:rsid w:val="00C66361"/>
    <w:rsid w:val="00C66AB7"/>
    <w:rsid w:val="00C9115E"/>
    <w:rsid w:val="00D96969"/>
    <w:rsid w:val="00DA2647"/>
    <w:rsid w:val="00DC1F3D"/>
    <w:rsid w:val="00DC3753"/>
    <w:rsid w:val="00DE2810"/>
    <w:rsid w:val="00E03336"/>
    <w:rsid w:val="00E21AC0"/>
    <w:rsid w:val="00E30725"/>
    <w:rsid w:val="00E30A81"/>
    <w:rsid w:val="00E51241"/>
    <w:rsid w:val="00E907EE"/>
    <w:rsid w:val="00F11639"/>
    <w:rsid w:val="00F12ACF"/>
    <w:rsid w:val="00F15EBA"/>
    <w:rsid w:val="00F20E39"/>
    <w:rsid w:val="00F210FF"/>
    <w:rsid w:val="00F2115E"/>
    <w:rsid w:val="00F6698F"/>
    <w:rsid w:val="00F7418F"/>
    <w:rsid w:val="00F83EFC"/>
    <w:rsid w:val="00F973FB"/>
    <w:rsid w:val="00FD6679"/>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EE3D3"/>
  <w15:docId w15:val="{1B198AD2-0D13-4DE9-81E1-D28DC6BE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64D"/>
    <w:pPr>
      <w:tabs>
        <w:tab w:val="center" w:pos="4419"/>
        <w:tab w:val="right" w:pos="8838"/>
      </w:tabs>
    </w:pPr>
  </w:style>
  <w:style w:type="character" w:customStyle="1" w:styleId="EncabezadoCar">
    <w:name w:val="Encabezado Car"/>
    <w:basedOn w:val="Fuentedeprrafopredeter"/>
    <w:link w:val="Encabezado"/>
    <w:uiPriority w:val="99"/>
    <w:rsid w:val="00B3064D"/>
    <w:rPr>
      <w:sz w:val="21"/>
    </w:rPr>
  </w:style>
  <w:style w:type="paragraph" w:styleId="Piedepgina">
    <w:name w:val="footer"/>
    <w:basedOn w:val="Normal"/>
    <w:link w:val="PiedepginaCar"/>
    <w:uiPriority w:val="99"/>
    <w:unhideWhenUsed/>
    <w:rsid w:val="00B3064D"/>
    <w:pPr>
      <w:tabs>
        <w:tab w:val="center" w:pos="4419"/>
        <w:tab w:val="right" w:pos="8838"/>
      </w:tabs>
    </w:pPr>
  </w:style>
  <w:style w:type="character" w:customStyle="1" w:styleId="PiedepginaCar">
    <w:name w:val="Pie de página Car"/>
    <w:basedOn w:val="Fuentedeprrafopredeter"/>
    <w:link w:val="Piedepgina"/>
    <w:uiPriority w:val="99"/>
    <w:rsid w:val="00B3064D"/>
    <w:rPr>
      <w:sz w:val="21"/>
    </w:rPr>
  </w:style>
  <w:style w:type="table" w:styleId="Tablaconcuadrcula">
    <w:name w:val="Table Grid"/>
    <w:basedOn w:val="Tablanormal"/>
    <w:uiPriority w:val="39"/>
    <w:rsid w:val="00412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73332"/>
    <w:rPr>
      <w:color w:val="0000FF" w:themeColor="hyperlink"/>
      <w:u w:val="single"/>
    </w:rPr>
  </w:style>
  <w:style w:type="character" w:styleId="Mencinsinresolver">
    <w:name w:val="Unresolved Mention"/>
    <w:basedOn w:val="Fuentedeprrafopredeter"/>
    <w:uiPriority w:val="99"/>
    <w:semiHidden/>
    <w:unhideWhenUsed/>
    <w:rsid w:val="00773332"/>
    <w:rPr>
      <w:color w:val="605E5C"/>
      <w:shd w:val="clear" w:color="auto" w:fill="E1DFDD"/>
    </w:rPr>
  </w:style>
  <w:style w:type="paragraph" w:customStyle="1" w:styleId="TSP31text">
    <w:name w:val="TSP_3.1_text"/>
    <w:qFormat/>
    <w:rsid w:val="00F11639"/>
    <w:pPr>
      <w:adjustRightInd w:val="0"/>
      <w:snapToGrid w:val="0"/>
      <w:spacing w:after="60" w:line="240" w:lineRule="atLeast"/>
      <w:ind w:firstLine="425"/>
      <w:jc w:val="both"/>
    </w:pPr>
    <w:rPr>
      <w:rFonts w:ascii="Minion Pro" w:hAnsi="Minion Pro"/>
      <w:snapToGrid w:val="0"/>
      <w:color w:val="000000"/>
      <w:sz w:val="22"/>
      <w:szCs w:val="22"/>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2688/f1000research.14039.1" TargetMode="External"/><Relationship Id="rId18" Type="http://schemas.openxmlformats.org/officeDocument/2006/relationships/hyperlink" Target="https://doi.org/10.1038/s41467-020-15590-5"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2217/fnl.12.79%20" TargetMode="External"/><Relationship Id="rId17" Type="http://schemas.openxmlformats.org/officeDocument/2006/relationships/hyperlink" Target="https://doi.org/10.1038/ng.2714" TargetMode="External"/><Relationship Id="rId2" Type="http://schemas.openxmlformats.org/officeDocument/2006/relationships/settings" Target="settings.xml"/><Relationship Id="rId16" Type="http://schemas.openxmlformats.org/officeDocument/2006/relationships/hyperlink" Target="https://clinicaltrials.gov/study/NCT0430448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ccessdata.fda.gov/drugsatfda_docs/label/2023/217026s000lbl.pdf" TargetMode="External"/><Relationship Id="rId5" Type="http://schemas.openxmlformats.org/officeDocument/2006/relationships/endnotes" Target="endnotes.xml"/><Relationship Id="rId15" Type="http://schemas.openxmlformats.org/officeDocument/2006/relationships/hyperlink" Target="https://doi.org/10.1016/j.freeradbiomed.2015.06.029" TargetMode="External"/><Relationship Id="rId10" Type="http://schemas.openxmlformats.org/officeDocument/2006/relationships/hyperlink" Target="https://www.nature.com/articles/s41591-023-02398-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ubmed.ncbi.nlm.nih.gov/23022264/" TargetMode="External"/><Relationship Id="rId14" Type="http://schemas.openxmlformats.org/officeDocument/2006/relationships/hyperlink" Target="https://doi.org/10.1186/s13023-016-05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TotalTime>
  <Pages>19</Pages>
  <Words>6019</Words>
  <Characters>33105</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invitado</dc:creator>
  <cp:lastModifiedBy>Luis Felipe Hernández Ayala</cp:lastModifiedBy>
  <cp:revision>63</cp:revision>
  <dcterms:created xsi:type="dcterms:W3CDTF">2025-09-04T23:59:00Z</dcterms:created>
  <dcterms:modified xsi:type="dcterms:W3CDTF">2025-09-10T18:37:00Z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10522bac60424eefa4d8b39f2dccb83d</vt:lpwstr>
  </property>
</Properties>
</file>