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ED88" w14:textId="77777777" w:rsidR="00034761" w:rsidRPr="00B3064D" w:rsidRDefault="00000000" w:rsidP="00B3064D">
      <w:pPr>
        <w:spacing w:after="120" w:line="276" w:lineRule="auto"/>
        <w:jc w:val="center"/>
        <w:rPr>
          <w:b/>
          <w:bCs/>
          <w:sz w:val="24"/>
          <w:szCs w:val="24"/>
          <w:lang w:val="en-US"/>
        </w:rPr>
      </w:pPr>
      <w:r w:rsidRPr="00B3064D">
        <w:rPr>
          <w:b/>
          <w:bCs/>
          <w:sz w:val="24"/>
          <w:szCs w:val="24"/>
          <w:lang w:val="en-US"/>
        </w:rPr>
        <w:t xml:space="preserve">New insights into the mechanism of action of </w:t>
      </w:r>
      <w:proofErr w:type="spellStart"/>
      <w:r w:rsidRPr="00B3064D">
        <w:rPr>
          <w:b/>
          <w:bCs/>
          <w:sz w:val="24"/>
          <w:szCs w:val="24"/>
          <w:lang w:val="en-US"/>
        </w:rPr>
        <w:t>trofinetide</w:t>
      </w:r>
      <w:proofErr w:type="spellEnd"/>
      <w:r w:rsidRPr="00B3064D">
        <w:rPr>
          <w:b/>
          <w:bCs/>
          <w:sz w:val="24"/>
          <w:szCs w:val="24"/>
          <w:lang w:val="en-US"/>
        </w:rPr>
        <w:t xml:space="preserve">: An </w:t>
      </w:r>
      <w:proofErr w:type="gramStart"/>
      <w:r w:rsidRPr="00B3064D">
        <w:rPr>
          <w:b/>
          <w:bCs/>
          <w:sz w:val="24"/>
          <w:szCs w:val="24"/>
          <w:lang w:val="en-US"/>
        </w:rPr>
        <w:t>exploratory</w:t>
      </w:r>
      <w:proofErr w:type="gramEnd"/>
      <w:r w:rsidRPr="00B3064D">
        <w:rPr>
          <w:b/>
          <w:bCs/>
          <w:sz w:val="24"/>
          <w:szCs w:val="24"/>
          <w:lang w:val="en-US"/>
        </w:rPr>
        <w:t xml:space="preserve"> in silico study</w:t>
      </w:r>
    </w:p>
    <w:p w14:paraId="10773E25" w14:textId="6352D28D" w:rsidR="00034761" w:rsidRDefault="00B3064D" w:rsidP="00B3064D">
      <w:pPr>
        <w:spacing w:after="120" w:line="276" w:lineRule="auto"/>
        <w:rPr>
          <w:b/>
          <w:bCs/>
          <w:sz w:val="24"/>
          <w:szCs w:val="24"/>
        </w:rPr>
      </w:pPr>
      <w:r w:rsidRPr="00B3064D">
        <w:rPr>
          <w:b/>
          <w:bCs/>
          <w:sz w:val="24"/>
          <w:szCs w:val="24"/>
        </w:rPr>
        <w:t xml:space="preserve">Luis Felipe Hernández Ayala, </w:t>
      </w:r>
      <w:proofErr w:type="spellStart"/>
      <w:r w:rsidRPr="00B3064D">
        <w:rPr>
          <w:b/>
          <w:bCs/>
          <w:sz w:val="24"/>
          <w:szCs w:val="24"/>
        </w:rPr>
        <w:t>A</w:t>
      </w:r>
      <w:r>
        <w:rPr>
          <w:b/>
          <w:bCs/>
          <w:sz w:val="24"/>
          <w:szCs w:val="24"/>
        </w:rPr>
        <w:t>nnia</w:t>
      </w:r>
      <w:proofErr w:type="spellEnd"/>
      <w:r>
        <w:rPr>
          <w:b/>
          <w:bCs/>
          <w:sz w:val="24"/>
          <w:szCs w:val="24"/>
        </w:rPr>
        <w:t xml:space="preserve"> Galano</w:t>
      </w:r>
    </w:p>
    <w:p w14:paraId="24DD2A0B" w14:textId="77777777" w:rsidR="00B3064D" w:rsidRDefault="00B3064D" w:rsidP="00B3064D">
      <w:pPr>
        <w:spacing w:after="120" w:line="276" w:lineRule="auto"/>
        <w:rPr>
          <w:b/>
          <w:bCs/>
          <w:sz w:val="24"/>
          <w:szCs w:val="24"/>
        </w:rPr>
      </w:pPr>
    </w:p>
    <w:p w14:paraId="54663E32" w14:textId="0B2BA81D" w:rsidR="00B3064D" w:rsidRPr="00B3064D" w:rsidRDefault="00B3064D" w:rsidP="00B3064D">
      <w:pPr>
        <w:spacing w:after="120" w:line="276" w:lineRule="auto"/>
        <w:rPr>
          <w:b/>
          <w:bCs/>
          <w:sz w:val="24"/>
          <w:szCs w:val="24"/>
          <w:lang w:val="en-US"/>
        </w:rPr>
      </w:pPr>
      <w:r w:rsidRPr="00B3064D">
        <w:rPr>
          <w:b/>
          <w:bCs/>
          <w:sz w:val="24"/>
          <w:szCs w:val="24"/>
          <w:lang w:val="en-US"/>
        </w:rPr>
        <w:t>Abstract</w:t>
      </w:r>
    </w:p>
    <w:p w14:paraId="214A1616" w14:textId="77777777" w:rsidR="00B3064D" w:rsidRDefault="00B3064D" w:rsidP="00B3064D">
      <w:pPr>
        <w:spacing w:after="120" w:line="276" w:lineRule="auto"/>
        <w:rPr>
          <w:sz w:val="24"/>
          <w:szCs w:val="24"/>
          <w:lang w:val="en-US"/>
        </w:rPr>
      </w:pPr>
    </w:p>
    <w:p w14:paraId="473A061E" w14:textId="77777777" w:rsidR="00B3064D" w:rsidRDefault="00B3064D" w:rsidP="00B3064D">
      <w:pPr>
        <w:spacing w:after="120" w:line="276" w:lineRule="auto"/>
        <w:rPr>
          <w:sz w:val="24"/>
          <w:szCs w:val="24"/>
          <w:lang w:val="en-US"/>
        </w:rPr>
      </w:pPr>
    </w:p>
    <w:p w14:paraId="09C995F4" w14:textId="39B1FC79" w:rsidR="00B3064D" w:rsidRPr="00B3064D" w:rsidRDefault="00B3064D" w:rsidP="00B3064D">
      <w:pPr>
        <w:spacing w:after="120" w:line="276" w:lineRule="auto"/>
        <w:rPr>
          <w:b/>
          <w:bCs/>
          <w:sz w:val="24"/>
          <w:szCs w:val="24"/>
          <w:lang w:val="en-US"/>
        </w:rPr>
      </w:pPr>
      <w:r w:rsidRPr="00B3064D">
        <w:rPr>
          <w:b/>
          <w:bCs/>
          <w:sz w:val="24"/>
          <w:szCs w:val="24"/>
          <w:lang w:val="en-US"/>
        </w:rPr>
        <w:t>Keywords:</w:t>
      </w:r>
    </w:p>
    <w:p w14:paraId="3F52200A" w14:textId="77777777" w:rsidR="00B3064D" w:rsidRDefault="00B3064D" w:rsidP="00B3064D">
      <w:pPr>
        <w:spacing w:after="120" w:line="276" w:lineRule="auto"/>
        <w:rPr>
          <w:sz w:val="24"/>
          <w:szCs w:val="24"/>
          <w:lang w:val="en-US"/>
        </w:rPr>
      </w:pPr>
    </w:p>
    <w:p w14:paraId="4BCE4FCC" w14:textId="77777777" w:rsidR="00B3064D" w:rsidRDefault="00B3064D" w:rsidP="00B3064D">
      <w:pPr>
        <w:spacing w:after="120" w:line="276" w:lineRule="auto"/>
        <w:rPr>
          <w:sz w:val="24"/>
          <w:szCs w:val="24"/>
          <w:lang w:val="en-US"/>
        </w:rPr>
      </w:pPr>
    </w:p>
    <w:p w14:paraId="127630A3" w14:textId="18097ECC" w:rsidR="00B3064D" w:rsidRPr="00B3064D" w:rsidRDefault="00B3064D" w:rsidP="00B3064D">
      <w:pPr>
        <w:spacing w:after="120" w:line="276" w:lineRule="auto"/>
        <w:rPr>
          <w:b/>
          <w:bCs/>
          <w:sz w:val="24"/>
          <w:szCs w:val="24"/>
          <w:lang w:val="en-US"/>
        </w:rPr>
      </w:pPr>
      <w:r w:rsidRPr="00B3064D">
        <w:rPr>
          <w:b/>
          <w:bCs/>
          <w:sz w:val="24"/>
          <w:szCs w:val="24"/>
          <w:lang w:val="en-US"/>
        </w:rPr>
        <w:t xml:space="preserve">Introduction </w:t>
      </w:r>
    </w:p>
    <w:p w14:paraId="4997CCB6" w14:textId="53A2A2BD" w:rsidR="00034761" w:rsidRPr="00B3064D" w:rsidRDefault="00000000" w:rsidP="00B3064D">
      <w:pPr>
        <w:spacing w:after="120" w:line="276" w:lineRule="auto"/>
        <w:rPr>
          <w:sz w:val="24"/>
          <w:szCs w:val="24"/>
          <w:lang w:val="en-US"/>
        </w:rPr>
      </w:pPr>
      <w:r w:rsidRPr="00B3064D">
        <w:rPr>
          <w:sz w:val="24"/>
          <w:szCs w:val="24"/>
          <w:lang w:val="en-US"/>
        </w:rPr>
        <w:t>Rett syndrome (RTT) is a rare and complex genetic neurodevelopmental disorder that primarily affects girls, with an estimated prevalence of 1 in 10,000 to 15,000 live births [1]. It is characterized by a period of apparently normal development, followed by a progressive regression of motor, social, and communication skills. Critical symptoms of the disease include the loss of voluntary use of the hands and the appearance of repetitive movements, gait disturbances, severe cognitive impairment, respiratory irregularities, seizures, dysautonomia, and metabolic alterations such as dyslipidemia, insulin resistance, or mitochondrial dysfunction [2–4]. These manifestations reflect a multisystemic affectation that impacts both the central nervous system as well as the endocrine and bioenergetic systems. The course of the disease leads to a progressive deterioration that compromises the quality of life of patients, who require permanent medical attention and specialized care [5].  Although life expectancy can extend into adulthood, it varies depending on the phenotype, severity of symptoms, and quality of medical management [6].</w:t>
      </w:r>
    </w:p>
    <w:p w14:paraId="5F952F97" w14:textId="77777777" w:rsidR="00034761" w:rsidRPr="00B3064D" w:rsidRDefault="00000000" w:rsidP="00B3064D">
      <w:pPr>
        <w:spacing w:after="120" w:line="276" w:lineRule="auto"/>
        <w:rPr>
          <w:sz w:val="24"/>
          <w:szCs w:val="24"/>
          <w:lang w:val="en-US"/>
        </w:rPr>
      </w:pPr>
      <w:r w:rsidRPr="00B3064D">
        <w:rPr>
          <w:sz w:val="24"/>
          <w:szCs w:val="24"/>
          <w:lang w:val="en-US"/>
        </w:rPr>
        <w:t>The main cause of RTT is the presence of mutations in the MECP2 gene, located on the X chromosome, which encodes the methyl CpG-binding protein 2, a transcription regulator essential for neuronal maturation and synaptic plasticity [7]. There are also atypical variants of the syndrome that occur less frequently and are due to mutations in the CDKL5 or FOXG1 genes [8]. The disease usually appears between 6 and 18 months of age and causes lifelong disability, with no curative treatment currently available. Since in its early stages, symptoms can be confused with disorders such as autism, early diagnosis represents a major clinical challenge.</w:t>
      </w:r>
    </w:p>
    <w:p w14:paraId="794FAD03" w14:textId="77777777" w:rsidR="00034761" w:rsidRPr="00B3064D" w:rsidRDefault="00000000" w:rsidP="00B3064D">
      <w:pPr>
        <w:spacing w:after="120" w:line="276" w:lineRule="auto"/>
        <w:rPr>
          <w:sz w:val="24"/>
          <w:szCs w:val="24"/>
          <w:lang w:val="en-US"/>
        </w:rPr>
      </w:pPr>
      <w:r w:rsidRPr="00B3064D">
        <w:rPr>
          <w:sz w:val="24"/>
          <w:szCs w:val="24"/>
          <w:lang w:val="en-US"/>
        </w:rPr>
        <w:t xml:space="preserve">Until recently, the therapeutic approach to RTT was limited to disease control </w:t>
      </w:r>
      <w:proofErr w:type="gramStart"/>
      <w:r w:rsidRPr="00B3064D">
        <w:rPr>
          <w:sz w:val="24"/>
          <w:szCs w:val="24"/>
          <w:lang w:val="en-US"/>
        </w:rPr>
        <w:t>through the use of</w:t>
      </w:r>
      <w:proofErr w:type="gramEnd"/>
      <w:r w:rsidRPr="00B3064D">
        <w:rPr>
          <w:sz w:val="24"/>
          <w:szCs w:val="24"/>
          <w:lang w:val="en-US"/>
        </w:rPr>
        <w:t xml:space="preserve"> drugs and physical, occupational, and speech therapies. These actions are primarily aimed at mitigating the most disabling clinical manifestations, such as motor disorders, epileptic seizures, respiratory, digestive, and autonomic disorders, as well as behavioral </w:t>
      </w:r>
      <w:r w:rsidRPr="00B3064D">
        <w:rPr>
          <w:sz w:val="24"/>
          <w:szCs w:val="24"/>
          <w:lang w:val="en-US"/>
        </w:rPr>
        <w:lastRenderedPageBreak/>
        <w:t xml:space="preserve">problems. In this context, the use of anticonvulsants, anxiolytics, serotonergic modulators, beta-blockers, as well as interdisciplinary functional support strategies, is common [9]. </w:t>
      </w:r>
    </w:p>
    <w:tbl>
      <w:tblPr>
        <w:tblStyle w:val="Tablaconcuadrcula"/>
        <w:tblpPr w:leftFromText="141" w:rightFromText="141" w:vertAnchor="text" w:tblpY="240"/>
        <w:tblW w:w="0" w:type="auto"/>
        <w:tblLook w:val="04A0" w:firstRow="1" w:lastRow="0" w:firstColumn="1" w:lastColumn="0" w:noHBand="0" w:noVBand="1"/>
      </w:tblPr>
      <w:tblGrid>
        <w:gridCol w:w="637"/>
        <w:gridCol w:w="2693"/>
        <w:gridCol w:w="1353"/>
        <w:gridCol w:w="4371"/>
      </w:tblGrid>
      <w:tr w:rsidR="00545A89" w:rsidRPr="00545A89" w14:paraId="1C1F985E" w14:textId="77777777" w:rsidTr="009D0F50">
        <w:tc>
          <w:tcPr>
            <w:tcW w:w="3330" w:type="dxa"/>
            <w:gridSpan w:val="2"/>
            <w:vAlign w:val="center"/>
          </w:tcPr>
          <w:p w14:paraId="7B2BA1CB" w14:textId="77777777"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Protein</w:t>
            </w:r>
          </w:p>
        </w:tc>
        <w:tc>
          <w:tcPr>
            <w:tcW w:w="1353" w:type="dxa"/>
            <w:vAlign w:val="center"/>
          </w:tcPr>
          <w:p w14:paraId="53EAE0EE" w14:textId="77777777"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Acronym</w:t>
            </w:r>
          </w:p>
        </w:tc>
        <w:tc>
          <w:tcPr>
            <w:tcW w:w="4371" w:type="dxa"/>
            <w:vAlign w:val="center"/>
          </w:tcPr>
          <w:p w14:paraId="74C3F1C9" w14:textId="77777777"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Relevance in RTT</w:t>
            </w:r>
          </w:p>
        </w:tc>
      </w:tr>
      <w:tr w:rsidR="00545A89" w:rsidRPr="00545A89" w14:paraId="4FBF269A" w14:textId="77777777" w:rsidTr="00545A89">
        <w:tc>
          <w:tcPr>
            <w:tcW w:w="637" w:type="dxa"/>
            <w:vMerge w:val="restart"/>
            <w:vAlign w:val="center"/>
          </w:tcPr>
          <w:p w14:paraId="03251AC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4181FD58" w14:textId="18001EEB"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32E0EEC4" w14:textId="74147A6D"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GAT1</w:t>
            </w:r>
          </w:p>
        </w:tc>
        <w:tc>
          <w:tcPr>
            <w:tcW w:w="4371" w:type="dxa"/>
            <w:vAlign w:val="center"/>
          </w:tcPr>
          <w:p w14:paraId="7A349ED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2E34717A" w14:textId="77777777" w:rsidTr="00545A89">
        <w:tc>
          <w:tcPr>
            <w:tcW w:w="637" w:type="dxa"/>
            <w:vMerge/>
            <w:vAlign w:val="center"/>
          </w:tcPr>
          <w:p w14:paraId="7338C346"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63A852C2" w14:textId="57AED20B"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4B7BBFE8" w14:textId="50A9AB9F"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GABAB</w:t>
            </w:r>
          </w:p>
        </w:tc>
        <w:tc>
          <w:tcPr>
            <w:tcW w:w="4371" w:type="dxa"/>
            <w:vAlign w:val="center"/>
          </w:tcPr>
          <w:p w14:paraId="657E028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61AF9735" w14:textId="77777777" w:rsidTr="00545A89">
        <w:tc>
          <w:tcPr>
            <w:tcW w:w="637" w:type="dxa"/>
            <w:vMerge/>
            <w:vAlign w:val="center"/>
          </w:tcPr>
          <w:p w14:paraId="2CF22D23"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61BA6D0E" w14:textId="68BCE46F"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47F6AE04" w14:textId="1829CEB4"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GABAA</w:t>
            </w:r>
          </w:p>
        </w:tc>
        <w:tc>
          <w:tcPr>
            <w:tcW w:w="4371" w:type="dxa"/>
            <w:vAlign w:val="center"/>
          </w:tcPr>
          <w:p w14:paraId="5D7EB9ED"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2AB422DD" w14:textId="77777777" w:rsidTr="00545A89">
        <w:tc>
          <w:tcPr>
            <w:tcW w:w="637" w:type="dxa"/>
            <w:vMerge/>
            <w:vAlign w:val="center"/>
          </w:tcPr>
          <w:p w14:paraId="2848AB7D"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06E7AF15" w14:textId="31945A81"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013475D9" w14:textId="16EB7E00"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CHRM1</w:t>
            </w:r>
          </w:p>
        </w:tc>
        <w:tc>
          <w:tcPr>
            <w:tcW w:w="4371" w:type="dxa"/>
            <w:vAlign w:val="center"/>
          </w:tcPr>
          <w:p w14:paraId="5499C8A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152FE815" w14:textId="77777777" w:rsidTr="00545A89">
        <w:tc>
          <w:tcPr>
            <w:tcW w:w="637" w:type="dxa"/>
            <w:vMerge/>
            <w:vAlign w:val="center"/>
          </w:tcPr>
          <w:p w14:paraId="5BAA35F3"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2BE497ED" w14:textId="2360DB16"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7BA5211B" w14:textId="634D78BA" w:rsidR="00545A89" w:rsidRPr="00545A89" w:rsidRDefault="00545A89" w:rsidP="00545A89">
            <w:pPr>
              <w:spacing w:after="120" w:line="276" w:lineRule="auto"/>
              <w:jc w:val="center"/>
              <w:rPr>
                <w:rFonts w:asciiTheme="majorBidi" w:hAnsiTheme="majorBidi" w:cstheme="majorBidi"/>
                <w:sz w:val="22"/>
                <w:szCs w:val="22"/>
                <w:lang w:val="en-US"/>
              </w:rPr>
            </w:pPr>
            <w:proofErr w:type="spellStart"/>
            <w:r w:rsidRPr="00545A89">
              <w:rPr>
                <w:rFonts w:asciiTheme="majorBidi" w:hAnsiTheme="majorBidi" w:cstheme="majorBidi"/>
                <w:color w:val="000000"/>
                <w:sz w:val="22"/>
                <w:szCs w:val="22"/>
              </w:rPr>
              <w:t>NMDAr</w:t>
            </w:r>
            <w:proofErr w:type="spellEnd"/>
          </w:p>
        </w:tc>
        <w:tc>
          <w:tcPr>
            <w:tcW w:w="4371" w:type="dxa"/>
            <w:vAlign w:val="center"/>
          </w:tcPr>
          <w:p w14:paraId="08F409FD"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25971B8C" w14:textId="77777777" w:rsidTr="00545A89">
        <w:tc>
          <w:tcPr>
            <w:tcW w:w="637" w:type="dxa"/>
            <w:vMerge/>
            <w:vAlign w:val="center"/>
          </w:tcPr>
          <w:p w14:paraId="69E737C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6654D34B" w14:textId="55C194C3"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5F3ACEF1" w14:textId="2E1D5049"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D2Dr</w:t>
            </w:r>
          </w:p>
        </w:tc>
        <w:tc>
          <w:tcPr>
            <w:tcW w:w="4371" w:type="dxa"/>
            <w:vAlign w:val="center"/>
          </w:tcPr>
          <w:p w14:paraId="6E21E690"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617339A5" w14:textId="77777777" w:rsidTr="00545A89">
        <w:tc>
          <w:tcPr>
            <w:tcW w:w="637" w:type="dxa"/>
            <w:vMerge/>
            <w:vAlign w:val="center"/>
          </w:tcPr>
          <w:p w14:paraId="31089FC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32E7626D" w14:textId="7E74D866"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71B7B919" w14:textId="359DDCC2"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5HT2A</w:t>
            </w:r>
          </w:p>
        </w:tc>
        <w:tc>
          <w:tcPr>
            <w:tcW w:w="4371" w:type="dxa"/>
            <w:vAlign w:val="center"/>
          </w:tcPr>
          <w:p w14:paraId="3044FB8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21D4025C" w14:textId="77777777" w:rsidTr="00545A89">
        <w:tc>
          <w:tcPr>
            <w:tcW w:w="637" w:type="dxa"/>
            <w:vMerge/>
            <w:vAlign w:val="center"/>
          </w:tcPr>
          <w:p w14:paraId="1C775E96"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2A746CB2" w14:textId="639EBFE8"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4F7AB816" w14:textId="042AC8F6"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A2AR</w:t>
            </w:r>
          </w:p>
        </w:tc>
        <w:tc>
          <w:tcPr>
            <w:tcW w:w="4371" w:type="dxa"/>
            <w:vAlign w:val="center"/>
          </w:tcPr>
          <w:p w14:paraId="31F51283"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6907EC8C" w14:textId="77777777" w:rsidTr="00545A89">
        <w:tc>
          <w:tcPr>
            <w:tcW w:w="637" w:type="dxa"/>
            <w:vMerge/>
            <w:vAlign w:val="center"/>
          </w:tcPr>
          <w:p w14:paraId="5D6B43EF"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771A10B9" w14:textId="5C35150D"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3E006E70" w14:textId="786C279B"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NKCC1</w:t>
            </w:r>
          </w:p>
        </w:tc>
        <w:tc>
          <w:tcPr>
            <w:tcW w:w="4371" w:type="dxa"/>
            <w:vAlign w:val="center"/>
          </w:tcPr>
          <w:p w14:paraId="31998173"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0CEC6E02" w14:textId="77777777" w:rsidTr="00545A89">
        <w:tc>
          <w:tcPr>
            <w:tcW w:w="637" w:type="dxa"/>
            <w:vMerge/>
            <w:vAlign w:val="center"/>
          </w:tcPr>
          <w:p w14:paraId="700A938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60CB2FC8" w14:textId="7B757188"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6DF50842" w14:textId="7F9D00A4" w:rsidR="00545A89" w:rsidRPr="00545A89" w:rsidRDefault="00545A89" w:rsidP="00545A89">
            <w:pPr>
              <w:spacing w:after="120" w:line="276" w:lineRule="auto"/>
              <w:jc w:val="center"/>
              <w:rPr>
                <w:rFonts w:asciiTheme="majorBidi" w:hAnsiTheme="majorBidi" w:cstheme="majorBidi"/>
                <w:sz w:val="22"/>
                <w:szCs w:val="22"/>
                <w:lang w:val="en-US"/>
              </w:rPr>
            </w:pPr>
            <w:proofErr w:type="spellStart"/>
            <w:r w:rsidRPr="00545A89">
              <w:rPr>
                <w:rFonts w:asciiTheme="majorBidi" w:hAnsiTheme="majorBidi" w:cstheme="majorBidi"/>
                <w:color w:val="000000"/>
                <w:sz w:val="22"/>
                <w:szCs w:val="22"/>
              </w:rPr>
              <w:t>hSERT</w:t>
            </w:r>
            <w:proofErr w:type="spellEnd"/>
          </w:p>
        </w:tc>
        <w:tc>
          <w:tcPr>
            <w:tcW w:w="4371" w:type="dxa"/>
            <w:vAlign w:val="center"/>
          </w:tcPr>
          <w:p w14:paraId="6C4ACECD"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7DD913F5" w14:textId="77777777" w:rsidTr="00545A89">
        <w:tc>
          <w:tcPr>
            <w:tcW w:w="637" w:type="dxa"/>
            <w:vMerge/>
            <w:vAlign w:val="center"/>
          </w:tcPr>
          <w:p w14:paraId="47C986C7"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19446227" w14:textId="59EECF37"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6F762E2F" w14:textId="402B092F" w:rsidR="00545A89" w:rsidRPr="00545A89" w:rsidRDefault="00545A89" w:rsidP="00545A89">
            <w:pPr>
              <w:spacing w:after="120" w:line="276" w:lineRule="auto"/>
              <w:jc w:val="center"/>
              <w:rPr>
                <w:rFonts w:asciiTheme="majorBidi" w:hAnsiTheme="majorBidi" w:cstheme="majorBidi"/>
                <w:sz w:val="22"/>
                <w:szCs w:val="22"/>
                <w:lang w:val="en-US"/>
              </w:rPr>
            </w:pPr>
            <w:proofErr w:type="spellStart"/>
            <w:r w:rsidRPr="00545A89">
              <w:rPr>
                <w:rFonts w:asciiTheme="majorBidi" w:hAnsiTheme="majorBidi" w:cstheme="majorBidi"/>
                <w:color w:val="000000"/>
                <w:sz w:val="22"/>
                <w:szCs w:val="22"/>
              </w:rPr>
              <w:t>AChE</w:t>
            </w:r>
            <w:proofErr w:type="spellEnd"/>
          </w:p>
        </w:tc>
        <w:tc>
          <w:tcPr>
            <w:tcW w:w="4371" w:type="dxa"/>
            <w:vAlign w:val="center"/>
          </w:tcPr>
          <w:p w14:paraId="23D6ADDF"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2752D095" w14:textId="77777777" w:rsidTr="00545A89">
        <w:tc>
          <w:tcPr>
            <w:tcW w:w="637" w:type="dxa"/>
            <w:vMerge/>
            <w:vAlign w:val="center"/>
          </w:tcPr>
          <w:p w14:paraId="0BDF96F1"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1BAE559F" w14:textId="39905A08"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0A1785D6" w14:textId="4E0C202C"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MAOB</w:t>
            </w:r>
          </w:p>
        </w:tc>
        <w:tc>
          <w:tcPr>
            <w:tcW w:w="4371" w:type="dxa"/>
            <w:vAlign w:val="center"/>
          </w:tcPr>
          <w:p w14:paraId="43762AC0"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1BB65E0A" w14:textId="77777777" w:rsidTr="00545A89">
        <w:tc>
          <w:tcPr>
            <w:tcW w:w="637" w:type="dxa"/>
            <w:vMerge/>
            <w:vAlign w:val="center"/>
          </w:tcPr>
          <w:p w14:paraId="2F18ACE3"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left w:val="nil"/>
              <w:bottom w:val="single" w:sz="4" w:space="0" w:color="auto"/>
              <w:right w:val="nil"/>
            </w:tcBorders>
            <w:vAlign w:val="center"/>
          </w:tcPr>
          <w:p w14:paraId="60AD4240" w14:textId="71DAB1B4"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71D37D85" w14:textId="423B187E"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color w:val="000000"/>
                <w:sz w:val="22"/>
                <w:szCs w:val="22"/>
              </w:rPr>
              <w:t>COMT</w:t>
            </w:r>
          </w:p>
        </w:tc>
        <w:tc>
          <w:tcPr>
            <w:tcW w:w="4371" w:type="dxa"/>
            <w:vAlign w:val="center"/>
          </w:tcPr>
          <w:p w14:paraId="59834336"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49E43A60" w14:textId="77777777" w:rsidTr="00545A89">
        <w:tc>
          <w:tcPr>
            <w:tcW w:w="637" w:type="dxa"/>
            <w:vMerge/>
            <w:vAlign w:val="center"/>
          </w:tcPr>
          <w:p w14:paraId="3E425CE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tcBorders>
              <w:top w:val="single" w:sz="4" w:space="0" w:color="auto"/>
            </w:tcBorders>
            <w:vAlign w:val="center"/>
          </w:tcPr>
          <w:p w14:paraId="12F3F240" w14:textId="6DE04D8F"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33A14848" w14:textId="702771D0"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AMPA</w:t>
            </w:r>
          </w:p>
        </w:tc>
        <w:tc>
          <w:tcPr>
            <w:tcW w:w="4371" w:type="dxa"/>
            <w:vAlign w:val="center"/>
          </w:tcPr>
          <w:p w14:paraId="4D5ED37D"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036A33BF" w14:textId="77777777" w:rsidTr="00545A89">
        <w:tc>
          <w:tcPr>
            <w:tcW w:w="637" w:type="dxa"/>
            <w:vMerge/>
            <w:vAlign w:val="center"/>
          </w:tcPr>
          <w:p w14:paraId="53A05827"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4962C3DB" w14:textId="510C5ADD"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6D0093C7" w14:textId="290D38C7" w:rsidR="00545A89" w:rsidRPr="00545A89" w:rsidRDefault="00545A89" w:rsidP="00545A89">
            <w:pPr>
              <w:spacing w:after="120" w:line="276" w:lineRule="auto"/>
              <w:jc w:val="center"/>
              <w:rPr>
                <w:rFonts w:asciiTheme="majorBidi" w:hAnsiTheme="majorBidi" w:cstheme="majorBidi"/>
                <w:sz w:val="22"/>
                <w:szCs w:val="22"/>
                <w:lang w:val="en-US"/>
              </w:rPr>
            </w:pPr>
            <w:r>
              <w:rPr>
                <w:rFonts w:asciiTheme="majorBidi" w:hAnsiTheme="majorBidi" w:cstheme="majorBidi"/>
                <w:sz w:val="22"/>
                <w:szCs w:val="22"/>
                <w:lang w:val="en-US"/>
              </w:rPr>
              <w:t>σ</w:t>
            </w:r>
            <w:r w:rsidRPr="00545A89">
              <w:rPr>
                <w:rFonts w:asciiTheme="majorBidi" w:hAnsiTheme="majorBidi" w:cstheme="majorBidi"/>
                <w:sz w:val="22"/>
                <w:szCs w:val="22"/>
                <w:lang w:val="en-US"/>
              </w:rPr>
              <w:t>1R</w:t>
            </w:r>
          </w:p>
        </w:tc>
        <w:tc>
          <w:tcPr>
            <w:tcW w:w="4371" w:type="dxa"/>
            <w:vAlign w:val="center"/>
          </w:tcPr>
          <w:p w14:paraId="4A3236B9"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133995C0" w14:textId="77777777" w:rsidTr="00545A89">
        <w:tc>
          <w:tcPr>
            <w:tcW w:w="637" w:type="dxa"/>
            <w:vMerge w:val="restart"/>
            <w:vAlign w:val="center"/>
          </w:tcPr>
          <w:p w14:paraId="1C4FE661"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4045CF5C" w14:textId="6206AA1F"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5130D822" w14:textId="01B24EEC"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GSK3</w:t>
            </w:r>
            <w:r w:rsidRPr="00545A89">
              <w:rPr>
                <w:rFonts w:asciiTheme="majorBidi" w:hAnsiTheme="majorBidi" w:cstheme="majorBidi"/>
                <w:sz w:val="22"/>
                <w:szCs w:val="22"/>
              </w:rPr>
              <w:t>β</w:t>
            </w:r>
          </w:p>
        </w:tc>
        <w:tc>
          <w:tcPr>
            <w:tcW w:w="4371" w:type="dxa"/>
            <w:vAlign w:val="center"/>
          </w:tcPr>
          <w:p w14:paraId="59E076C7"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461850FB" w14:textId="77777777" w:rsidTr="00545A89">
        <w:tc>
          <w:tcPr>
            <w:tcW w:w="637" w:type="dxa"/>
            <w:vMerge/>
            <w:vAlign w:val="center"/>
          </w:tcPr>
          <w:p w14:paraId="233297F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66FD389F" w14:textId="34B95F4C"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1B720DB2" w14:textId="308A608B"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PPAR</w:t>
            </w:r>
            <w:r w:rsidRPr="00545A89">
              <w:rPr>
                <w:rFonts w:asciiTheme="majorBidi" w:hAnsiTheme="majorBidi" w:cstheme="majorBidi"/>
                <w:sz w:val="22"/>
                <w:szCs w:val="22"/>
              </w:rPr>
              <w:t>γ</w:t>
            </w:r>
          </w:p>
        </w:tc>
        <w:tc>
          <w:tcPr>
            <w:tcW w:w="4371" w:type="dxa"/>
            <w:vAlign w:val="center"/>
          </w:tcPr>
          <w:p w14:paraId="018428A7"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643E0BE8" w14:textId="77777777" w:rsidTr="00545A89">
        <w:tc>
          <w:tcPr>
            <w:tcW w:w="637" w:type="dxa"/>
            <w:vMerge/>
            <w:vAlign w:val="center"/>
          </w:tcPr>
          <w:p w14:paraId="2DE77D82"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24C6BEBE" w14:textId="4689C000"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779042AE" w14:textId="47A67FCD" w:rsidR="00545A89" w:rsidRPr="00545A89" w:rsidRDefault="00545A89" w:rsidP="00545A89">
            <w:pPr>
              <w:spacing w:after="120" w:line="276" w:lineRule="auto"/>
              <w:jc w:val="center"/>
              <w:rPr>
                <w:rFonts w:asciiTheme="majorBidi" w:hAnsiTheme="majorBidi" w:cstheme="majorBidi"/>
                <w:sz w:val="22"/>
                <w:szCs w:val="22"/>
                <w:lang w:val="en-US"/>
              </w:rPr>
            </w:pPr>
            <w:proofErr w:type="spellStart"/>
            <w:r w:rsidRPr="00545A89">
              <w:rPr>
                <w:rFonts w:asciiTheme="majorBidi" w:hAnsiTheme="majorBidi" w:cstheme="majorBidi"/>
                <w:sz w:val="22"/>
                <w:szCs w:val="22"/>
                <w:lang w:val="en-US"/>
              </w:rPr>
              <w:t>ProdH</w:t>
            </w:r>
            <w:proofErr w:type="spellEnd"/>
          </w:p>
        </w:tc>
        <w:tc>
          <w:tcPr>
            <w:tcW w:w="4371" w:type="dxa"/>
            <w:vAlign w:val="center"/>
          </w:tcPr>
          <w:p w14:paraId="745B0E3C"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7E3B3A" w14:paraId="5501167A" w14:textId="77777777" w:rsidTr="00545A89">
        <w:tc>
          <w:tcPr>
            <w:tcW w:w="637" w:type="dxa"/>
            <w:vMerge/>
            <w:vAlign w:val="center"/>
          </w:tcPr>
          <w:p w14:paraId="3B5BA3B7"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45A4748E" w14:textId="2D978E3A"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51183397" w14:textId="5981BB01"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HMGCR</w:t>
            </w:r>
          </w:p>
        </w:tc>
        <w:tc>
          <w:tcPr>
            <w:tcW w:w="4371" w:type="dxa"/>
            <w:vAlign w:val="center"/>
          </w:tcPr>
          <w:p w14:paraId="2880170D" w14:textId="7C1627AB" w:rsidR="00545A89" w:rsidRPr="007E3B3A" w:rsidRDefault="007E3B3A" w:rsidP="007E3B3A">
            <w:pPr>
              <w:spacing w:after="120" w:line="276" w:lineRule="auto"/>
              <w:rPr>
                <w:rFonts w:asciiTheme="majorBidi" w:hAnsiTheme="majorBidi" w:cstheme="majorBidi"/>
                <w:sz w:val="22"/>
                <w:szCs w:val="22"/>
              </w:rPr>
            </w:pPr>
            <w:r w:rsidRPr="007E3B3A">
              <w:rPr>
                <w:rFonts w:asciiTheme="majorBidi" w:hAnsiTheme="majorBidi" w:cstheme="majorBidi"/>
                <w:sz w:val="22"/>
                <w:szCs w:val="22"/>
              </w:rPr>
              <w:t>Modula síntesis de colesterol; su inhibición mejora síntomas motores y longevidad en modelos Mecp2.</w:t>
            </w:r>
          </w:p>
        </w:tc>
      </w:tr>
      <w:tr w:rsidR="00545A89" w:rsidRPr="00545A89" w14:paraId="6147BEA6" w14:textId="77777777" w:rsidTr="00545A89">
        <w:tc>
          <w:tcPr>
            <w:tcW w:w="637" w:type="dxa"/>
            <w:vMerge/>
            <w:vAlign w:val="center"/>
          </w:tcPr>
          <w:p w14:paraId="25C82E79" w14:textId="77777777" w:rsidR="00545A89" w:rsidRPr="007E3B3A" w:rsidRDefault="00545A89" w:rsidP="00545A89">
            <w:pPr>
              <w:spacing w:after="120" w:line="276" w:lineRule="auto"/>
              <w:jc w:val="center"/>
              <w:rPr>
                <w:rFonts w:asciiTheme="majorBidi" w:hAnsiTheme="majorBidi" w:cstheme="majorBidi"/>
                <w:sz w:val="22"/>
                <w:szCs w:val="22"/>
              </w:rPr>
            </w:pPr>
          </w:p>
        </w:tc>
        <w:tc>
          <w:tcPr>
            <w:tcW w:w="2693" w:type="dxa"/>
            <w:vAlign w:val="center"/>
          </w:tcPr>
          <w:p w14:paraId="0BAB9DDE" w14:textId="2A3812D3" w:rsidR="00545A89" w:rsidRPr="007E3B3A" w:rsidRDefault="00545A89" w:rsidP="00545A89">
            <w:pPr>
              <w:spacing w:after="120" w:line="276" w:lineRule="auto"/>
              <w:jc w:val="center"/>
              <w:rPr>
                <w:rFonts w:asciiTheme="majorBidi" w:hAnsiTheme="majorBidi" w:cstheme="majorBidi"/>
                <w:sz w:val="22"/>
                <w:szCs w:val="22"/>
              </w:rPr>
            </w:pPr>
          </w:p>
        </w:tc>
        <w:tc>
          <w:tcPr>
            <w:tcW w:w="1353" w:type="dxa"/>
            <w:vAlign w:val="center"/>
          </w:tcPr>
          <w:p w14:paraId="51D4132E" w14:textId="60F005E7"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PTP1B</w:t>
            </w:r>
          </w:p>
        </w:tc>
        <w:tc>
          <w:tcPr>
            <w:tcW w:w="4371" w:type="dxa"/>
            <w:vAlign w:val="center"/>
          </w:tcPr>
          <w:p w14:paraId="4FF0BB21"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566EEF7F" w14:textId="77777777" w:rsidTr="00545A89">
        <w:tc>
          <w:tcPr>
            <w:tcW w:w="637" w:type="dxa"/>
            <w:vMerge w:val="restart"/>
            <w:vAlign w:val="center"/>
          </w:tcPr>
          <w:p w14:paraId="1869C218"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2C47D9C1" w14:textId="4436F4A1"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5B797C15" w14:textId="731F6860"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rPr>
              <w:t>XO</w:t>
            </w:r>
          </w:p>
        </w:tc>
        <w:tc>
          <w:tcPr>
            <w:tcW w:w="4371" w:type="dxa"/>
            <w:vAlign w:val="center"/>
          </w:tcPr>
          <w:p w14:paraId="5E9A0998"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10C74CFF" w14:textId="77777777" w:rsidTr="00545A89">
        <w:tc>
          <w:tcPr>
            <w:tcW w:w="637" w:type="dxa"/>
            <w:vMerge/>
            <w:vAlign w:val="center"/>
          </w:tcPr>
          <w:p w14:paraId="78E6CED3"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49995FE0" w14:textId="0B53A560"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1BFFEB85" w14:textId="16F41593"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rPr>
              <w:t>SOD</w:t>
            </w:r>
          </w:p>
        </w:tc>
        <w:tc>
          <w:tcPr>
            <w:tcW w:w="4371" w:type="dxa"/>
            <w:vAlign w:val="center"/>
          </w:tcPr>
          <w:p w14:paraId="43FB0A4F"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7CBD5FC2" w14:textId="77777777" w:rsidTr="00545A89">
        <w:tc>
          <w:tcPr>
            <w:tcW w:w="637" w:type="dxa"/>
            <w:vMerge/>
            <w:vAlign w:val="center"/>
          </w:tcPr>
          <w:p w14:paraId="48E19360"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10DFA152" w14:textId="22FC0208"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6E3C794A" w14:textId="2CEC750E"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rPr>
              <w:t>COX</w:t>
            </w:r>
            <w:r w:rsidRPr="00545A89">
              <w:rPr>
                <w:rFonts w:asciiTheme="majorBidi" w:hAnsiTheme="majorBidi" w:cstheme="majorBidi"/>
                <w:sz w:val="22"/>
                <w:szCs w:val="22"/>
              </w:rPr>
              <w:noBreakHyphen/>
              <w:t>2</w:t>
            </w:r>
          </w:p>
        </w:tc>
        <w:tc>
          <w:tcPr>
            <w:tcW w:w="4371" w:type="dxa"/>
            <w:vAlign w:val="center"/>
          </w:tcPr>
          <w:p w14:paraId="2105F60F"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0D3BABE5" w14:textId="77777777" w:rsidTr="00545A89">
        <w:tc>
          <w:tcPr>
            <w:tcW w:w="637" w:type="dxa"/>
            <w:vMerge/>
            <w:vAlign w:val="center"/>
          </w:tcPr>
          <w:p w14:paraId="080F8C2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5780F64E" w14:textId="38E6C28D"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09760061" w14:textId="06536CF6"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lang w:val="en-US"/>
              </w:rPr>
              <w:t>P2X7</w:t>
            </w:r>
          </w:p>
        </w:tc>
        <w:tc>
          <w:tcPr>
            <w:tcW w:w="4371" w:type="dxa"/>
            <w:vAlign w:val="center"/>
          </w:tcPr>
          <w:p w14:paraId="0EF94E40"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038C2A22" w14:textId="77777777" w:rsidTr="00545A89">
        <w:tc>
          <w:tcPr>
            <w:tcW w:w="637" w:type="dxa"/>
            <w:vMerge/>
            <w:vAlign w:val="center"/>
          </w:tcPr>
          <w:p w14:paraId="453E1DF9"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7B10B29E" w14:textId="07C2664E"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4AA15D72" w14:textId="4987C8CC" w:rsidR="00545A89" w:rsidRPr="00545A89" w:rsidRDefault="00545A89" w:rsidP="00545A89">
            <w:pPr>
              <w:spacing w:after="120" w:line="276" w:lineRule="auto"/>
              <w:jc w:val="center"/>
              <w:rPr>
                <w:rFonts w:asciiTheme="majorBidi" w:hAnsiTheme="majorBidi" w:cstheme="majorBidi"/>
                <w:sz w:val="22"/>
                <w:szCs w:val="22"/>
                <w:lang w:val="en-US"/>
              </w:rPr>
            </w:pPr>
            <w:proofErr w:type="spellStart"/>
            <w:r w:rsidRPr="00545A89">
              <w:rPr>
                <w:rFonts w:asciiTheme="majorBidi" w:hAnsiTheme="majorBidi" w:cstheme="majorBidi"/>
                <w:sz w:val="22"/>
                <w:szCs w:val="22"/>
                <w:lang w:val="en-US"/>
              </w:rPr>
              <w:t>nNOS</w:t>
            </w:r>
            <w:proofErr w:type="spellEnd"/>
          </w:p>
        </w:tc>
        <w:tc>
          <w:tcPr>
            <w:tcW w:w="4371" w:type="dxa"/>
            <w:vAlign w:val="center"/>
          </w:tcPr>
          <w:p w14:paraId="2B8AB69B"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14105333" w14:textId="77777777" w:rsidTr="00545A89">
        <w:tc>
          <w:tcPr>
            <w:tcW w:w="637" w:type="dxa"/>
            <w:vMerge w:val="restart"/>
            <w:vAlign w:val="center"/>
          </w:tcPr>
          <w:p w14:paraId="33391B51"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30D9B869" w14:textId="47DB71F6"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2B8460A6" w14:textId="792F131F"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rPr>
              <w:t>UGT2B15</w:t>
            </w:r>
          </w:p>
        </w:tc>
        <w:tc>
          <w:tcPr>
            <w:tcW w:w="4371" w:type="dxa"/>
            <w:vAlign w:val="center"/>
          </w:tcPr>
          <w:p w14:paraId="107C853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72D7BAC3" w14:textId="77777777" w:rsidTr="00545A89">
        <w:tc>
          <w:tcPr>
            <w:tcW w:w="637" w:type="dxa"/>
            <w:vMerge/>
            <w:vAlign w:val="center"/>
          </w:tcPr>
          <w:p w14:paraId="51547D6E"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315CBDC1" w14:textId="48AFC9FA"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4DE851F4" w14:textId="1DFD8460"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rPr>
              <w:t>OATP1B1</w:t>
            </w:r>
          </w:p>
        </w:tc>
        <w:tc>
          <w:tcPr>
            <w:tcW w:w="4371" w:type="dxa"/>
            <w:vAlign w:val="center"/>
          </w:tcPr>
          <w:p w14:paraId="649CEA5C"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r w:rsidR="00545A89" w:rsidRPr="00545A89" w14:paraId="10D87A63" w14:textId="77777777" w:rsidTr="00545A89">
        <w:tc>
          <w:tcPr>
            <w:tcW w:w="637" w:type="dxa"/>
            <w:vMerge/>
            <w:vAlign w:val="center"/>
          </w:tcPr>
          <w:p w14:paraId="5924C7E5"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c>
          <w:tcPr>
            <w:tcW w:w="2693" w:type="dxa"/>
            <w:vAlign w:val="center"/>
          </w:tcPr>
          <w:p w14:paraId="73157C2C" w14:textId="1AE44CF8" w:rsidR="00545A89" w:rsidRPr="00545A89" w:rsidRDefault="00545A89" w:rsidP="00545A89">
            <w:pPr>
              <w:spacing w:after="120" w:line="276" w:lineRule="auto"/>
              <w:jc w:val="center"/>
              <w:rPr>
                <w:rFonts w:asciiTheme="majorBidi" w:hAnsiTheme="majorBidi" w:cstheme="majorBidi"/>
                <w:sz w:val="22"/>
                <w:szCs w:val="22"/>
                <w:lang w:val="en-US"/>
              </w:rPr>
            </w:pPr>
          </w:p>
        </w:tc>
        <w:tc>
          <w:tcPr>
            <w:tcW w:w="1353" w:type="dxa"/>
            <w:vAlign w:val="center"/>
          </w:tcPr>
          <w:p w14:paraId="1A4997FA" w14:textId="21CC10F2" w:rsidR="00545A89" w:rsidRPr="00545A89" w:rsidRDefault="00545A89" w:rsidP="00545A89">
            <w:pPr>
              <w:spacing w:after="120" w:line="276" w:lineRule="auto"/>
              <w:jc w:val="center"/>
              <w:rPr>
                <w:rFonts w:asciiTheme="majorBidi" w:hAnsiTheme="majorBidi" w:cstheme="majorBidi"/>
                <w:sz w:val="22"/>
                <w:szCs w:val="22"/>
                <w:lang w:val="en-US"/>
              </w:rPr>
            </w:pPr>
            <w:r w:rsidRPr="00545A89">
              <w:rPr>
                <w:rFonts w:asciiTheme="majorBidi" w:hAnsiTheme="majorBidi" w:cstheme="majorBidi"/>
                <w:sz w:val="22"/>
                <w:szCs w:val="22"/>
              </w:rPr>
              <w:t>P450</w:t>
            </w:r>
          </w:p>
        </w:tc>
        <w:tc>
          <w:tcPr>
            <w:tcW w:w="4371" w:type="dxa"/>
            <w:vAlign w:val="center"/>
          </w:tcPr>
          <w:p w14:paraId="14580C31" w14:textId="77777777" w:rsidR="00545A89" w:rsidRPr="00545A89" w:rsidRDefault="00545A89" w:rsidP="00545A89">
            <w:pPr>
              <w:spacing w:after="120" w:line="276" w:lineRule="auto"/>
              <w:jc w:val="center"/>
              <w:rPr>
                <w:rFonts w:asciiTheme="majorBidi" w:hAnsiTheme="majorBidi" w:cstheme="majorBidi"/>
                <w:sz w:val="22"/>
                <w:szCs w:val="22"/>
                <w:lang w:val="en-US"/>
              </w:rPr>
            </w:pPr>
          </w:p>
        </w:tc>
      </w:tr>
    </w:tbl>
    <w:p w14:paraId="609856F9" w14:textId="77777777" w:rsidR="00545A89" w:rsidRDefault="00545A89" w:rsidP="00B3064D">
      <w:pPr>
        <w:spacing w:after="120" w:line="276" w:lineRule="auto"/>
        <w:rPr>
          <w:sz w:val="24"/>
          <w:szCs w:val="24"/>
          <w:lang w:val="en-US"/>
        </w:rPr>
      </w:pPr>
    </w:p>
    <w:p w14:paraId="00AD4148" w14:textId="09AD8372" w:rsidR="00034761" w:rsidRPr="00B3064D" w:rsidRDefault="00000000" w:rsidP="00B3064D">
      <w:pPr>
        <w:spacing w:after="120" w:line="276" w:lineRule="auto"/>
        <w:rPr>
          <w:sz w:val="24"/>
          <w:szCs w:val="24"/>
          <w:lang w:val="en-US"/>
        </w:rPr>
      </w:pPr>
      <w:r w:rsidRPr="00B3064D">
        <w:rPr>
          <w:sz w:val="24"/>
          <w:szCs w:val="24"/>
          <w:lang w:val="en-US"/>
        </w:rPr>
        <w:t xml:space="preserve">In 2023, the FDA approved the drug </w:t>
      </w:r>
      <w:proofErr w:type="spellStart"/>
      <w:r w:rsidR="00857C56">
        <w:rPr>
          <w:sz w:val="24"/>
          <w:szCs w:val="24"/>
          <w:lang w:val="en-US"/>
        </w:rPr>
        <w:t>T</w:t>
      </w:r>
      <w:r w:rsidRPr="00B3064D">
        <w:rPr>
          <w:sz w:val="24"/>
          <w:szCs w:val="24"/>
          <w:lang w:val="en-US"/>
        </w:rPr>
        <w:t>rofinetide</w:t>
      </w:r>
      <w:proofErr w:type="spellEnd"/>
      <w:r w:rsidRPr="00B3064D">
        <w:rPr>
          <w:sz w:val="24"/>
          <w:szCs w:val="24"/>
          <w:lang w:val="en-US"/>
        </w:rPr>
        <w:t xml:space="preserve">, marking a milestone by becoming the first targeted therapy for this disease [10]. </w:t>
      </w:r>
      <w:proofErr w:type="spellStart"/>
      <w:r w:rsidRPr="00B3064D">
        <w:rPr>
          <w:sz w:val="24"/>
          <w:szCs w:val="24"/>
          <w:lang w:val="en-US"/>
        </w:rPr>
        <w:t>Trofinetide</w:t>
      </w:r>
      <w:proofErr w:type="spellEnd"/>
      <w:r w:rsidRPr="00B3064D">
        <w:rPr>
          <w:sz w:val="24"/>
          <w:szCs w:val="24"/>
          <w:lang w:val="en-US"/>
        </w:rPr>
        <w:t xml:space="preserve"> is a peptide derived from the N-terminus of insulin-like growth factor 1 (IGF-1) and was designed to cross the blood-brain barrier and partially restore impaired neuronal functions in patients with MECP2 deficiency. Clinical trial results have shown that its administration produces significant improvements in some symptoms of the disease, such as non-verbal communication, social interaction, breathing pattern, sleep, and reduction of stereotyped movements [11]. However, its use is frequently associated with side effects, particularly diarrhea, decreased appetite, vomiting, and weight loss, which may require dose adjustment or discontinuation of treatment in severe cases [12].</w:t>
      </w:r>
    </w:p>
    <w:p w14:paraId="11AE1DEF" w14:textId="03117C64" w:rsidR="00034761" w:rsidRPr="00B3064D" w:rsidRDefault="00000000" w:rsidP="00B3064D">
      <w:pPr>
        <w:spacing w:after="120" w:line="276" w:lineRule="auto"/>
        <w:rPr>
          <w:sz w:val="24"/>
          <w:szCs w:val="24"/>
          <w:lang w:val="en-US"/>
        </w:rPr>
      </w:pPr>
      <w:r w:rsidRPr="00B3064D">
        <w:rPr>
          <w:sz w:val="24"/>
          <w:szCs w:val="24"/>
          <w:lang w:val="en-US"/>
        </w:rPr>
        <w:t xml:space="preserve">Although no information has been reported that allows a precise elucidation of the mechanism of action of </w:t>
      </w:r>
      <w:proofErr w:type="spellStart"/>
      <w:r w:rsidR="00857C56">
        <w:rPr>
          <w:sz w:val="24"/>
          <w:szCs w:val="24"/>
          <w:lang w:val="en-US"/>
        </w:rPr>
        <w:t>T</w:t>
      </w:r>
      <w:r w:rsidRPr="00B3064D">
        <w:rPr>
          <w:sz w:val="24"/>
          <w:szCs w:val="24"/>
          <w:lang w:val="en-US"/>
        </w:rPr>
        <w:t>rofinetide</w:t>
      </w:r>
      <w:proofErr w:type="spellEnd"/>
      <w:r w:rsidRPr="00B3064D">
        <w:rPr>
          <w:sz w:val="24"/>
          <w:szCs w:val="24"/>
          <w:lang w:val="en-US"/>
        </w:rPr>
        <w:t>, available preclinical and clinical studies suggest that it modulates different convergent processes in RTT. It is known that the administration of the drug promotes the reduction of neuroinflammation, the activation of microglia, the formation of new neuronal connections and the restoration of dendritic structure [13,14]. These effects could be related to the signaling pathways regulated by IGF-1, although a specific molecular target that explains its action has not been identified [15].</w:t>
      </w:r>
    </w:p>
    <w:p w14:paraId="5FBF04D5" w14:textId="613A108C" w:rsidR="00034761" w:rsidRDefault="004126D5" w:rsidP="00B3064D">
      <w:pPr>
        <w:spacing w:after="120" w:line="276" w:lineRule="auto"/>
        <w:rPr>
          <w:sz w:val="24"/>
          <w:szCs w:val="24"/>
          <w:lang w:val="en-US"/>
        </w:rPr>
      </w:pPr>
      <w:r w:rsidRPr="004126D5">
        <w:rPr>
          <w:sz w:val="24"/>
          <w:szCs w:val="24"/>
          <w:lang w:val="en-US"/>
        </w:rPr>
        <w:t xml:space="preserve">The present study aims to explore, using structure-based computational tools, the potential interactions of </w:t>
      </w:r>
      <w:proofErr w:type="spellStart"/>
      <w:r w:rsidRPr="004126D5">
        <w:rPr>
          <w:sz w:val="24"/>
          <w:szCs w:val="24"/>
          <w:lang w:val="en-US"/>
        </w:rPr>
        <w:t>trofinetide</w:t>
      </w:r>
      <w:proofErr w:type="spellEnd"/>
      <w:r w:rsidRPr="004126D5">
        <w:rPr>
          <w:sz w:val="24"/>
          <w:szCs w:val="24"/>
          <w:lang w:val="en-US"/>
        </w:rPr>
        <w:t xml:space="preserve"> with a set of proteins relevant to the pathophysiology of Rett syndrome, </w:t>
      </w:r>
      <w:r w:rsidRPr="004126D5">
        <w:rPr>
          <w:sz w:val="24"/>
          <w:szCs w:val="24"/>
          <w:lang w:val="en-US"/>
        </w:rPr>
        <w:t>to</w:t>
      </w:r>
      <w:r w:rsidRPr="004126D5">
        <w:rPr>
          <w:sz w:val="24"/>
          <w:szCs w:val="24"/>
          <w:lang w:val="en-US"/>
        </w:rPr>
        <w:t xml:space="preserve"> generate mechanistic hypotheses about its multitarget mode of action. A systematic approach is proposed that analyzes the coupling of </w:t>
      </w:r>
      <w:proofErr w:type="spellStart"/>
      <w:r w:rsidRPr="004126D5">
        <w:rPr>
          <w:sz w:val="24"/>
          <w:szCs w:val="24"/>
          <w:lang w:val="en-US"/>
        </w:rPr>
        <w:t>trofinetide</w:t>
      </w:r>
      <w:proofErr w:type="spellEnd"/>
      <w:r w:rsidRPr="004126D5">
        <w:rPr>
          <w:sz w:val="24"/>
          <w:szCs w:val="24"/>
          <w:lang w:val="en-US"/>
        </w:rPr>
        <w:t xml:space="preserve"> with proteins classified into four functional groups</w:t>
      </w:r>
      <w:r>
        <w:rPr>
          <w:sz w:val="24"/>
          <w:szCs w:val="24"/>
          <w:lang w:val="en-US"/>
        </w:rPr>
        <w:t xml:space="preserve"> (Table 1).</w:t>
      </w:r>
    </w:p>
    <w:p w14:paraId="0FD39A16" w14:textId="77777777" w:rsidR="004126D5" w:rsidRDefault="004126D5" w:rsidP="00B3064D">
      <w:pPr>
        <w:spacing w:after="120" w:line="276" w:lineRule="auto"/>
        <w:rPr>
          <w:sz w:val="24"/>
          <w:szCs w:val="24"/>
          <w:lang w:val="en-US"/>
        </w:rPr>
      </w:pPr>
    </w:p>
    <w:p w14:paraId="380E1AD2" w14:textId="77777777" w:rsidR="004126D5" w:rsidRDefault="004126D5" w:rsidP="00B3064D">
      <w:pPr>
        <w:spacing w:after="120" w:line="276" w:lineRule="auto"/>
        <w:rPr>
          <w:sz w:val="24"/>
          <w:szCs w:val="24"/>
          <w:lang w:val="en-US"/>
        </w:rPr>
      </w:pPr>
    </w:p>
    <w:p w14:paraId="6AF43938" w14:textId="77777777" w:rsidR="004126D5" w:rsidRPr="00B3064D" w:rsidRDefault="004126D5" w:rsidP="00B3064D">
      <w:pPr>
        <w:spacing w:after="120" w:line="276" w:lineRule="auto"/>
        <w:rPr>
          <w:sz w:val="24"/>
          <w:szCs w:val="24"/>
          <w:lang w:val="en-US"/>
        </w:rPr>
      </w:pPr>
    </w:p>
    <w:p w14:paraId="3E294EC3" w14:textId="4F3F50A5" w:rsidR="00034761" w:rsidRPr="00B3064D" w:rsidRDefault="00B3064D" w:rsidP="00B3064D">
      <w:pPr>
        <w:spacing w:after="120" w:line="276" w:lineRule="auto"/>
        <w:rPr>
          <w:b/>
          <w:bCs/>
          <w:sz w:val="24"/>
          <w:szCs w:val="24"/>
          <w:lang w:val="en-US"/>
        </w:rPr>
      </w:pPr>
      <w:r w:rsidRPr="00B3064D">
        <w:rPr>
          <w:b/>
          <w:bCs/>
          <w:sz w:val="24"/>
          <w:szCs w:val="24"/>
          <w:lang w:val="en-US"/>
        </w:rPr>
        <w:t>Methodology</w:t>
      </w:r>
    </w:p>
    <w:p w14:paraId="592F643C" w14:textId="77777777" w:rsidR="00B3064D" w:rsidRDefault="00B3064D" w:rsidP="00B3064D">
      <w:pPr>
        <w:spacing w:after="120" w:line="276" w:lineRule="auto"/>
        <w:rPr>
          <w:sz w:val="24"/>
          <w:szCs w:val="24"/>
          <w:lang w:val="en-US"/>
        </w:rPr>
      </w:pPr>
    </w:p>
    <w:p w14:paraId="2B6B39A1" w14:textId="77777777" w:rsidR="00B3064D" w:rsidRDefault="00B3064D" w:rsidP="00B3064D">
      <w:pPr>
        <w:spacing w:after="120" w:line="276" w:lineRule="auto"/>
        <w:rPr>
          <w:sz w:val="24"/>
          <w:szCs w:val="24"/>
          <w:lang w:val="en-US"/>
        </w:rPr>
      </w:pPr>
    </w:p>
    <w:p w14:paraId="35CFFA25" w14:textId="06ADEB7A" w:rsidR="00B3064D" w:rsidRPr="00B3064D" w:rsidRDefault="00B3064D" w:rsidP="00B3064D">
      <w:pPr>
        <w:spacing w:after="120" w:line="276" w:lineRule="auto"/>
        <w:rPr>
          <w:b/>
          <w:bCs/>
          <w:sz w:val="24"/>
          <w:szCs w:val="24"/>
          <w:lang w:val="en-US"/>
        </w:rPr>
      </w:pPr>
      <w:r w:rsidRPr="00B3064D">
        <w:rPr>
          <w:b/>
          <w:bCs/>
          <w:sz w:val="24"/>
          <w:szCs w:val="24"/>
          <w:lang w:val="en-US"/>
        </w:rPr>
        <w:t>Results</w:t>
      </w:r>
    </w:p>
    <w:p w14:paraId="52E79145" w14:textId="77777777" w:rsidR="00B3064D" w:rsidRDefault="00B3064D" w:rsidP="00B3064D">
      <w:pPr>
        <w:spacing w:after="120" w:line="276" w:lineRule="auto"/>
        <w:rPr>
          <w:sz w:val="24"/>
          <w:szCs w:val="24"/>
          <w:lang w:val="en-US"/>
        </w:rPr>
      </w:pPr>
    </w:p>
    <w:p w14:paraId="202F83BE" w14:textId="77777777" w:rsidR="00B3064D" w:rsidRDefault="00B3064D" w:rsidP="00B3064D">
      <w:pPr>
        <w:spacing w:after="120" w:line="276" w:lineRule="auto"/>
        <w:rPr>
          <w:sz w:val="24"/>
          <w:szCs w:val="24"/>
          <w:lang w:val="en-US"/>
        </w:rPr>
      </w:pPr>
    </w:p>
    <w:p w14:paraId="29BD2E8B" w14:textId="0A25457D" w:rsidR="00B3064D" w:rsidRPr="00B3064D" w:rsidRDefault="00B3064D" w:rsidP="00B3064D">
      <w:pPr>
        <w:spacing w:after="120" w:line="276" w:lineRule="auto"/>
        <w:rPr>
          <w:b/>
          <w:bCs/>
          <w:sz w:val="24"/>
          <w:szCs w:val="24"/>
          <w:lang w:val="en-US"/>
        </w:rPr>
      </w:pPr>
      <w:r w:rsidRPr="00B3064D">
        <w:rPr>
          <w:b/>
          <w:bCs/>
          <w:sz w:val="24"/>
          <w:szCs w:val="24"/>
          <w:lang w:val="en-US"/>
        </w:rPr>
        <w:t>Conclusions</w:t>
      </w:r>
    </w:p>
    <w:p w14:paraId="51BF55DF" w14:textId="77777777" w:rsidR="00034761" w:rsidRDefault="00034761" w:rsidP="00B3064D">
      <w:pPr>
        <w:spacing w:after="120" w:line="276" w:lineRule="auto"/>
        <w:rPr>
          <w:sz w:val="24"/>
          <w:szCs w:val="24"/>
          <w:lang w:val="en-US"/>
        </w:rPr>
      </w:pPr>
    </w:p>
    <w:p w14:paraId="3C141940" w14:textId="77777777" w:rsidR="00B3064D" w:rsidRPr="00B3064D" w:rsidRDefault="00B3064D" w:rsidP="00B3064D">
      <w:pPr>
        <w:spacing w:after="120" w:line="276" w:lineRule="auto"/>
        <w:rPr>
          <w:sz w:val="24"/>
          <w:szCs w:val="24"/>
          <w:lang w:val="en-US"/>
        </w:rPr>
      </w:pPr>
    </w:p>
    <w:p w14:paraId="344E2D58" w14:textId="77777777" w:rsidR="00034761" w:rsidRPr="00B3064D" w:rsidRDefault="00000000" w:rsidP="00B3064D">
      <w:pPr>
        <w:spacing w:after="120" w:line="276" w:lineRule="auto"/>
        <w:rPr>
          <w:b/>
          <w:bCs/>
          <w:sz w:val="24"/>
          <w:szCs w:val="24"/>
          <w:lang w:val="fr-FR"/>
        </w:rPr>
      </w:pPr>
      <w:proofErr w:type="spellStart"/>
      <w:r w:rsidRPr="00B3064D">
        <w:rPr>
          <w:b/>
          <w:bCs/>
          <w:sz w:val="24"/>
          <w:szCs w:val="24"/>
          <w:lang w:val="fr-FR"/>
        </w:rPr>
        <w:t>References</w:t>
      </w:r>
      <w:proofErr w:type="spellEnd"/>
    </w:p>
    <w:p w14:paraId="362E60EF" w14:textId="77777777" w:rsidR="00034761" w:rsidRPr="00B3064D" w:rsidRDefault="00000000" w:rsidP="00B3064D">
      <w:pPr>
        <w:spacing w:after="120" w:line="276" w:lineRule="auto"/>
        <w:rPr>
          <w:sz w:val="24"/>
          <w:szCs w:val="24"/>
          <w:lang w:val="en-US"/>
        </w:rPr>
      </w:pPr>
      <w:r w:rsidRPr="00B3064D">
        <w:rPr>
          <w:sz w:val="24"/>
          <w:szCs w:val="24"/>
          <w:lang w:val="fr-FR"/>
        </w:rPr>
        <w:t xml:space="preserve">1. </w:t>
      </w:r>
      <w:proofErr w:type="spellStart"/>
      <w:r w:rsidRPr="00B3064D">
        <w:rPr>
          <w:sz w:val="24"/>
          <w:szCs w:val="24"/>
          <w:lang w:val="fr-FR"/>
        </w:rPr>
        <w:t>Neul</w:t>
      </w:r>
      <w:proofErr w:type="spellEnd"/>
      <w:r w:rsidRPr="00B3064D">
        <w:rPr>
          <w:sz w:val="24"/>
          <w:szCs w:val="24"/>
          <w:lang w:val="fr-FR"/>
        </w:rPr>
        <w:t xml:space="preserve"> JL, et al. </w:t>
      </w:r>
      <w:r w:rsidRPr="00B3064D">
        <w:rPr>
          <w:sz w:val="24"/>
          <w:szCs w:val="24"/>
          <w:lang w:val="en-US"/>
        </w:rPr>
        <w:t>Rett syndrome: Revised diagnostic criteria and nomenclature. Ann Neurol. 2010;68(6):944–950. https://pubmed.ncbi.nlm.nih.gov/21154482/</w:t>
      </w:r>
    </w:p>
    <w:p w14:paraId="2C49941B" w14:textId="77777777" w:rsidR="00034761" w:rsidRPr="00B3064D" w:rsidRDefault="00000000" w:rsidP="00B3064D">
      <w:pPr>
        <w:spacing w:after="120" w:line="276" w:lineRule="auto"/>
        <w:rPr>
          <w:sz w:val="24"/>
          <w:szCs w:val="24"/>
          <w:lang w:val="en-US"/>
        </w:rPr>
      </w:pPr>
      <w:r w:rsidRPr="00B3064D">
        <w:rPr>
          <w:sz w:val="24"/>
          <w:szCs w:val="24"/>
          <w:lang w:val="en-US"/>
        </w:rPr>
        <w:t xml:space="preserve">2. </w:t>
      </w:r>
      <w:proofErr w:type="spellStart"/>
      <w:r w:rsidRPr="00B3064D">
        <w:rPr>
          <w:sz w:val="24"/>
          <w:szCs w:val="24"/>
          <w:lang w:val="en-US"/>
        </w:rPr>
        <w:t>Buchovecky</w:t>
      </w:r>
      <w:proofErr w:type="spellEnd"/>
      <w:r w:rsidRPr="00B3064D">
        <w:rPr>
          <w:sz w:val="24"/>
          <w:szCs w:val="24"/>
          <w:lang w:val="en-US"/>
        </w:rPr>
        <w:t xml:space="preserve"> CM, et al. The role of mitochondria in Rett syndrome. Dis Model Mech. 2013;6(1):17–25. https://www.ncbi.nlm.nih.gov/pmc/articles/PMC3537514/</w:t>
      </w:r>
    </w:p>
    <w:p w14:paraId="1DC39D23" w14:textId="308FC1B9" w:rsidR="00034761" w:rsidRPr="00B3064D" w:rsidRDefault="00000000" w:rsidP="00B3064D">
      <w:pPr>
        <w:spacing w:after="120" w:line="276" w:lineRule="auto"/>
        <w:rPr>
          <w:sz w:val="24"/>
          <w:szCs w:val="24"/>
          <w:lang w:val="fr-FR"/>
        </w:rPr>
      </w:pPr>
      <w:r w:rsidRPr="00B3064D">
        <w:rPr>
          <w:sz w:val="24"/>
          <w:szCs w:val="24"/>
          <w:lang w:val="en-US"/>
        </w:rPr>
        <w:t xml:space="preserve">3. </w:t>
      </w:r>
      <w:proofErr w:type="spellStart"/>
      <w:r w:rsidRPr="00B3064D">
        <w:rPr>
          <w:sz w:val="24"/>
          <w:szCs w:val="24"/>
          <w:lang w:val="en-US"/>
        </w:rPr>
        <w:t>Panighini</w:t>
      </w:r>
      <w:proofErr w:type="spellEnd"/>
      <w:r w:rsidRPr="00B3064D">
        <w:rPr>
          <w:sz w:val="24"/>
          <w:szCs w:val="24"/>
          <w:lang w:val="en-US"/>
        </w:rPr>
        <w:t xml:space="preserve"> A, et al. Dysregulation of lipid metabolism in Rett syndrome models. </w:t>
      </w:r>
      <w:proofErr w:type="spellStart"/>
      <w:r w:rsidRPr="00B3064D">
        <w:rPr>
          <w:sz w:val="24"/>
          <w:szCs w:val="24"/>
          <w:lang w:val="fr-FR"/>
        </w:rPr>
        <w:t>Neurobiol</w:t>
      </w:r>
      <w:proofErr w:type="spellEnd"/>
      <w:r w:rsidRPr="00B3064D">
        <w:rPr>
          <w:sz w:val="24"/>
          <w:szCs w:val="24"/>
          <w:lang w:val="fr-FR"/>
        </w:rPr>
        <w:t xml:space="preserve"> Dis. </w:t>
      </w:r>
      <w:proofErr w:type="gramStart"/>
      <w:r w:rsidRPr="00B3064D">
        <w:rPr>
          <w:sz w:val="24"/>
          <w:szCs w:val="24"/>
          <w:lang w:val="fr-FR"/>
        </w:rPr>
        <w:t>2013;</w:t>
      </w:r>
      <w:proofErr w:type="gramEnd"/>
      <w:r w:rsidR="0085471F">
        <w:rPr>
          <w:sz w:val="24"/>
          <w:szCs w:val="24"/>
          <w:lang w:val="fr-FR"/>
        </w:rPr>
        <w:t xml:space="preserve"> </w:t>
      </w:r>
      <w:proofErr w:type="gramStart"/>
      <w:r w:rsidRPr="00B3064D">
        <w:rPr>
          <w:sz w:val="24"/>
          <w:szCs w:val="24"/>
          <w:lang w:val="fr-FR"/>
        </w:rPr>
        <w:t>50:</w:t>
      </w:r>
      <w:proofErr w:type="gramEnd"/>
      <w:r w:rsidRPr="00B3064D">
        <w:rPr>
          <w:sz w:val="24"/>
          <w:szCs w:val="24"/>
          <w:lang w:val="fr-FR"/>
        </w:rPr>
        <w:t xml:space="preserve">140–149. </w:t>
      </w:r>
      <w:hyperlink r:id="rId6" w:history="1">
        <w:r w:rsidRPr="00B3064D">
          <w:rPr>
            <w:sz w:val="24"/>
            <w:szCs w:val="24"/>
            <w:lang w:val="fr-FR"/>
          </w:rPr>
          <w:t>https://pubmed.ncbi.nlm.nih.gov/23022264/</w:t>
        </w:r>
      </w:hyperlink>
    </w:p>
    <w:p w14:paraId="74700C92" w14:textId="77777777" w:rsidR="00034761" w:rsidRPr="00B3064D" w:rsidRDefault="00000000" w:rsidP="00B3064D">
      <w:pPr>
        <w:spacing w:after="120" w:line="276" w:lineRule="auto"/>
        <w:rPr>
          <w:sz w:val="24"/>
          <w:szCs w:val="24"/>
          <w:lang w:val="pt-BR"/>
        </w:rPr>
      </w:pPr>
      <w:r w:rsidRPr="00B3064D">
        <w:rPr>
          <w:sz w:val="24"/>
          <w:szCs w:val="24"/>
          <w:lang w:val="fr-FR"/>
        </w:rPr>
        <w:t xml:space="preserve">4. </w:t>
      </w:r>
      <w:proofErr w:type="spellStart"/>
      <w:r w:rsidRPr="00B3064D">
        <w:rPr>
          <w:sz w:val="24"/>
          <w:szCs w:val="24"/>
          <w:lang w:val="fr-FR"/>
        </w:rPr>
        <w:t>Motil</w:t>
      </w:r>
      <w:proofErr w:type="spellEnd"/>
      <w:r w:rsidRPr="00B3064D">
        <w:rPr>
          <w:sz w:val="24"/>
          <w:szCs w:val="24"/>
          <w:lang w:val="fr-FR"/>
        </w:rPr>
        <w:t xml:space="preserve"> KJ, et al. </w:t>
      </w:r>
      <w:r w:rsidRPr="00B3064D">
        <w:rPr>
          <w:sz w:val="24"/>
          <w:szCs w:val="24"/>
          <w:lang w:val="en-US"/>
        </w:rPr>
        <w:t xml:space="preserve">Gastrointestinal and nutritional problems occur frequently throughout life in girls and women with Rett syndrome. </w:t>
      </w:r>
      <w:r w:rsidRPr="00B3064D">
        <w:rPr>
          <w:sz w:val="24"/>
          <w:szCs w:val="24"/>
          <w:lang w:val="pt-BR"/>
        </w:rPr>
        <w:t xml:space="preserve">J Pediatr </w:t>
      </w:r>
      <w:proofErr w:type="spellStart"/>
      <w:r w:rsidRPr="00B3064D">
        <w:rPr>
          <w:sz w:val="24"/>
          <w:szCs w:val="24"/>
          <w:lang w:val="pt-BR"/>
        </w:rPr>
        <w:t>Gastroenterol</w:t>
      </w:r>
      <w:proofErr w:type="spellEnd"/>
      <w:r w:rsidRPr="00B3064D">
        <w:rPr>
          <w:sz w:val="24"/>
          <w:szCs w:val="24"/>
          <w:lang w:val="pt-BR"/>
        </w:rPr>
        <w:t xml:space="preserve"> Nutr. 2012;55(3):292–298. https://pubmed.ncbi.nlm.nih.gov/22357206/</w:t>
      </w:r>
    </w:p>
    <w:p w14:paraId="099F3A79" w14:textId="77777777" w:rsidR="00034761" w:rsidRPr="00B3064D" w:rsidRDefault="00000000" w:rsidP="00B3064D">
      <w:pPr>
        <w:spacing w:after="120" w:line="276" w:lineRule="auto"/>
        <w:rPr>
          <w:sz w:val="24"/>
          <w:szCs w:val="24"/>
          <w:lang w:val="en-US"/>
        </w:rPr>
      </w:pPr>
      <w:r w:rsidRPr="00B3064D">
        <w:rPr>
          <w:sz w:val="24"/>
          <w:szCs w:val="24"/>
          <w:lang w:val="en-US"/>
        </w:rPr>
        <w:t>5. Epstein A, et al. The impact of Rett syndrome on quality of life. J Child Neurol. 2021;36(7):557–563. https://pubmed.ncbi.nlm.nih.gov/33739127/</w:t>
      </w:r>
    </w:p>
    <w:p w14:paraId="3C92EA21" w14:textId="77777777" w:rsidR="00034761" w:rsidRPr="00B3064D" w:rsidRDefault="00000000" w:rsidP="00B3064D">
      <w:pPr>
        <w:spacing w:after="120" w:line="276" w:lineRule="auto"/>
        <w:rPr>
          <w:sz w:val="24"/>
          <w:szCs w:val="24"/>
          <w:lang w:val="en-US"/>
        </w:rPr>
      </w:pPr>
      <w:r w:rsidRPr="00B3064D">
        <w:rPr>
          <w:sz w:val="24"/>
          <w:szCs w:val="24"/>
          <w:lang w:val="en-US"/>
        </w:rPr>
        <w:t xml:space="preserve">6. Tarquinio DC, et al. The changing face of survival in Rett syndrome and MECP2-related disorders. </w:t>
      </w:r>
      <w:proofErr w:type="spellStart"/>
      <w:r w:rsidRPr="00B3064D">
        <w:rPr>
          <w:sz w:val="24"/>
          <w:szCs w:val="24"/>
          <w:lang w:val="en-US"/>
        </w:rPr>
        <w:t>Pediatr</w:t>
      </w:r>
      <w:proofErr w:type="spellEnd"/>
      <w:r w:rsidRPr="00B3064D">
        <w:rPr>
          <w:sz w:val="24"/>
          <w:szCs w:val="24"/>
          <w:lang w:val="en-US"/>
        </w:rPr>
        <w:t xml:space="preserve"> Neurol. 2015;53(5):402–411.  https://pubmed.ncbi.nlm.nih.gov/26315311/</w:t>
      </w:r>
    </w:p>
    <w:p w14:paraId="6B2CDA57" w14:textId="77777777" w:rsidR="00034761" w:rsidRPr="00B3064D" w:rsidRDefault="00000000" w:rsidP="00B3064D">
      <w:pPr>
        <w:spacing w:after="120" w:line="276" w:lineRule="auto"/>
        <w:rPr>
          <w:sz w:val="24"/>
          <w:szCs w:val="24"/>
          <w:lang w:val="fr-FR"/>
        </w:rPr>
      </w:pPr>
      <w:r w:rsidRPr="00B3064D">
        <w:rPr>
          <w:sz w:val="24"/>
          <w:szCs w:val="24"/>
          <w:lang w:val="en-US"/>
        </w:rPr>
        <w:t xml:space="preserve">7. Amir RE, et al. Rett syndrome is caused by mutations in X-linked MECP2, encoding methyl-CpG-binding protein 2. </w:t>
      </w:r>
      <w:r w:rsidRPr="00B3064D">
        <w:rPr>
          <w:sz w:val="24"/>
          <w:szCs w:val="24"/>
          <w:lang w:val="fr-FR"/>
        </w:rPr>
        <w:t xml:space="preserve">Nat Genet. </w:t>
      </w:r>
      <w:proofErr w:type="gramStart"/>
      <w:r w:rsidRPr="00B3064D">
        <w:rPr>
          <w:sz w:val="24"/>
          <w:szCs w:val="24"/>
          <w:lang w:val="fr-FR"/>
        </w:rPr>
        <w:t>1999;</w:t>
      </w:r>
      <w:proofErr w:type="gramEnd"/>
      <w:r w:rsidRPr="00B3064D">
        <w:rPr>
          <w:sz w:val="24"/>
          <w:szCs w:val="24"/>
          <w:lang w:val="fr-FR"/>
        </w:rPr>
        <w:t>23(2</w:t>
      </w:r>
      <w:proofErr w:type="gramStart"/>
      <w:r w:rsidRPr="00B3064D">
        <w:rPr>
          <w:sz w:val="24"/>
          <w:szCs w:val="24"/>
          <w:lang w:val="fr-FR"/>
        </w:rPr>
        <w:t>):</w:t>
      </w:r>
      <w:proofErr w:type="gramEnd"/>
      <w:r w:rsidRPr="00B3064D">
        <w:rPr>
          <w:sz w:val="24"/>
          <w:szCs w:val="24"/>
          <w:lang w:val="fr-FR"/>
        </w:rPr>
        <w:t>185–188.  https://pubmed.ncbi.nlm.nih.gov/10508514/</w:t>
      </w:r>
    </w:p>
    <w:p w14:paraId="32C11A17" w14:textId="77777777" w:rsidR="00034761" w:rsidRPr="00B3064D" w:rsidRDefault="00000000" w:rsidP="00B3064D">
      <w:pPr>
        <w:spacing w:after="120" w:line="276" w:lineRule="auto"/>
        <w:rPr>
          <w:sz w:val="24"/>
          <w:szCs w:val="24"/>
          <w:lang w:val="en-US"/>
        </w:rPr>
      </w:pPr>
      <w:r w:rsidRPr="00B3064D">
        <w:rPr>
          <w:sz w:val="24"/>
          <w:szCs w:val="24"/>
          <w:lang w:val="fr-FR"/>
        </w:rPr>
        <w:t xml:space="preserve">8. </w:t>
      </w:r>
      <w:proofErr w:type="spellStart"/>
      <w:r w:rsidRPr="00B3064D">
        <w:rPr>
          <w:sz w:val="24"/>
          <w:szCs w:val="24"/>
          <w:lang w:val="fr-FR"/>
        </w:rPr>
        <w:t>Neul</w:t>
      </w:r>
      <w:proofErr w:type="spellEnd"/>
      <w:r w:rsidRPr="00B3064D">
        <w:rPr>
          <w:sz w:val="24"/>
          <w:szCs w:val="24"/>
          <w:lang w:val="fr-FR"/>
        </w:rPr>
        <w:t xml:space="preserve"> JL, et al. </w:t>
      </w:r>
      <w:r w:rsidRPr="00B3064D">
        <w:rPr>
          <w:sz w:val="24"/>
          <w:szCs w:val="24"/>
          <w:lang w:val="en-US"/>
        </w:rPr>
        <w:t xml:space="preserve">Specific mutations in CDKL5 and FOXG1 cause atypical variants of Rett syndrome. J </w:t>
      </w:r>
      <w:proofErr w:type="spellStart"/>
      <w:r w:rsidRPr="00B3064D">
        <w:rPr>
          <w:sz w:val="24"/>
          <w:szCs w:val="24"/>
          <w:lang w:val="en-US"/>
        </w:rPr>
        <w:t>Neurodev</w:t>
      </w:r>
      <w:proofErr w:type="spellEnd"/>
      <w:r w:rsidRPr="00B3064D">
        <w:rPr>
          <w:sz w:val="24"/>
          <w:szCs w:val="24"/>
          <w:lang w:val="en-US"/>
        </w:rPr>
        <w:t xml:space="preserve"> Disord. 2014;6(1):25.  https://www.ncbi.nlm.nih.gov/pmc/articles/PMC4101771/</w:t>
      </w:r>
    </w:p>
    <w:p w14:paraId="3512C025" w14:textId="77777777" w:rsidR="00034761" w:rsidRPr="00B3064D" w:rsidRDefault="00000000" w:rsidP="00B3064D">
      <w:pPr>
        <w:spacing w:after="120" w:line="276" w:lineRule="auto"/>
        <w:rPr>
          <w:sz w:val="24"/>
          <w:szCs w:val="24"/>
          <w:lang w:val="en-US"/>
        </w:rPr>
      </w:pPr>
      <w:r w:rsidRPr="00B3064D">
        <w:rPr>
          <w:sz w:val="24"/>
          <w:szCs w:val="24"/>
          <w:lang w:val="en-US"/>
        </w:rPr>
        <w:t>9. Neul JL et al. Rett syndrome: Revised diagnostic criteria and nomenclature. Ann Neurol. 2010;68(6):944–950. https://pubmed.ncbi.nlm.nih.gov/21154482/</w:t>
      </w:r>
    </w:p>
    <w:p w14:paraId="2B62127A" w14:textId="77777777" w:rsidR="00034761" w:rsidRPr="00B3064D" w:rsidRDefault="00000000" w:rsidP="00B3064D">
      <w:pPr>
        <w:spacing w:after="120" w:line="276" w:lineRule="auto"/>
        <w:rPr>
          <w:sz w:val="24"/>
          <w:szCs w:val="24"/>
          <w:lang w:val="en-US"/>
        </w:rPr>
      </w:pPr>
      <w:r w:rsidRPr="00B3064D">
        <w:rPr>
          <w:sz w:val="24"/>
          <w:szCs w:val="24"/>
          <w:lang w:val="en-US"/>
        </w:rPr>
        <w:t xml:space="preserve">10. FDA. FDA approves first treatment for Rett syndrome. https://www.fda.gov/drugs/news-events-human-drugs/fda-approves-first-treatment-rett-syndrome </w:t>
      </w:r>
    </w:p>
    <w:p w14:paraId="6C6B8D49" w14:textId="77777777" w:rsidR="00034761" w:rsidRPr="00B3064D" w:rsidRDefault="00000000" w:rsidP="00B3064D">
      <w:pPr>
        <w:spacing w:after="120" w:line="276" w:lineRule="auto"/>
        <w:rPr>
          <w:sz w:val="24"/>
          <w:szCs w:val="24"/>
          <w:lang w:val="en-US"/>
        </w:rPr>
      </w:pPr>
      <w:r w:rsidRPr="00B3064D">
        <w:rPr>
          <w:sz w:val="24"/>
          <w:szCs w:val="24"/>
          <w:lang w:val="en-US"/>
        </w:rPr>
        <w:t xml:space="preserve">11. Glaze DG et al. A phase 3 trial of </w:t>
      </w:r>
      <w:proofErr w:type="spellStart"/>
      <w:r w:rsidRPr="00B3064D">
        <w:rPr>
          <w:sz w:val="24"/>
          <w:szCs w:val="24"/>
          <w:lang w:val="en-US"/>
        </w:rPr>
        <w:t>trofinetide</w:t>
      </w:r>
      <w:proofErr w:type="spellEnd"/>
      <w:r w:rsidRPr="00B3064D">
        <w:rPr>
          <w:sz w:val="24"/>
          <w:szCs w:val="24"/>
          <w:lang w:val="en-US"/>
        </w:rPr>
        <w:t xml:space="preserve"> in Rett syndrome. Nat Med. 2023;29:909–917. https://www.nature.com/articles/s41591-023-02398-1</w:t>
      </w:r>
    </w:p>
    <w:p w14:paraId="751827D9" w14:textId="77777777" w:rsidR="00034761" w:rsidRPr="00B3064D" w:rsidRDefault="00000000" w:rsidP="00B3064D">
      <w:pPr>
        <w:spacing w:after="120" w:line="276" w:lineRule="auto"/>
        <w:rPr>
          <w:sz w:val="24"/>
          <w:szCs w:val="24"/>
          <w:lang w:val="en-US"/>
        </w:rPr>
      </w:pPr>
      <w:r w:rsidRPr="00B3064D">
        <w:rPr>
          <w:sz w:val="24"/>
          <w:szCs w:val="24"/>
          <w:lang w:val="en-US"/>
        </w:rPr>
        <w:t xml:space="preserve">12. </w:t>
      </w:r>
      <w:proofErr w:type="spellStart"/>
      <w:r w:rsidRPr="00B3064D">
        <w:rPr>
          <w:sz w:val="24"/>
          <w:szCs w:val="24"/>
          <w:lang w:val="en-US"/>
        </w:rPr>
        <w:t>Trofinetide</w:t>
      </w:r>
      <w:proofErr w:type="spellEnd"/>
      <w:r w:rsidRPr="00B3064D">
        <w:rPr>
          <w:sz w:val="24"/>
          <w:szCs w:val="24"/>
          <w:lang w:val="en-US"/>
        </w:rPr>
        <w:t xml:space="preserve"> (</w:t>
      </w:r>
      <w:proofErr w:type="spellStart"/>
      <w:r w:rsidRPr="00B3064D">
        <w:rPr>
          <w:sz w:val="24"/>
          <w:szCs w:val="24"/>
          <w:lang w:val="en-US"/>
        </w:rPr>
        <w:t>Daybue</w:t>
      </w:r>
      <w:proofErr w:type="spellEnd"/>
      <w:r w:rsidRPr="00B3064D">
        <w:rPr>
          <w:sz w:val="24"/>
          <w:szCs w:val="24"/>
          <w:lang w:val="en-US"/>
        </w:rPr>
        <w:t>™) – Prescribing information, NDA 217026.  https://www.accessdata.fda.gov/drugsatfda_docs/label/2023/217026s000lbl.pdf</w:t>
      </w:r>
    </w:p>
    <w:p w14:paraId="3ABD9343" w14:textId="77777777" w:rsidR="00034761" w:rsidRPr="00B3064D" w:rsidRDefault="00000000" w:rsidP="00B3064D">
      <w:pPr>
        <w:spacing w:after="120" w:line="276" w:lineRule="auto"/>
        <w:rPr>
          <w:sz w:val="24"/>
          <w:szCs w:val="24"/>
          <w:lang w:val="en-US"/>
        </w:rPr>
      </w:pPr>
      <w:r w:rsidRPr="00B3064D">
        <w:rPr>
          <w:sz w:val="24"/>
          <w:szCs w:val="24"/>
          <w:lang w:val="en-US"/>
        </w:rPr>
        <w:t xml:space="preserve">13. Castro J et al. Functional recovery with recombinant human IGF-1 in a mouse model of Rett syndrome. Proc Natl </w:t>
      </w:r>
      <w:proofErr w:type="spellStart"/>
      <w:r w:rsidRPr="00B3064D">
        <w:rPr>
          <w:sz w:val="24"/>
          <w:szCs w:val="24"/>
          <w:lang w:val="en-US"/>
        </w:rPr>
        <w:t>Acad</w:t>
      </w:r>
      <w:proofErr w:type="spellEnd"/>
      <w:r w:rsidRPr="00B3064D">
        <w:rPr>
          <w:sz w:val="24"/>
          <w:szCs w:val="24"/>
          <w:lang w:val="en-US"/>
        </w:rPr>
        <w:t xml:space="preserve"> Sci U S A. 2014;111(27):9941–9946.  https://www.pnas.org/doi/10.1073/pnas.1400113111</w:t>
      </w:r>
    </w:p>
    <w:p w14:paraId="15C74CAE" w14:textId="77777777" w:rsidR="00034761" w:rsidRPr="00B3064D" w:rsidRDefault="00000000" w:rsidP="00B3064D">
      <w:pPr>
        <w:spacing w:after="120" w:line="276" w:lineRule="auto"/>
        <w:rPr>
          <w:sz w:val="24"/>
          <w:szCs w:val="24"/>
          <w:lang w:val="en-US"/>
        </w:rPr>
      </w:pPr>
      <w:r w:rsidRPr="00B3064D">
        <w:rPr>
          <w:sz w:val="24"/>
          <w:szCs w:val="24"/>
          <w:lang w:val="en-US"/>
        </w:rPr>
        <w:lastRenderedPageBreak/>
        <w:t xml:space="preserve">14. </w:t>
      </w:r>
      <w:proofErr w:type="spellStart"/>
      <w:r w:rsidRPr="00B3064D">
        <w:rPr>
          <w:sz w:val="24"/>
          <w:szCs w:val="24"/>
          <w:lang w:val="en-US"/>
        </w:rPr>
        <w:t>Trofinetide</w:t>
      </w:r>
      <w:proofErr w:type="spellEnd"/>
      <w:r w:rsidRPr="00B3064D">
        <w:rPr>
          <w:sz w:val="24"/>
          <w:szCs w:val="24"/>
          <w:lang w:val="en-US"/>
        </w:rPr>
        <w:t xml:space="preserve"> – </w:t>
      </w:r>
      <w:proofErr w:type="spellStart"/>
      <w:r w:rsidRPr="00B3064D">
        <w:rPr>
          <w:sz w:val="24"/>
          <w:szCs w:val="24"/>
          <w:lang w:val="en-US"/>
        </w:rPr>
        <w:t>DrugBank</w:t>
      </w:r>
      <w:proofErr w:type="spellEnd"/>
      <w:r w:rsidRPr="00B3064D">
        <w:rPr>
          <w:sz w:val="24"/>
          <w:szCs w:val="24"/>
          <w:lang w:val="en-US"/>
        </w:rPr>
        <w:t xml:space="preserve"> DB06045. https://go.drugbank.com/drugs/DB06045</w:t>
      </w:r>
    </w:p>
    <w:p w14:paraId="19D572CD" w14:textId="77777777" w:rsidR="00034761" w:rsidRPr="00B3064D" w:rsidRDefault="00000000" w:rsidP="00B3064D">
      <w:pPr>
        <w:spacing w:after="120" w:line="276" w:lineRule="auto"/>
        <w:rPr>
          <w:sz w:val="24"/>
          <w:szCs w:val="24"/>
        </w:rPr>
      </w:pPr>
      <w:r w:rsidRPr="00B3064D">
        <w:rPr>
          <w:sz w:val="24"/>
          <w:szCs w:val="24"/>
          <w:lang w:val="en-US"/>
        </w:rPr>
        <w:t xml:space="preserve">15. Glaze DG et al. A phase 3 trial of </w:t>
      </w:r>
      <w:proofErr w:type="spellStart"/>
      <w:r w:rsidRPr="00B3064D">
        <w:rPr>
          <w:sz w:val="24"/>
          <w:szCs w:val="24"/>
          <w:lang w:val="en-US"/>
        </w:rPr>
        <w:t>trofinetide</w:t>
      </w:r>
      <w:proofErr w:type="spellEnd"/>
      <w:r w:rsidRPr="00B3064D">
        <w:rPr>
          <w:sz w:val="24"/>
          <w:szCs w:val="24"/>
          <w:lang w:val="en-US"/>
        </w:rPr>
        <w:t xml:space="preserve"> in Rett syndrome. Nat Med. 2023;29:909–917.  https://www.nature.com/articles/s41591-023-02398-1</w:t>
      </w:r>
    </w:p>
    <w:sectPr w:rsidR="00034761" w:rsidRPr="00B3064D">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1EED3" w14:textId="77777777" w:rsidR="00C42DA3" w:rsidRDefault="00C42DA3" w:rsidP="00B3064D">
      <w:r>
        <w:separator/>
      </w:r>
    </w:p>
  </w:endnote>
  <w:endnote w:type="continuationSeparator" w:id="0">
    <w:p w14:paraId="59D6414C" w14:textId="77777777" w:rsidR="00C42DA3" w:rsidRDefault="00C42DA3" w:rsidP="00B3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97084" w14:textId="77777777" w:rsidR="00C42DA3" w:rsidRDefault="00C42DA3" w:rsidP="00B3064D">
      <w:r>
        <w:separator/>
      </w:r>
    </w:p>
  </w:footnote>
  <w:footnote w:type="continuationSeparator" w:id="0">
    <w:p w14:paraId="5E03C68A" w14:textId="77777777" w:rsidR="00C42DA3" w:rsidRDefault="00C42DA3" w:rsidP="00B30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4761"/>
    <w:rsid w:val="00034761"/>
    <w:rsid w:val="00340AC5"/>
    <w:rsid w:val="004126D5"/>
    <w:rsid w:val="00461AFD"/>
    <w:rsid w:val="00545A89"/>
    <w:rsid w:val="0079784C"/>
    <w:rsid w:val="007E3B3A"/>
    <w:rsid w:val="0085471F"/>
    <w:rsid w:val="00857C56"/>
    <w:rsid w:val="008B75CC"/>
    <w:rsid w:val="00980A90"/>
    <w:rsid w:val="00B3064D"/>
    <w:rsid w:val="00C42DA3"/>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EE3D3"/>
  <w15:docId w15:val="{1B198AD2-0D13-4DE9-81E1-D28DC6BE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64D"/>
    <w:pPr>
      <w:tabs>
        <w:tab w:val="center" w:pos="4419"/>
        <w:tab w:val="right" w:pos="8838"/>
      </w:tabs>
    </w:pPr>
  </w:style>
  <w:style w:type="character" w:customStyle="1" w:styleId="EncabezadoCar">
    <w:name w:val="Encabezado Car"/>
    <w:basedOn w:val="Fuentedeprrafopredeter"/>
    <w:link w:val="Encabezado"/>
    <w:uiPriority w:val="99"/>
    <w:rsid w:val="00B3064D"/>
    <w:rPr>
      <w:sz w:val="21"/>
    </w:rPr>
  </w:style>
  <w:style w:type="paragraph" w:styleId="Piedepgina">
    <w:name w:val="footer"/>
    <w:basedOn w:val="Normal"/>
    <w:link w:val="PiedepginaCar"/>
    <w:uiPriority w:val="99"/>
    <w:unhideWhenUsed/>
    <w:rsid w:val="00B3064D"/>
    <w:pPr>
      <w:tabs>
        <w:tab w:val="center" w:pos="4419"/>
        <w:tab w:val="right" w:pos="8838"/>
      </w:tabs>
    </w:pPr>
  </w:style>
  <w:style w:type="character" w:customStyle="1" w:styleId="PiedepginaCar">
    <w:name w:val="Pie de página Car"/>
    <w:basedOn w:val="Fuentedeprrafopredeter"/>
    <w:link w:val="Piedepgina"/>
    <w:uiPriority w:val="99"/>
    <w:rsid w:val="00B3064D"/>
    <w:rPr>
      <w:sz w:val="21"/>
    </w:rPr>
  </w:style>
  <w:style w:type="table" w:styleId="Tablaconcuadrcula">
    <w:name w:val="Table Grid"/>
    <w:basedOn w:val="Tablanormal"/>
    <w:uiPriority w:val="39"/>
    <w:rsid w:val="00412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2302226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1118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Luis Felipe Hernández Ayala</cp:lastModifiedBy>
  <cp:revision>13</cp:revision>
  <dcterms:created xsi:type="dcterms:W3CDTF">2025-09-02T20:56:00Z</dcterms:created>
  <dcterms:modified xsi:type="dcterms:W3CDTF">2025-09-04T19:14:00Z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10522bac60424eefa4d8b39f2dccb83d</vt:lpwstr>
  </property>
</Properties>
</file>