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8C43" w14:textId="77777777" w:rsidR="003D138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The rise of industrialization led to a large demand for energy, and the depletion of fossil energy and environmental pollution promoted the rise of new energy [2,3]. However, most renewable energy sources, such as solar and wind, are intermittent in nature and rely on natural phenomena to generate electricity, at which point energy storage becomes a new demand [4-10]. As an energy storage technology, rechargeable lithium-ion batteries have been widely used due to their advantages such as high density, large capacity and long life [11,12]. However, widespread use also brings problems such as battery life, lack of power, and battery explosion, as shown in Figure 1. If the battery life can be predicted before the battery aging, the above problems can be avoided, and the battery development cycle can be accelerated, new processes can be validated, and the battery can be </w:t>
      </w:r>
      <w:proofErr w:type="spellStart"/>
      <w:r w:rsidRPr="009E6D37">
        <w:rPr>
          <w:rFonts w:ascii="Times New Roman" w:eastAsia="Cambria" w:hAnsi="Times New Roman" w:cs="Times New Roman" w:hint="eastAsia"/>
          <w:kern w:val="0"/>
          <w:sz w:val="20"/>
          <w:szCs w:val="20"/>
          <w:lang w:eastAsia="en-US"/>
          <w14:ligatures w14:val="none"/>
        </w:rPr>
        <w:t>rerecycled</w:t>
      </w:r>
      <w:proofErr w:type="spellEnd"/>
      <w:r w:rsidRPr="009E6D37">
        <w:rPr>
          <w:rFonts w:ascii="Times New Roman" w:eastAsia="Cambria" w:hAnsi="Times New Roman" w:cs="Times New Roman" w:hint="eastAsia"/>
          <w:kern w:val="0"/>
          <w:sz w:val="20"/>
          <w:szCs w:val="20"/>
          <w:lang w:eastAsia="en-US"/>
          <w14:ligatures w14:val="none"/>
        </w:rPr>
        <w:t xml:space="preserve"> [16-18], which will bring major opportunities for the manufacturing, use and optimization of the battery [19-21].</w:t>
      </w:r>
    </w:p>
    <w:p w14:paraId="1066AAFA" w14:textId="77777777" w:rsidR="003D138F"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At present, the models used for battery life estimation can be mainly divided into equivalent circuit model (</w:t>
      </w:r>
      <w:proofErr w:type="spellStart"/>
      <w:r w:rsidRPr="009E6D37">
        <w:rPr>
          <w:rFonts w:ascii="Times New Roman" w:eastAsia="Cambria" w:hAnsi="Times New Roman" w:cs="Times New Roman" w:hint="eastAsia"/>
          <w:kern w:val="0"/>
          <w:sz w:val="20"/>
          <w:szCs w:val="20"/>
          <w:lang w:eastAsia="en-US"/>
          <w14:ligatures w14:val="none"/>
        </w:rPr>
        <w:t>ecm</w:t>
      </w:r>
      <w:proofErr w:type="spellEnd"/>
      <w:proofErr w:type="gramStart"/>
      <w:r w:rsidRPr="009E6D37">
        <w:rPr>
          <w:rFonts w:ascii="Times New Roman" w:eastAsia="Cambria" w:hAnsi="Times New Roman" w:cs="Times New Roman" w:hint="eastAsia"/>
          <w:kern w:val="0"/>
          <w:sz w:val="20"/>
          <w:szCs w:val="20"/>
          <w:lang w:eastAsia="en-US"/>
          <w14:ligatures w14:val="none"/>
        </w:rPr>
        <w:t>)[</w:t>
      </w:r>
      <w:proofErr w:type="gramEnd"/>
      <w:r w:rsidRPr="009E6D37">
        <w:rPr>
          <w:rFonts w:ascii="Times New Roman" w:eastAsia="Cambria" w:hAnsi="Times New Roman" w:cs="Times New Roman" w:hint="eastAsia"/>
          <w:kern w:val="0"/>
          <w:sz w:val="20"/>
          <w:szCs w:val="20"/>
          <w:lang w:eastAsia="en-US"/>
          <w14:ligatures w14:val="none"/>
        </w:rPr>
        <w:t>22-23], electrochemical model [24-26] and data-driven model [27-32]. The accuracy and robustness of the electrochemical model and the equivalent circuit model are limited, so 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Default="00F3167F" w:rsidP="0075078B">
      <w:pPr>
        <w:pStyle w:val="Text"/>
        <w:spacing w:line="240" w:lineRule="auto"/>
        <w:ind w:firstLine="480"/>
        <w:rPr>
          <w:rFonts w:eastAsia="Cambria"/>
        </w:rPr>
        <w:sectPr w:rsidR="00F3167F" w:rsidSect="002176C2">
          <w:type w:val="continuous"/>
          <w:pgSz w:w="11906" w:h="16838"/>
          <w:pgMar w:top="1440" w:right="1800" w:bottom="1440" w:left="1800" w:header="851" w:footer="992" w:gutter="0"/>
          <w:cols w:space="425"/>
          <w:docGrid w:type="lines" w:linePitch="312"/>
        </w:sectPr>
      </w:pPr>
    </w:p>
    <w:p w14:paraId="7426F353"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7"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C569E7" w:rsidRDefault="00F3167F" w:rsidP="0075078B">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770E7C9A" w14:textId="77777777" w:rsidR="00F3167F" w:rsidRDefault="00F3167F" w:rsidP="0075078B">
      <w:pPr>
        <w:pStyle w:val="Text"/>
        <w:spacing w:line="240" w:lineRule="auto"/>
        <w:ind w:firstLine="480"/>
        <w:jc w:val="center"/>
        <w:rPr>
          <w:rFonts w:eastAsia="Cambria"/>
        </w:rPr>
        <w:sectPr w:rsidR="00F3167F" w:rsidSect="00127E5B">
          <w:type w:val="continuous"/>
          <w:pgSz w:w="11906" w:h="16838"/>
          <w:pgMar w:top="1440" w:right="1800" w:bottom="1440" w:left="1800" w:header="851" w:footer="992" w:gutter="0"/>
          <w:cols w:space="425"/>
          <w:docGrid w:type="lines" w:linePitch="312"/>
        </w:sectPr>
      </w:pPr>
    </w:p>
    <w:p w14:paraId="01CF2A44"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20F92744" wp14:editId="1164227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0395322C" w14:textId="77777777" w:rsidR="00F3167F" w:rsidRDefault="00F3167F" w:rsidP="0075078B">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0ADA4F75" w14:textId="77777777" w:rsidR="00F3167F" w:rsidRPr="009E6D37" w:rsidRDefault="00F3167F" w:rsidP="0075078B">
      <w:pPr>
        <w:widowControl/>
        <w:shd w:val="clear" w:color="auto" w:fill="FDFDFD"/>
        <w:snapToGrid w:val="0"/>
        <w:ind w:firstLineChars="0" w:firstLine="400"/>
        <w:jc w:val="center"/>
        <w:rPr>
          <w:rFonts w:ascii="Times New Roman" w:eastAsia="Cambria" w:hAnsi="Times New Roman" w:cs="Times New Roman"/>
          <w:kern w:val="0"/>
          <w:sz w:val="20"/>
          <w:szCs w:val="20"/>
          <w:lang w:eastAsia="en-US"/>
          <w14:ligatures w14:val="none"/>
        </w:rPr>
      </w:pPr>
    </w:p>
    <w:p w14:paraId="7FFFF712" w14:textId="01BEF0D7" w:rsidR="00F3167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Linear parameter estimation problems arise in a wide range of scientific disciplines such as signal processing [33-34]. As shown in [35] and [36], total least squares </w:t>
      </w:r>
      <w:proofErr w:type="gramStart"/>
      <w:r w:rsidRPr="009E6D37">
        <w:rPr>
          <w:rFonts w:ascii="Times New Roman" w:eastAsia="Cambria" w:hAnsi="Times New Roman" w:cs="Times New Roman" w:hint="eastAsia"/>
          <w:kern w:val="0"/>
          <w:sz w:val="20"/>
          <w:szCs w:val="20"/>
          <w:lang w:eastAsia="en-US"/>
          <w14:ligatures w14:val="none"/>
        </w:rPr>
        <w:t>is</w:t>
      </w:r>
      <w:proofErr w:type="gramEnd"/>
      <w:r w:rsidRPr="009E6D37">
        <w:rPr>
          <w:rFonts w:ascii="Times New Roman" w:eastAsia="Cambria" w:hAnsi="Times New Roman" w:cs="Times New Roman" w:hint="eastAsia"/>
          <w:kern w:val="0"/>
          <w:sz w:val="20"/>
          <w:szCs w:val="20"/>
          <w:lang w:eastAsia="en-US"/>
          <w14:ligatures w14:val="none"/>
        </w:rPr>
        <w:t xml:space="preserve"> the best choice for parameter </w:t>
      </w:r>
      <w:r w:rsidRPr="009E6D37">
        <w:rPr>
          <w:rFonts w:ascii="Times New Roman" w:eastAsia="Cambria" w:hAnsi="Times New Roman" w:cs="Times New Roman" w:hint="eastAsia"/>
          <w:kern w:val="0"/>
          <w:sz w:val="20"/>
          <w:szCs w:val="20"/>
          <w:lang w:eastAsia="en-US"/>
          <w14:ligatures w14:val="none"/>
        </w:rPr>
        <w:lastRenderedPageBreak/>
        <w:t xml:space="preserve">estimation when all variables of interest have parametric linear relationships and all measurements are noise polluted. </w:t>
      </w:r>
    </w:p>
    <w:p w14:paraId="72DE57EE" w14:textId="77777777" w:rsidR="003D138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9E6D37">
        <w:rPr>
          <w:rFonts w:ascii="Times New Roman" w:eastAsia="Cambria" w:hAnsi="Times New Roman" w:cs="Times New Roman" w:hint="eastAsia"/>
          <w:kern w:val="0"/>
          <w:sz w:val="20"/>
          <w:szCs w:val="20"/>
          <w:lang w:eastAsia="en-US"/>
          <w14:ligatures w14:val="none"/>
        </w:rPr>
        <w:t>obey</w:t>
      </w:r>
      <w:proofErr w:type="gramEnd"/>
      <w:r w:rsidRPr="009E6D37">
        <w:rPr>
          <w:rFonts w:ascii="Times New Roman" w:eastAsia="Cambria" w:hAnsi="Times New Roman" w:cs="Times New Roman" w:hint="eastAsia"/>
          <w:kern w:val="0"/>
          <w:sz w:val="20"/>
          <w:szCs w:val="20"/>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56E0431D" w14:textId="77777777" w:rsidR="003D138F" w:rsidRPr="00722DC0"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w:p>
    <w:p w14:paraId="747BA0E6" w14:textId="77777777" w:rsidR="003D138F" w:rsidRPr="00722DC0" w:rsidRDefault="003D138F" w:rsidP="00F3167F">
      <w:pPr>
        <w:pBdr>
          <w:top w:val="nil"/>
          <w:left w:val="nil"/>
          <w:bottom w:val="nil"/>
          <w:right w:val="nil"/>
          <w:between w:val="nil"/>
        </w:pBdr>
        <w:tabs>
          <w:tab w:val="center" w:pos="2790"/>
          <w:tab w:val="right" w:pos="5040"/>
        </w:tabs>
        <w:snapToGrid w:val="0"/>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45D890F0" w14:textId="77777777" w:rsidR="003D138F" w:rsidRPr="00722DC0" w:rsidRDefault="003D138F" w:rsidP="00F3167F">
      <w:pP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203D2AEB" w14:textId="77777777" w:rsidR="003D138F" w:rsidRPr="00722DC0" w:rsidRDefault="003D138F" w:rsidP="00F3167F">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65A44A24" w14:textId="77777777" w:rsidR="003D138F" w:rsidRPr="00722DC0" w:rsidRDefault="003D138F" w:rsidP="00F3167F">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6ABD3FEF" w14:textId="77777777" w:rsidR="003D138F" w:rsidRPr="00722DC0" w:rsidRDefault="003D138F" w:rsidP="00F3167F">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794AB380" w14:textId="77777777" w:rsidR="003D138F" w:rsidRPr="00722DC0" w:rsidRDefault="003D138F" w:rsidP="00F3167F">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41D5231F" w14:textId="77777777" w:rsidR="003D138F" w:rsidRPr="00722DC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28B12C36" w14:textId="12D1FD07" w:rsidR="003D138F" w:rsidRPr="00722DC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1. Initialize model coefficients </w:t>
      </w:r>
      <w:proofErr w:type="gramStart"/>
      <w:r w:rsidRPr="00722DC0">
        <w:rPr>
          <w:rFonts w:ascii="Times New Roman" w:eastAsia="Cambria" w:hAnsi="Times New Roman" w:cs="Times New Roman"/>
          <w:sz w:val="20"/>
          <w:szCs w:val="20"/>
          <w:lang w:eastAsia="en-US"/>
        </w:rPr>
        <w:t>w</w:t>
      </w:r>
      <w:r w:rsidR="00672331">
        <w:rPr>
          <w:rFonts w:ascii="Times New Roman" w:eastAsia="Cambria" w:hAnsi="Times New Roman" w:cs="Times New Roman"/>
          <w:sz w:val="20"/>
          <w:szCs w:val="20"/>
          <w:lang w:eastAsia="en-US"/>
        </w:rPr>
        <w:t xml:space="preserve"> ,</w:t>
      </w:r>
      <w:proofErr w:type="gramEnd"/>
      <w:r w:rsidR="00672331">
        <w:rPr>
          <w:rFonts w:ascii="Times New Roman" w:eastAsia="Cambria" w:hAnsi="Times New Roman" w:cs="Times New Roman"/>
          <w:sz w:val="20"/>
          <w:szCs w:val="20"/>
          <w:lang w:eastAsia="en-US"/>
        </w:rPr>
        <w:t xml:space="preserve"> </w:t>
      </w:r>
      <w:r w:rsidRPr="00722DC0">
        <w:rPr>
          <w:rFonts w:ascii="Times New Roman" w:eastAsia="Cambria" w:hAnsi="Times New Roman" w:cs="Times New Roman"/>
          <w:sz w:val="20"/>
          <w:szCs w:val="20"/>
          <w:lang w:eastAsia="en-US"/>
        </w:rPr>
        <w:t>b</w:t>
      </w:r>
    </w:p>
    <w:p w14:paraId="2FF9E631" w14:textId="77777777" w:rsidR="003D138F" w:rsidRPr="00722DC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21009FB9" w14:textId="77777777" w:rsidR="003D138F" w:rsidRPr="00722DC0" w:rsidRDefault="003D138F" w:rsidP="00F3167F">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w:r>
        <w:rPr>
          <w:rFonts w:ascii="Times New Roman" w:eastAsia="Cambria" w:hAnsi="Times New Roman" w:cs="Times New Roman"/>
          <w:kern w:val="0"/>
          <w:sz w:val="20"/>
          <w:szCs w:val="20"/>
          <w:lang w:eastAsia="en-US"/>
          <w14:ligatures w14:val="none"/>
        </w:rPr>
        <w:t xml:space="preserve"> </w:t>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Pr>
          <w:rFonts w:ascii="Times New Roman" w:eastAsia="Cambria" w:hAnsi="Times New Roman" w:cs="Times New Roman"/>
          <w:kern w:val="0"/>
          <w:sz w:val="20"/>
          <w:szCs w:val="20"/>
          <w14:ligatures w14:val="none"/>
        </w:rPr>
        <w:t xml:space="preserve"> </w:t>
      </w:r>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2FFC3F58" w14:textId="77777777" w:rsidR="003D138F" w:rsidRPr="00722DC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7B16E337" w14:textId="77777777" w:rsidR="003D138F" w:rsidRPr="003F4A9D"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3817A36D" w14:textId="1185EB73" w:rsidR="003D138F"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hint="eastAsia"/>
          <w:sz w:val="20"/>
          <w:szCs w:val="20"/>
          <w:lang w:eastAsia="en-US"/>
        </w:rPr>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table1. We divide the three data sets according to 9:1 and combine them as training sets and test sets. Each experiment randomly </w:t>
      </w:r>
      <w:proofErr w:type="spellStart"/>
      <w:r w:rsidR="00672331">
        <w:rPr>
          <w:rFonts w:ascii="Times New Roman" w:eastAsia="Cambria" w:hAnsi="Times New Roman" w:cs="Times New Roman"/>
          <w:sz w:val="20"/>
          <w:szCs w:val="20"/>
          <w:lang w:eastAsia="en-US"/>
        </w:rPr>
        <w:t>scramps</w:t>
      </w:r>
      <w:proofErr w:type="spellEnd"/>
      <w:r w:rsidRPr="009E6D37">
        <w:rPr>
          <w:rFonts w:ascii="Times New Roman" w:eastAsia="Cambria" w:hAnsi="Times New Roman" w:cs="Times New Roman" w:hint="eastAsia"/>
          <w:sz w:val="20"/>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F3167F" w:rsidRDefault="003D138F" w:rsidP="00F3167F">
      <w:pPr>
        <w:pStyle w:val="TableCaption"/>
        <w:snapToGrid w:val="0"/>
        <w:spacing w:before="0"/>
        <w:rPr>
          <w:lang w:eastAsia="en-US"/>
        </w:rPr>
      </w:pPr>
      <w:r w:rsidRPr="00F3167F">
        <w:t xml:space="preserve">Table </w:t>
      </w:r>
      <w:r w:rsidRPr="00F3167F">
        <w:rPr>
          <w:noProof/>
        </w:rPr>
        <w:t>1</w:t>
      </w:r>
      <w:r w:rsidRPr="00F3167F">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60"/>
        <w:gridCol w:w="6746"/>
      </w:tblGrid>
      <w:tr w:rsidR="003D138F" w:rsidRPr="00F3167F" w14:paraId="7B9AD466" w14:textId="77777777" w:rsidTr="002176C2">
        <w:trPr>
          <w:tblHeader/>
          <w:jc w:val="center"/>
        </w:trPr>
        <w:tc>
          <w:tcPr>
            <w:tcW w:w="1560" w:type="dxa"/>
            <w:tcBorders>
              <w:top w:val="single" w:sz="4" w:space="0" w:color="auto"/>
              <w:bottom w:val="single" w:sz="4" w:space="0" w:color="auto"/>
            </w:tcBorders>
          </w:tcPr>
          <w:p w14:paraId="3AC1DDF5" w14:textId="5AB2DF53"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Feature</w:t>
            </w:r>
            <w:r w:rsidR="002176C2">
              <w:rPr>
                <w:rFonts w:ascii="Times New Roman" w:hAnsi="Times New Roman" w:cs="Times New Roman"/>
                <w:sz w:val="18"/>
                <w:szCs w:val="18"/>
              </w:rPr>
              <w:t xml:space="preserve"> </w:t>
            </w:r>
            <w:r w:rsidRPr="00F3167F">
              <w:rPr>
                <w:rFonts w:ascii="Times New Roman" w:hAnsi="Times New Roman" w:cs="Times New Roman"/>
                <w:sz w:val="18"/>
                <w:szCs w:val="18"/>
              </w:rPr>
              <w:t>Name</w:t>
            </w:r>
          </w:p>
        </w:tc>
        <w:tc>
          <w:tcPr>
            <w:tcW w:w="6746" w:type="dxa"/>
            <w:tcBorders>
              <w:top w:val="single" w:sz="4" w:space="0" w:color="auto"/>
              <w:bottom w:val="single" w:sz="4" w:space="0" w:color="auto"/>
            </w:tcBorders>
          </w:tcPr>
          <w:p w14:paraId="3A6CD101"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Description</w:t>
            </w:r>
          </w:p>
        </w:tc>
      </w:tr>
      <w:tr w:rsidR="003D138F" w:rsidRPr="00F3167F" w14:paraId="77B7AA71" w14:textId="77777777" w:rsidTr="002176C2">
        <w:trPr>
          <w:jc w:val="center"/>
        </w:trPr>
        <w:tc>
          <w:tcPr>
            <w:tcW w:w="1560" w:type="dxa"/>
            <w:tcBorders>
              <w:top w:val="single" w:sz="4" w:space="0" w:color="auto"/>
            </w:tcBorders>
            <w:vAlign w:val="center"/>
          </w:tcPr>
          <w:p w14:paraId="7DD3405E"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1</w:t>
            </w:r>
          </w:p>
        </w:tc>
        <w:tc>
          <w:tcPr>
            <w:tcW w:w="6746" w:type="dxa"/>
            <w:tcBorders>
              <w:top w:val="single" w:sz="4" w:space="0" w:color="auto"/>
            </w:tcBorders>
            <w:vAlign w:val="center"/>
          </w:tcPr>
          <w:p w14:paraId="2C5944F8"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lang w:eastAsia="zh-CN"/>
              </w:rPr>
              <w:t xml:space="preserve">Variance of the difference in the discharge capacity curves as a function of voltage between the 10-th and 100-th cycles </w:t>
            </w:r>
          </w:p>
        </w:tc>
      </w:tr>
      <w:tr w:rsidR="003D138F" w:rsidRPr="00F3167F" w14:paraId="30D0E683" w14:textId="77777777" w:rsidTr="002176C2">
        <w:trPr>
          <w:jc w:val="center"/>
        </w:trPr>
        <w:tc>
          <w:tcPr>
            <w:tcW w:w="1560" w:type="dxa"/>
            <w:vAlign w:val="center"/>
          </w:tcPr>
          <w:p w14:paraId="5C12B4C6"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2</w:t>
            </w:r>
          </w:p>
        </w:tc>
        <w:tc>
          <w:tcPr>
            <w:tcW w:w="6746" w:type="dxa"/>
            <w:vAlign w:val="center"/>
          </w:tcPr>
          <w:p w14:paraId="54ADF65B"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Slope of the capacity fade curve fitted by a linear function</w:t>
            </w:r>
          </w:p>
        </w:tc>
      </w:tr>
      <w:tr w:rsidR="003D138F" w:rsidRPr="00F3167F" w14:paraId="280BC186" w14:textId="77777777" w:rsidTr="002176C2">
        <w:trPr>
          <w:jc w:val="center"/>
        </w:trPr>
        <w:tc>
          <w:tcPr>
            <w:tcW w:w="1560" w:type="dxa"/>
            <w:tcBorders>
              <w:bottom w:val="single" w:sz="4" w:space="0" w:color="auto"/>
            </w:tcBorders>
            <w:vAlign w:val="center"/>
          </w:tcPr>
          <w:p w14:paraId="5928072E"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3</w:t>
            </w:r>
          </w:p>
        </w:tc>
        <w:tc>
          <w:tcPr>
            <w:tcW w:w="6746" w:type="dxa"/>
            <w:tcBorders>
              <w:bottom w:val="single" w:sz="4" w:space="0" w:color="auto"/>
            </w:tcBorders>
            <w:vAlign w:val="center"/>
          </w:tcPr>
          <w:p w14:paraId="6FA85683"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Discharge capacity of the 2-nd cycle</w:t>
            </w:r>
          </w:p>
        </w:tc>
      </w:tr>
    </w:tbl>
    <w:p w14:paraId="10702104" w14:textId="77777777" w:rsidR="003D138F" w:rsidRPr="009E6D37"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p>
    <w:p w14:paraId="7DE55C8B" w14:textId="73C0C327" w:rsidR="003D138F" w:rsidRPr="009E6D37"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As shown in Figure 3, we set four different noise ratios. Figure a,</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b,</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0A10E958" w14:textId="77777777" w:rsidR="0005382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 xml:space="preserve">Figures </w:t>
      </w:r>
      <w:proofErr w:type="gramStart"/>
      <w:r w:rsidRPr="009E6D37">
        <w:rPr>
          <w:rFonts w:ascii="Times New Roman" w:eastAsia="Cambria" w:hAnsi="Times New Roman" w:cs="Times New Roman"/>
          <w:sz w:val="20"/>
          <w:szCs w:val="20"/>
          <w:lang w:eastAsia="en-US"/>
        </w:rPr>
        <w:t>e ,f</w:t>
      </w:r>
      <w:proofErr w:type="gramEnd"/>
      <w:r w:rsidRPr="009E6D37">
        <w:rPr>
          <w:rFonts w:ascii="Times New Roman" w:eastAsia="Cambria" w:hAnsi="Times New Roman" w:cs="Times New Roman"/>
          <w:sz w:val="20"/>
          <w:szCs w:val="20"/>
          <w:lang w:eastAsia="en-US"/>
        </w:rPr>
        <w:t xml:space="preserve"> ,g and h are the experimental results of increasing the proportion of training sets: 1) With the increase of the proportion of training sets, the four methods have better effects, and with more training data, the prediction ability of the model is improved. 2) Regardless of the proportion of the </w:t>
      </w:r>
    </w:p>
    <w:p w14:paraId="631C396E" w14:textId="27E26623" w:rsidR="003D138F" w:rsidRDefault="003D138F" w:rsidP="00053820">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lastRenderedPageBreak/>
        <w:t>training set, the improved algorithm is superior to the traditional algorithm, which shows the effectiveness of the algorithm with EM idea. 3) In most cases, the training set accounts for more than 25</w:t>
      </w:r>
      <w:proofErr w:type="gramStart"/>
      <w:r w:rsidRPr="009E6D37">
        <w:rPr>
          <w:rFonts w:ascii="Times New Roman" w:eastAsia="Cambria" w:hAnsi="Times New Roman" w:cs="Times New Roman"/>
          <w:sz w:val="20"/>
          <w:szCs w:val="20"/>
          <w:lang w:eastAsia="en-US"/>
        </w:rPr>
        <w:t>%)TLS</w:t>
      </w:r>
      <w:proofErr w:type="gramEnd"/>
      <w:r w:rsidRPr="009E6D37">
        <w:rPr>
          <w:rFonts w:ascii="Times New Roman" w:eastAsia="Cambria" w:hAnsi="Times New Roman" w:cs="Times New Roman"/>
          <w:sz w:val="20"/>
          <w:szCs w:val="20"/>
          <w:lang w:eastAsia="en-US"/>
        </w:rPr>
        <w:t xml:space="preserve">_EM is better than OLS_EM, which shows that TLS_EM is more applicable than OLS_EM . </w:t>
      </w:r>
      <w:r w:rsidRPr="009E6D37">
        <w:rPr>
          <w:rFonts w:ascii="Times New Roman" w:eastAsia="Cambria" w:hAnsi="Times New Roman" w:cs="Times New Roman" w:hint="eastAsia"/>
          <w:sz w:val="20"/>
          <w:szCs w:val="20"/>
          <w:lang w:eastAsia="en-US"/>
        </w:rPr>
        <w:t>Figure 4 shows the iterative noise convergence process of the algorithm.</w:t>
      </w:r>
    </w:p>
    <w:p w14:paraId="44582C2D" w14:textId="77777777" w:rsidR="0003132B" w:rsidRDefault="0003132B" w:rsidP="0075078B">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Pr>
          <w:noProof/>
        </w:rPr>
        <w:drawing>
          <wp:inline distT="0" distB="0" distL="0" distR="0" wp14:anchorId="619F045B" wp14:editId="2C76F46C">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05A39B75" w14:textId="77777777" w:rsidR="0003132B" w:rsidRDefault="0003132B" w:rsidP="0075078B">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Figure 3:</w:t>
      </w:r>
      <w:r>
        <w:rPr>
          <w:rFonts w:ascii="Times New Roman" w:eastAsia="Cambria" w:hAnsi="Times New Roman" w:cs="Times New Roman"/>
          <w:sz w:val="20"/>
          <w:szCs w:val="20"/>
          <w:lang w:eastAsia="en-US"/>
        </w:rPr>
        <w:t xml:space="preserve"> </w:t>
      </w:r>
      <w:r w:rsidRPr="009F230A">
        <w:rPr>
          <w:rFonts w:ascii="Times New Roman" w:eastAsia="Cambria" w:hAnsi="Times New Roman" w:cs="Times New Roman"/>
          <w:sz w:val="20"/>
          <w:szCs w:val="20"/>
          <w:lang w:eastAsia="en-US"/>
        </w:rPr>
        <w:t>experimental result</w:t>
      </w:r>
    </w:p>
    <w:p w14:paraId="708F9A90" w14:textId="77777777" w:rsidR="0003132B" w:rsidRPr="009F230A" w:rsidRDefault="0003132B" w:rsidP="0075078B">
      <w:pPr>
        <w:pStyle w:val="a4"/>
        <w:spacing w:before="0" w:beforeAutospacing="0" w:after="0" w:afterAutospacing="0"/>
        <w:ind w:firstLineChars="0" w:firstLine="0"/>
        <w:jc w:val="center"/>
        <w:rPr>
          <w:rFonts w:ascii="Times New Roman" w:eastAsia="微软雅黑" w:hAnsi="Times New Roman" w:cs="Times New Roman"/>
          <w:color w:val="000000"/>
          <w:spacing w:val="15"/>
          <w:sz w:val="20"/>
          <w:szCs w:val="20"/>
        </w:rPr>
      </w:pPr>
      <w:r>
        <w:rPr>
          <w:noProof/>
        </w:rPr>
        <w:drawing>
          <wp:inline distT="0" distB="0" distL="0" distR="0" wp14:anchorId="6A8B9325" wp14:editId="0798F053">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167FEA9C" w14:textId="114859A0" w:rsidR="0003132B" w:rsidRPr="009E6D37" w:rsidRDefault="0003132B" w:rsidP="0075078B">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 xml:space="preserve">Figure </w:t>
      </w:r>
      <w:r>
        <w:rPr>
          <w:rFonts w:ascii="Times New Roman" w:eastAsia="Cambria" w:hAnsi="Times New Roman" w:cs="Times New Roman"/>
          <w:sz w:val="20"/>
          <w:szCs w:val="20"/>
          <w:lang w:eastAsia="en-US"/>
        </w:rPr>
        <w:t>4</w:t>
      </w:r>
      <w:r w:rsidRPr="00C5284B">
        <w:rPr>
          <w:rFonts w:ascii="Times New Roman" w:eastAsia="Cambria" w:hAnsi="Times New Roman" w:cs="Times New Roman"/>
          <w:sz w:val="20"/>
          <w:szCs w:val="20"/>
          <w:lang w:eastAsia="en-US"/>
        </w:rPr>
        <w:t>:</w:t>
      </w:r>
      <w:r>
        <w:rPr>
          <w:rFonts w:ascii="Times New Roman" w:eastAsia="Cambria" w:hAnsi="Times New Roman" w:cs="Times New Roman"/>
          <w:sz w:val="20"/>
          <w:szCs w:val="20"/>
          <w:lang w:eastAsia="en-US"/>
        </w:rPr>
        <w:t xml:space="preserve">  </w:t>
      </w:r>
      <w:r w:rsidRPr="005F4923">
        <w:rPr>
          <w:rFonts w:ascii="Times New Roman" w:eastAsia="Cambria" w:hAnsi="Times New Roman" w:cs="Times New Roman" w:hint="eastAsia"/>
          <w:sz w:val="20"/>
          <w:szCs w:val="20"/>
          <w:lang w:eastAsia="en-US"/>
        </w:rPr>
        <w:t>n</w:t>
      </w:r>
      <w:r w:rsidRPr="005F4923">
        <w:rPr>
          <w:rFonts w:ascii="Times New Roman" w:eastAsia="Cambria" w:hAnsi="Times New Roman" w:cs="Times New Roman"/>
          <w:sz w:val="20"/>
          <w:szCs w:val="20"/>
          <w:lang w:eastAsia="en-US"/>
        </w:rPr>
        <w:t>oise convergence process</w:t>
      </w:r>
    </w:p>
    <w:p w14:paraId="4CD41165" w14:textId="77777777" w:rsidR="003D138F" w:rsidRPr="009E6D37" w:rsidRDefault="003D138F" w:rsidP="00F3167F">
      <w:pPr>
        <w:pStyle w:val="a4"/>
        <w:snapToGrid w:val="0"/>
        <w:spacing w:before="0" w:beforeAutospacing="0" w:after="0" w:afterAutospacing="0"/>
        <w:ind w:firstLine="400"/>
        <w:jc w:val="both"/>
        <w:rPr>
          <w:rFonts w:ascii="微软雅黑" w:eastAsia="微软雅黑" w:hAnsi="微软雅黑" w:hint="eastAsia"/>
          <w:color w:val="000000"/>
          <w:spacing w:val="15"/>
          <w:sz w:val="23"/>
          <w:szCs w:val="23"/>
        </w:rPr>
      </w:pPr>
      <w:r w:rsidRPr="009E6D37">
        <w:rPr>
          <w:rFonts w:ascii="Times New Roman" w:eastAsia="Cambria" w:hAnsi="Times New Roman" w:cs="Times New Roman" w:hint="eastAsia"/>
          <w:sz w:val="20"/>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0AE49AD4" w14:textId="0488C7BC" w:rsidR="00285C18" w:rsidRPr="003D138F" w:rsidRDefault="00285C18" w:rsidP="00F3167F">
      <w:pPr>
        <w:snapToGrid w:val="0"/>
        <w:ind w:firstLine="420"/>
      </w:pPr>
    </w:p>
    <w:sectPr w:rsidR="00285C18" w:rsidRPr="003D138F" w:rsidSect="00F3167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E60BE" w14:textId="77777777" w:rsidR="009462FE" w:rsidRDefault="009462FE" w:rsidP="00F36D61">
      <w:pPr>
        <w:ind w:firstLine="420"/>
      </w:pPr>
      <w:r>
        <w:separator/>
      </w:r>
    </w:p>
  </w:endnote>
  <w:endnote w:type="continuationSeparator" w:id="0">
    <w:p w14:paraId="4F98266E" w14:textId="77777777" w:rsidR="009462FE" w:rsidRDefault="009462FE"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3BD" w14:textId="77777777" w:rsidR="00D30B35" w:rsidRDefault="00D30B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3879" w14:textId="77777777" w:rsidR="00D30B35" w:rsidRDefault="00D30B3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1C62" w14:textId="77777777" w:rsidR="009462FE" w:rsidRDefault="009462FE" w:rsidP="00F36D61">
      <w:pPr>
        <w:ind w:firstLine="420"/>
      </w:pPr>
      <w:r>
        <w:separator/>
      </w:r>
    </w:p>
  </w:footnote>
  <w:footnote w:type="continuationSeparator" w:id="0">
    <w:p w14:paraId="3E90E342" w14:textId="77777777" w:rsidR="009462FE" w:rsidRDefault="009462FE"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19E7D" w14:textId="77777777" w:rsidR="00D30B35" w:rsidRDefault="00D30B35" w:rsidP="00540192">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5692" w14:textId="77777777" w:rsidR="00D30B35" w:rsidRDefault="00D30B35" w:rsidP="0054019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78156247">
    <w:abstractNumId w:val="8"/>
  </w:num>
  <w:num w:numId="2" w16cid:durableId="1224027731">
    <w:abstractNumId w:val="0"/>
  </w:num>
  <w:num w:numId="3" w16cid:durableId="972710271">
    <w:abstractNumId w:val="4"/>
  </w:num>
  <w:num w:numId="4" w16cid:durableId="1608385447">
    <w:abstractNumId w:val="5"/>
  </w:num>
  <w:num w:numId="5" w16cid:durableId="1602762413">
    <w:abstractNumId w:val="2"/>
  </w:num>
  <w:num w:numId="6" w16cid:durableId="896553033">
    <w:abstractNumId w:val="3"/>
  </w:num>
  <w:num w:numId="7" w16cid:durableId="773860639">
    <w:abstractNumId w:val="7"/>
  </w:num>
  <w:num w:numId="8" w16cid:durableId="1479376461">
    <w:abstractNumId w:val="1"/>
  </w:num>
  <w:num w:numId="9" w16cid:durableId="10829183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132B"/>
    <w:rsid w:val="000513FC"/>
    <w:rsid w:val="00053820"/>
    <w:rsid w:val="00064AF2"/>
    <w:rsid w:val="000814A5"/>
    <w:rsid w:val="000D1242"/>
    <w:rsid w:val="000D6BAD"/>
    <w:rsid w:val="000E052A"/>
    <w:rsid w:val="00103FB5"/>
    <w:rsid w:val="0012467A"/>
    <w:rsid w:val="00156D82"/>
    <w:rsid w:val="00162DC3"/>
    <w:rsid w:val="0017107D"/>
    <w:rsid w:val="00197CFD"/>
    <w:rsid w:val="001C00D9"/>
    <w:rsid w:val="002176C2"/>
    <w:rsid w:val="0024337E"/>
    <w:rsid w:val="00263231"/>
    <w:rsid w:val="00285C18"/>
    <w:rsid w:val="002A4F02"/>
    <w:rsid w:val="002C2545"/>
    <w:rsid w:val="002C2828"/>
    <w:rsid w:val="00325549"/>
    <w:rsid w:val="00326B23"/>
    <w:rsid w:val="00354043"/>
    <w:rsid w:val="00373FEC"/>
    <w:rsid w:val="003B2BF8"/>
    <w:rsid w:val="003D08BF"/>
    <w:rsid w:val="003D138F"/>
    <w:rsid w:val="00414CD8"/>
    <w:rsid w:val="00466B6B"/>
    <w:rsid w:val="004B7848"/>
    <w:rsid w:val="004C3178"/>
    <w:rsid w:val="004D021E"/>
    <w:rsid w:val="004F4519"/>
    <w:rsid w:val="005017C8"/>
    <w:rsid w:val="00505409"/>
    <w:rsid w:val="0052399D"/>
    <w:rsid w:val="00530610"/>
    <w:rsid w:val="00540192"/>
    <w:rsid w:val="005A699C"/>
    <w:rsid w:val="006058D1"/>
    <w:rsid w:val="00625D2B"/>
    <w:rsid w:val="0065074E"/>
    <w:rsid w:val="00651495"/>
    <w:rsid w:val="00672331"/>
    <w:rsid w:val="00681BD8"/>
    <w:rsid w:val="006939EA"/>
    <w:rsid w:val="006A4CAA"/>
    <w:rsid w:val="006A5D6B"/>
    <w:rsid w:val="006C19A4"/>
    <w:rsid w:val="006E755E"/>
    <w:rsid w:val="006E7C37"/>
    <w:rsid w:val="00722DC0"/>
    <w:rsid w:val="007270C6"/>
    <w:rsid w:val="00732CEC"/>
    <w:rsid w:val="007374F4"/>
    <w:rsid w:val="0075078B"/>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6EC8"/>
    <w:rsid w:val="00885094"/>
    <w:rsid w:val="008B2D84"/>
    <w:rsid w:val="008C638E"/>
    <w:rsid w:val="008F6148"/>
    <w:rsid w:val="00913404"/>
    <w:rsid w:val="00932762"/>
    <w:rsid w:val="009462FE"/>
    <w:rsid w:val="00947C78"/>
    <w:rsid w:val="00967F47"/>
    <w:rsid w:val="009B5F92"/>
    <w:rsid w:val="009D41E1"/>
    <w:rsid w:val="009F25F0"/>
    <w:rsid w:val="00A036C0"/>
    <w:rsid w:val="00A52823"/>
    <w:rsid w:val="00A531EC"/>
    <w:rsid w:val="00A83A10"/>
    <w:rsid w:val="00A854CC"/>
    <w:rsid w:val="00A866EE"/>
    <w:rsid w:val="00AD64ED"/>
    <w:rsid w:val="00AE1513"/>
    <w:rsid w:val="00AF0E0A"/>
    <w:rsid w:val="00AF3930"/>
    <w:rsid w:val="00B10B72"/>
    <w:rsid w:val="00B20679"/>
    <w:rsid w:val="00B36329"/>
    <w:rsid w:val="00B506C4"/>
    <w:rsid w:val="00B648EA"/>
    <w:rsid w:val="00B91790"/>
    <w:rsid w:val="00BD402D"/>
    <w:rsid w:val="00BE7B3A"/>
    <w:rsid w:val="00C00A04"/>
    <w:rsid w:val="00C162F1"/>
    <w:rsid w:val="00C41A25"/>
    <w:rsid w:val="00C5284B"/>
    <w:rsid w:val="00C569E7"/>
    <w:rsid w:val="00C67204"/>
    <w:rsid w:val="00C81FFE"/>
    <w:rsid w:val="00CA21A7"/>
    <w:rsid w:val="00CC4EDD"/>
    <w:rsid w:val="00CF3C91"/>
    <w:rsid w:val="00D13CB9"/>
    <w:rsid w:val="00D30B35"/>
    <w:rsid w:val="00D3662B"/>
    <w:rsid w:val="00D97432"/>
    <w:rsid w:val="00DB32E7"/>
    <w:rsid w:val="00DB5AD2"/>
    <w:rsid w:val="00E36A97"/>
    <w:rsid w:val="00E37676"/>
    <w:rsid w:val="00E5231B"/>
    <w:rsid w:val="00E65C9A"/>
    <w:rsid w:val="00E94020"/>
    <w:rsid w:val="00E97B2D"/>
    <w:rsid w:val="00EA5213"/>
    <w:rsid w:val="00EA6544"/>
    <w:rsid w:val="00EC0F3F"/>
    <w:rsid w:val="00ED309D"/>
    <w:rsid w:val="00EE08B7"/>
    <w:rsid w:val="00EE3825"/>
    <w:rsid w:val="00F1139E"/>
    <w:rsid w:val="00F3167F"/>
    <w:rsid w:val="00F36D61"/>
    <w:rsid w:val="00F4222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wuyan deng</cp:lastModifiedBy>
  <cp:revision>98</cp:revision>
  <cp:lastPrinted>2023-12-21T05:23:00Z</cp:lastPrinted>
  <dcterms:created xsi:type="dcterms:W3CDTF">2023-12-06T11:40:00Z</dcterms:created>
  <dcterms:modified xsi:type="dcterms:W3CDTF">2023-12-24T13:02:00Z</dcterms:modified>
</cp:coreProperties>
</file>