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A501" w14:textId="168B152F" w:rsidR="008B78E0" w:rsidRPr="008B78E0" w:rsidRDefault="008B78E0" w:rsidP="008B78E0">
      <w:pPr>
        <w:widowControl/>
        <w:shd w:val="clear" w:color="auto" w:fill="FDFDFD"/>
        <w:snapToGrid w:val="0"/>
        <w:ind w:firstLineChars="0" w:firstLine="400"/>
        <w:jc w:val="left"/>
        <w:rPr>
          <w:rFonts w:ascii="Times New Roman" w:eastAsia="Cambria" w:hAnsi="Times New Roman" w:cs="Times New Roman"/>
          <w:kern w:val="0"/>
          <w:sz w:val="32"/>
          <w:szCs w:val="32"/>
          <w:lang w:eastAsia="en-US"/>
          <w14:ligatures w14:val="none"/>
        </w:rPr>
      </w:pPr>
      <w:r w:rsidRPr="008B78E0">
        <w:rPr>
          <w:rFonts w:ascii="Times New Roman" w:eastAsia="Cambria" w:hAnsi="Times New Roman" w:cs="Times New Roman"/>
          <w:kern w:val="0"/>
          <w:sz w:val="32"/>
          <w:szCs w:val="32"/>
          <w:lang w:eastAsia="en-US"/>
          <w14:ligatures w14:val="none"/>
        </w:rPr>
        <w:t xml:space="preserve">The industrialization revolution led to a large demand for energy, and the depletion of fossil energy and environmental pollution promoted the rise of new energy [1-3]. However, most renewable energy sources, such as solar and wind, are intermittent in nature and rely on natural phenomena to generate electricity, at which point energy storage becomes a new demand [4-10]. Due to their high density, high capacity, and long lifespan, lithium-ion batteries have become the primary energy storage device for portable electronic devices, electric vehicles (EVs), and many other </w:t>
      </w:r>
      <w:proofErr w:type="gramStart"/>
      <w:r w:rsidRPr="008B78E0">
        <w:rPr>
          <w:rFonts w:ascii="Times New Roman" w:eastAsia="Cambria" w:hAnsi="Times New Roman" w:cs="Times New Roman"/>
          <w:kern w:val="0"/>
          <w:sz w:val="32"/>
          <w:szCs w:val="32"/>
          <w:lang w:eastAsia="en-US"/>
          <w14:ligatures w14:val="none"/>
        </w:rPr>
        <w:t>applications[</w:t>
      </w:r>
      <w:proofErr w:type="gramEnd"/>
      <w:r w:rsidRPr="008B78E0">
        <w:rPr>
          <w:rFonts w:ascii="Times New Roman" w:eastAsia="Cambria" w:hAnsi="Times New Roman" w:cs="Times New Roman"/>
          <w:kern w:val="0"/>
          <w:sz w:val="32"/>
          <w:szCs w:val="32"/>
          <w:lang w:eastAsia="en-US"/>
          <w14:ligatures w14:val="none"/>
        </w:rPr>
        <w:t>11,12]. However, in the use of lithium batteries, it cannot be ignored that the decline in battery performance will cause problems such as reduced battery life, insufficient power, and battery explosion</w:t>
      </w:r>
      <w:r w:rsidRPr="008B78E0">
        <w:rPr>
          <w:rFonts w:ascii="宋体" w:eastAsia="宋体" w:hAnsi="宋体" w:cs="宋体" w:hint="eastAsia"/>
          <w:kern w:val="0"/>
          <w:sz w:val="32"/>
          <w:szCs w:val="32"/>
          <w14:ligatures w14:val="none"/>
        </w:rPr>
        <w:t xml:space="preserve">, </w:t>
      </w:r>
      <w:r w:rsidRPr="008B78E0">
        <w:rPr>
          <w:rFonts w:ascii="Times New Roman" w:eastAsia="Cambria" w:hAnsi="Times New Roman" w:cs="Times New Roman"/>
          <w:kern w:val="0"/>
          <w:sz w:val="32"/>
          <w:szCs w:val="32"/>
          <w:lang w:eastAsia="en-US"/>
          <w14:ligatures w14:val="none"/>
        </w:rPr>
        <w:t xml:space="preserve">as shown in Figure1. If the battery life can be predicted before the battery aging, the above problems can be avoided, and the battery development cycle can be accelerated, new processes can be validated, and the battery can </w:t>
      </w:r>
      <w:bookmarkStart w:id="0" w:name="_GoBack"/>
      <w:bookmarkEnd w:id="0"/>
      <w:r w:rsidRPr="008B78E0">
        <w:rPr>
          <w:rFonts w:ascii="Times New Roman" w:eastAsia="Cambria" w:hAnsi="Times New Roman" w:cs="Times New Roman"/>
          <w:kern w:val="0"/>
          <w:sz w:val="32"/>
          <w:szCs w:val="32"/>
          <w:lang w:eastAsia="en-US"/>
          <w14:ligatures w14:val="none"/>
        </w:rPr>
        <w:t xml:space="preserve">be </w:t>
      </w:r>
      <w:proofErr w:type="spellStart"/>
      <w:r w:rsidRPr="008B78E0">
        <w:rPr>
          <w:rFonts w:ascii="Times New Roman" w:eastAsia="Cambria" w:hAnsi="Times New Roman" w:cs="Times New Roman"/>
          <w:kern w:val="0"/>
          <w:sz w:val="32"/>
          <w:szCs w:val="32"/>
          <w:lang w:eastAsia="en-US"/>
          <w14:ligatures w14:val="none"/>
        </w:rPr>
        <w:t>rerecycled</w:t>
      </w:r>
      <w:proofErr w:type="spellEnd"/>
      <w:r w:rsidRPr="008B78E0">
        <w:rPr>
          <w:rFonts w:ascii="Times New Roman" w:eastAsia="Cambria" w:hAnsi="Times New Roman" w:cs="Times New Roman"/>
          <w:kern w:val="0"/>
          <w:sz w:val="32"/>
          <w:szCs w:val="32"/>
          <w:lang w:eastAsia="en-US"/>
          <w14:ligatures w14:val="none"/>
        </w:rPr>
        <w:t xml:space="preserve"> [13-15], which will bring major opportunities for the manufacturing, use and optimization of the battery [16-18].</w:t>
      </w:r>
    </w:p>
    <w:p w14:paraId="2FEAFE17" w14:textId="77777777" w:rsidR="008B78E0" w:rsidRPr="008B78E0" w:rsidRDefault="008B78E0" w:rsidP="008B78E0">
      <w:pPr>
        <w:widowControl/>
        <w:shd w:val="clear" w:color="auto" w:fill="FDFDFD"/>
        <w:snapToGrid w:val="0"/>
        <w:ind w:firstLineChars="0" w:firstLine="400"/>
        <w:jc w:val="left"/>
        <w:rPr>
          <w:rFonts w:ascii="Times New Roman" w:eastAsia="Cambria" w:hAnsi="Times New Roman" w:cs="Times New Roman"/>
          <w:kern w:val="0"/>
          <w:sz w:val="32"/>
          <w:szCs w:val="32"/>
          <w:lang w:eastAsia="en-US"/>
          <w14:ligatures w14:val="none"/>
        </w:rPr>
      </w:pPr>
      <w:r w:rsidRPr="008B78E0">
        <w:rPr>
          <w:rFonts w:ascii="Times New Roman" w:eastAsia="Cambria" w:hAnsi="Times New Roman" w:cs="Times New Roman"/>
          <w:kern w:val="0"/>
          <w:sz w:val="32"/>
          <w:szCs w:val="32"/>
          <w:lang w:eastAsia="en-US"/>
          <w14:ligatures w14:val="none"/>
        </w:rPr>
        <w:t>At present, the models used for battery life estimation can be mainly divided into equivalent circuit model (</w:t>
      </w:r>
      <w:proofErr w:type="spellStart"/>
      <w:r w:rsidRPr="008B78E0">
        <w:rPr>
          <w:rFonts w:ascii="Times New Roman" w:eastAsia="Cambria" w:hAnsi="Times New Roman" w:cs="Times New Roman"/>
          <w:kern w:val="0"/>
          <w:sz w:val="32"/>
          <w:szCs w:val="32"/>
          <w:lang w:eastAsia="en-US"/>
          <w14:ligatures w14:val="none"/>
        </w:rPr>
        <w:t>ecm</w:t>
      </w:r>
      <w:proofErr w:type="spellEnd"/>
      <w:proofErr w:type="gramStart"/>
      <w:r w:rsidRPr="008B78E0">
        <w:rPr>
          <w:rFonts w:ascii="Times New Roman" w:eastAsia="Cambria" w:hAnsi="Times New Roman" w:cs="Times New Roman"/>
          <w:kern w:val="0"/>
          <w:sz w:val="32"/>
          <w:szCs w:val="32"/>
          <w:lang w:eastAsia="en-US"/>
          <w14:ligatures w14:val="none"/>
        </w:rPr>
        <w:t>)[</w:t>
      </w:r>
      <w:proofErr w:type="gramEnd"/>
      <w:r w:rsidRPr="008B78E0">
        <w:rPr>
          <w:rFonts w:ascii="Times New Roman" w:eastAsia="Cambria" w:hAnsi="Times New Roman" w:cs="Times New Roman"/>
          <w:kern w:val="0"/>
          <w:sz w:val="32"/>
          <w:szCs w:val="32"/>
          <w:lang w:eastAsia="en-US"/>
          <w14:ligatures w14:val="none"/>
        </w:rPr>
        <w:t>19-20], electrochemical model [21-23] and data-driven model [24-29].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65229351" w14:textId="77777777" w:rsidR="008B78E0" w:rsidRPr="008B78E0" w:rsidRDefault="008B78E0" w:rsidP="008B78E0">
      <w:pPr>
        <w:widowControl/>
        <w:ind w:firstLineChars="0" w:firstLine="0"/>
        <w:jc w:val="left"/>
        <w:rPr>
          <w:rFonts w:ascii="Times New Roman" w:eastAsia="Cambria" w:hAnsi="Times New Roman" w:cs="Times New Roman"/>
          <w:kern w:val="0"/>
          <w:sz w:val="32"/>
          <w:szCs w:val="32"/>
          <w:lang w:eastAsia="en-US"/>
          <w14:ligatures w14:val="none"/>
        </w:rPr>
        <w:sectPr w:rsidR="008B78E0" w:rsidRPr="008B78E0">
          <w:pgSz w:w="11906" w:h="16838"/>
          <w:pgMar w:top="1440" w:right="1800" w:bottom="1440" w:left="1800" w:header="851" w:footer="992" w:gutter="0"/>
          <w:cols w:space="720"/>
          <w:docGrid w:type="lines" w:linePitch="312"/>
        </w:sectPr>
      </w:pPr>
    </w:p>
    <w:p w14:paraId="7A7A77E5" w14:textId="41DBA647" w:rsidR="008B78E0" w:rsidRPr="008B78E0" w:rsidRDefault="008B78E0" w:rsidP="008B78E0">
      <w:pPr>
        <w:pStyle w:val="Text"/>
        <w:spacing w:line="240" w:lineRule="auto"/>
        <w:ind w:firstLine="0"/>
        <w:jc w:val="center"/>
        <w:rPr>
          <w:rFonts w:eastAsia="Cambria"/>
          <w:sz w:val="32"/>
          <w:szCs w:val="32"/>
        </w:rPr>
      </w:pPr>
      <w:r w:rsidRPr="008B78E0">
        <w:rPr>
          <w:rFonts w:eastAsia="Cambria"/>
          <w:noProof/>
          <w:sz w:val="32"/>
          <w:szCs w:val="32"/>
        </w:rPr>
        <w:lastRenderedPageBreak/>
        <w:drawing>
          <wp:inline distT="0" distB="0" distL="0" distR="0" wp14:anchorId="4F6D85A0" wp14:editId="6DE6947E">
            <wp:extent cx="4445635" cy="22231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t="1747" b="9151"/>
                    <a:stretch>
                      <a:fillRect/>
                    </a:stretch>
                  </pic:blipFill>
                  <pic:spPr bwMode="auto">
                    <a:xfrm>
                      <a:off x="0" y="0"/>
                      <a:ext cx="4445635" cy="2223135"/>
                    </a:xfrm>
                    <a:prstGeom prst="rect">
                      <a:avLst/>
                    </a:prstGeom>
                    <a:noFill/>
                    <a:ln>
                      <a:noFill/>
                    </a:ln>
                  </pic:spPr>
                </pic:pic>
              </a:graphicData>
            </a:graphic>
          </wp:inline>
        </w:drawing>
      </w:r>
    </w:p>
    <w:p w14:paraId="7C43FD4A" w14:textId="68D97C36" w:rsidR="008B78E0" w:rsidRPr="008B78E0" w:rsidRDefault="008B78E0" w:rsidP="008B78E0">
      <w:pPr>
        <w:widowControl/>
        <w:shd w:val="clear" w:color="auto" w:fill="FDFDFD"/>
        <w:ind w:firstLineChars="0" w:firstLine="0"/>
        <w:jc w:val="center"/>
        <w:rPr>
          <w:rFonts w:ascii="Times New Roman" w:eastAsia="Cambria" w:hAnsi="Times New Roman" w:cs="Times New Roman"/>
          <w:kern w:val="0"/>
          <w:sz w:val="32"/>
          <w:szCs w:val="32"/>
          <w:lang w:eastAsia="en-US"/>
          <w14:ligatures w14:val="none"/>
        </w:rPr>
      </w:pPr>
      <w:r w:rsidRPr="008B78E0">
        <w:rPr>
          <w:rFonts w:ascii="Times New Roman" w:eastAsia="Cambria" w:hAnsi="Times New Roman" w:cs="Times New Roman"/>
          <w:kern w:val="0"/>
          <w:sz w:val="32"/>
          <w:szCs w:val="32"/>
          <w:lang w:eastAsia="en-US"/>
          <w14:ligatures w14:val="none"/>
        </w:rPr>
        <w:t>Figure1: Lithium battery applications and hidden dangers</w:t>
      </w:r>
    </w:p>
    <w:p w14:paraId="252D3172" w14:textId="77777777" w:rsidR="008B78E0" w:rsidRPr="008B78E0" w:rsidRDefault="008B78E0" w:rsidP="008B78E0">
      <w:pPr>
        <w:widowControl/>
        <w:shd w:val="clear" w:color="auto" w:fill="FDFDFD"/>
        <w:snapToGrid w:val="0"/>
        <w:ind w:firstLineChars="0" w:firstLine="400"/>
        <w:jc w:val="left"/>
        <w:rPr>
          <w:rFonts w:ascii="Times New Roman" w:eastAsia="Cambria" w:hAnsi="Times New Roman" w:cs="Times New Roman"/>
          <w:kern w:val="0"/>
          <w:sz w:val="32"/>
          <w:szCs w:val="32"/>
          <w:lang w:eastAsia="en-US"/>
          <w14:ligatures w14:val="none"/>
        </w:rPr>
      </w:pPr>
      <w:r w:rsidRPr="008B78E0">
        <w:rPr>
          <w:rFonts w:ascii="Times New Roman" w:eastAsia="Cambria" w:hAnsi="Times New Roman" w:cs="Times New Roman"/>
          <w:kern w:val="0"/>
          <w:sz w:val="32"/>
          <w:szCs w:val="32"/>
          <w:lang w:eastAsia="en-US"/>
          <w14:ligatures w14:val="none"/>
        </w:rPr>
        <w:t xml:space="preserve">Linear parameter estimation problems arise in a wide range of scientific disciplines such as signal processing [30-31]. As shown in [32] and [33], total least squares </w:t>
      </w:r>
      <w:proofErr w:type="gramStart"/>
      <w:r w:rsidRPr="008B78E0">
        <w:rPr>
          <w:rFonts w:ascii="Times New Roman" w:eastAsia="Cambria" w:hAnsi="Times New Roman" w:cs="Times New Roman"/>
          <w:kern w:val="0"/>
          <w:sz w:val="32"/>
          <w:szCs w:val="32"/>
          <w:lang w:eastAsia="en-US"/>
          <w14:ligatures w14:val="none"/>
        </w:rPr>
        <w:t>is</w:t>
      </w:r>
      <w:proofErr w:type="gramEnd"/>
      <w:r w:rsidRPr="008B78E0">
        <w:rPr>
          <w:rFonts w:ascii="Times New Roman" w:eastAsia="Cambria" w:hAnsi="Times New Roman" w:cs="Times New Roman"/>
          <w:kern w:val="0"/>
          <w:sz w:val="32"/>
          <w:szCs w:val="32"/>
          <w:lang w:eastAsia="en-US"/>
          <w14:ligatures w14:val="none"/>
        </w:rPr>
        <w:t xml:space="preserve"> the best choice for parameter estimation when all variables of interest have parametric linear relationships and all measurements are noise polluted. </w:t>
      </w:r>
    </w:p>
    <w:p w14:paraId="51CEBB5A" w14:textId="77777777" w:rsidR="008B78E0" w:rsidRPr="008B78E0" w:rsidRDefault="008B78E0" w:rsidP="008B78E0">
      <w:pPr>
        <w:widowControl/>
        <w:shd w:val="clear" w:color="auto" w:fill="FDFDFD"/>
        <w:snapToGrid w:val="0"/>
        <w:ind w:firstLineChars="0" w:firstLine="400"/>
        <w:jc w:val="left"/>
        <w:rPr>
          <w:rFonts w:ascii="Times New Roman" w:eastAsia="Cambria" w:hAnsi="Times New Roman" w:cs="Times New Roman"/>
          <w:kern w:val="0"/>
          <w:sz w:val="32"/>
          <w:szCs w:val="32"/>
          <w:lang w:eastAsia="en-US"/>
          <w14:ligatures w14:val="none"/>
        </w:rPr>
      </w:pPr>
      <w:r w:rsidRPr="008B78E0">
        <w:rPr>
          <w:rFonts w:ascii="Times New Roman" w:eastAsia="Cambria" w:hAnsi="Times New Roman" w:cs="Times New Roman"/>
          <w:kern w:val="0"/>
          <w:sz w:val="32"/>
          <w:szCs w:val="32"/>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8B78E0">
        <w:rPr>
          <w:rFonts w:ascii="Times New Roman" w:eastAsia="Cambria" w:hAnsi="Times New Roman" w:cs="Times New Roman"/>
          <w:kern w:val="0"/>
          <w:sz w:val="32"/>
          <w:szCs w:val="32"/>
          <w:lang w:eastAsia="en-US"/>
          <w14:ligatures w14:val="none"/>
        </w:rPr>
        <w:t>obey</w:t>
      </w:r>
      <w:proofErr w:type="gramEnd"/>
      <w:r w:rsidRPr="008B78E0">
        <w:rPr>
          <w:rFonts w:ascii="Times New Roman" w:eastAsia="Cambria" w:hAnsi="Times New Roman" w:cs="Times New Roman"/>
          <w:kern w:val="0"/>
          <w:sz w:val="32"/>
          <w:szCs w:val="32"/>
          <w:lang w:eastAsia="en-US"/>
          <w14:ligatures w14:val="none"/>
        </w:rPr>
        <w:t xml:space="preserve"> the same distribution, and the direct use of TLS/OLS cannot establish a good battery life prediction model. Therefore, this paper made 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02F65CD7" w14:textId="77777777" w:rsidR="008B78E0" w:rsidRDefault="008B78E0" w:rsidP="008B78E0">
      <w:pPr>
        <w:ind w:firstLine="420"/>
      </w:pPr>
      <w:r>
        <w:rPr>
          <w:rFonts w:hint="eastAsia"/>
        </w:rPr>
        <w:t>[1] Renewable energy technologies in Pakistan: Prospects and challenges</w:t>
      </w:r>
    </w:p>
    <w:p w14:paraId="40546239" w14:textId="77777777" w:rsidR="008B78E0" w:rsidRDefault="008B78E0" w:rsidP="008B78E0">
      <w:pPr>
        <w:ind w:firstLine="420"/>
      </w:pPr>
      <w:r>
        <w:rPr>
          <w:rFonts w:hint="eastAsia"/>
        </w:rPr>
        <w:t xml:space="preserve">[2] Mirza UK, Ahmad N, Majeed T, </w:t>
      </w:r>
      <w:proofErr w:type="spellStart"/>
      <w:r>
        <w:rPr>
          <w:rFonts w:hint="eastAsia"/>
        </w:rPr>
        <w:t>Harijan</w:t>
      </w:r>
      <w:proofErr w:type="spellEnd"/>
      <w:r>
        <w:rPr>
          <w:rFonts w:hint="eastAsia"/>
        </w:rPr>
        <w:t xml:space="preserve"> K. Wind energy development in Pakistan. Renewable and Sustainable Energy Reviews 2007;11(9): 2179–90.</w:t>
      </w:r>
    </w:p>
    <w:p w14:paraId="0048EE71" w14:textId="77777777" w:rsidR="008B78E0" w:rsidRDefault="008B78E0" w:rsidP="008B78E0">
      <w:pPr>
        <w:ind w:firstLine="420"/>
      </w:pPr>
      <w:r>
        <w:rPr>
          <w:rFonts w:hint="eastAsia"/>
        </w:rPr>
        <w:t>[3] Tiwari, GN, Ghosal, MK. Renewable Energy Resources: Basic Principles and Applications. Alpha Science Int</w:t>
      </w:r>
      <w:proofErr w:type="gramStart"/>
      <w:r>
        <w:rPr>
          <w:rFonts w:hint="eastAsia"/>
        </w:rPr>
        <w:t>’</w:t>
      </w:r>
      <w:proofErr w:type="gramEnd"/>
      <w:r>
        <w:rPr>
          <w:rFonts w:hint="eastAsia"/>
        </w:rPr>
        <w:t>l Ltd., 2005. ISBN 1-84265-125-0</w:t>
      </w:r>
    </w:p>
    <w:p w14:paraId="08F02558" w14:textId="77777777" w:rsidR="008B78E0" w:rsidRDefault="008B78E0" w:rsidP="008B78E0">
      <w:pPr>
        <w:ind w:firstLine="420"/>
      </w:pPr>
      <w:r>
        <w:rPr>
          <w:rFonts w:hint="eastAsia"/>
        </w:rPr>
        <w:t>[4] B. Obama, Science 2017, DOI: 10.1126/</w:t>
      </w:r>
      <w:proofErr w:type="gramStart"/>
      <w:r>
        <w:rPr>
          <w:rFonts w:hint="eastAsia"/>
        </w:rPr>
        <w:t>science.aam</w:t>
      </w:r>
      <w:proofErr w:type="gramEnd"/>
      <w:r>
        <w:rPr>
          <w:rFonts w:hint="eastAsia"/>
        </w:rPr>
        <w:t>6284.</w:t>
      </w:r>
    </w:p>
    <w:p w14:paraId="7FD54E99" w14:textId="77777777" w:rsidR="008B78E0" w:rsidRDefault="008B78E0" w:rsidP="008B78E0">
      <w:pPr>
        <w:ind w:firstLine="420"/>
      </w:pPr>
      <w:r>
        <w:rPr>
          <w:rFonts w:hint="eastAsia"/>
        </w:rPr>
        <w:lastRenderedPageBreak/>
        <w:t>[</w:t>
      </w:r>
      <w:proofErr w:type="gramStart"/>
      <w:r>
        <w:rPr>
          <w:rFonts w:hint="eastAsia"/>
        </w:rPr>
        <w:t>5]Porous</w:t>
      </w:r>
      <w:proofErr w:type="gramEnd"/>
      <w:r>
        <w:rPr>
          <w:rFonts w:hint="eastAsia"/>
        </w:rPr>
        <w:t xml:space="preserve"> Carbon Composites for Next Generation Rechargeable Lithium Batteries</w:t>
      </w:r>
    </w:p>
    <w:p w14:paraId="3535438D" w14:textId="77777777" w:rsidR="008B78E0" w:rsidRDefault="008B78E0" w:rsidP="008B78E0">
      <w:pPr>
        <w:ind w:firstLine="420"/>
      </w:pPr>
      <w:r>
        <w:rPr>
          <w:rFonts w:hint="eastAsia"/>
        </w:rPr>
        <w:t xml:space="preserve">[6] P. </w:t>
      </w:r>
      <w:proofErr w:type="spellStart"/>
      <w:r>
        <w:rPr>
          <w:rFonts w:hint="eastAsia"/>
        </w:rPr>
        <w:t>Poizot</w:t>
      </w:r>
      <w:proofErr w:type="spellEnd"/>
      <w:r>
        <w:rPr>
          <w:rFonts w:hint="eastAsia"/>
        </w:rPr>
        <w:t xml:space="preserve">, S. </w:t>
      </w:r>
      <w:proofErr w:type="spellStart"/>
      <w:r>
        <w:rPr>
          <w:rFonts w:hint="eastAsia"/>
        </w:rPr>
        <w:t>Laruelle</w:t>
      </w:r>
      <w:proofErr w:type="spellEnd"/>
      <w:r>
        <w:rPr>
          <w:rFonts w:hint="eastAsia"/>
        </w:rPr>
        <w:t xml:space="preserve">, S. </w:t>
      </w:r>
      <w:proofErr w:type="spellStart"/>
      <w:r>
        <w:rPr>
          <w:rFonts w:hint="eastAsia"/>
        </w:rPr>
        <w:t>Grugeon</w:t>
      </w:r>
      <w:proofErr w:type="spellEnd"/>
      <w:r>
        <w:rPr>
          <w:rFonts w:hint="eastAsia"/>
        </w:rPr>
        <w:t xml:space="preserve">, L. Dupont, J. M. </w:t>
      </w:r>
      <w:proofErr w:type="spellStart"/>
      <w:r>
        <w:rPr>
          <w:rFonts w:hint="eastAsia"/>
        </w:rPr>
        <w:t>Tarascon</w:t>
      </w:r>
      <w:proofErr w:type="spellEnd"/>
      <w:r>
        <w:rPr>
          <w:rFonts w:hint="eastAsia"/>
        </w:rPr>
        <w:t>, Nature 2000, 407, 496.</w:t>
      </w:r>
    </w:p>
    <w:p w14:paraId="576D4C37" w14:textId="77777777" w:rsidR="008B78E0" w:rsidRDefault="008B78E0" w:rsidP="008B78E0">
      <w:pPr>
        <w:ind w:firstLine="420"/>
      </w:pPr>
      <w:r>
        <w:rPr>
          <w:rFonts w:hint="eastAsia"/>
        </w:rPr>
        <w:t xml:space="preserve">[7] B. Dunn, H. Kamath, J. M. </w:t>
      </w:r>
      <w:proofErr w:type="spellStart"/>
      <w:r>
        <w:rPr>
          <w:rFonts w:hint="eastAsia"/>
        </w:rPr>
        <w:t>Tarascon</w:t>
      </w:r>
      <w:proofErr w:type="spellEnd"/>
      <w:r>
        <w:rPr>
          <w:rFonts w:hint="eastAsia"/>
        </w:rPr>
        <w:t>, Science 2011, 334, 928.</w:t>
      </w:r>
    </w:p>
    <w:p w14:paraId="1711CB93" w14:textId="77777777" w:rsidR="008B78E0" w:rsidRDefault="008B78E0" w:rsidP="008B78E0">
      <w:pPr>
        <w:ind w:firstLine="420"/>
      </w:pPr>
      <w:r>
        <w:rPr>
          <w:rFonts w:hint="eastAsia"/>
        </w:rPr>
        <w:t>Recent progress of magnetic field application in lithium-based batteries</w:t>
      </w:r>
    </w:p>
    <w:p w14:paraId="20BB87F8" w14:textId="77777777" w:rsidR="008B78E0" w:rsidRDefault="008B78E0" w:rsidP="008B78E0">
      <w:pPr>
        <w:ind w:firstLine="420"/>
      </w:pPr>
      <w:r>
        <w:rPr>
          <w:rFonts w:hint="eastAsia"/>
        </w:rPr>
        <w:t xml:space="preserve">[8] Raza MQ, </w:t>
      </w:r>
      <w:proofErr w:type="spellStart"/>
      <w:r>
        <w:rPr>
          <w:rFonts w:hint="eastAsia"/>
        </w:rPr>
        <w:t>Khosravi</w:t>
      </w:r>
      <w:proofErr w:type="spellEnd"/>
      <w:r>
        <w:rPr>
          <w:rFonts w:hint="eastAsia"/>
        </w:rPr>
        <w:t xml:space="preserve"> A. A review on artificial </w:t>
      </w:r>
      <w:proofErr w:type="gramStart"/>
      <w:r>
        <w:rPr>
          <w:rFonts w:hint="eastAsia"/>
        </w:rPr>
        <w:t>intelligence based</w:t>
      </w:r>
      <w:proofErr w:type="gramEnd"/>
      <w:r>
        <w:rPr>
          <w:rFonts w:hint="eastAsia"/>
        </w:rPr>
        <w:t xml:space="preserve"> load demand forecasting techniques for smart grid and buildings. Renew Sustain Energy Rev </w:t>
      </w:r>
      <w:proofErr w:type="gramStart"/>
      <w:r>
        <w:rPr>
          <w:rFonts w:hint="eastAsia"/>
        </w:rPr>
        <w:t>2015;50:1352</w:t>
      </w:r>
      <w:proofErr w:type="gramEnd"/>
      <w:r>
        <w:rPr>
          <w:rFonts w:hint="eastAsia"/>
        </w:rPr>
        <w:t>e72.</w:t>
      </w:r>
    </w:p>
    <w:p w14:paraId="555BE619" w14:textId="77777777" w:rsidR="008B78E0" w:rsidRDefault="008B78E0" w:rsidP="008B78E0">
      <w:pPr>
        <w:ind w:firstLine="420"/>
      </w:pPr>
      <w:r>
        <w:rPr>
          <w:rFonts w:hint="eastAsia"/>
        </w:rPr>
        <w:t xml:space="preserve">[9] Xu J, Zhang R. </w:t>
      </w:r>
      <w:proofErr w:type="spellStart"/>
      <w:r>
        <w:rPr>
          <w:rFonts w:hint="eastAsia"/>
        </w:rPr>
        <w:t>CoMP</w:t>
      </w:r>
      <w:proofErr w:type="spellEnd"/>
      <w:r>
        <w:rPr>
          <w:rFonts w:hint="eastAsia"/>
        </w:rPr>
        <w:t xml:space="preserve"> meets smart grid: a new communication and energy cooperation paradigm. IEEE Trans </w:t>
      </w:r>
      <w:proofErr w:type="spellStart"/>
      <w:r>
        <w:rPr>
          <w:rFonts w:hint="eastAsia"/>
        </w:rPr>
        <w:t>Veh</w:t>
      </w:r>
      <w:proofErr w:type="spellEnd"/>
      <w:r>
        <w:rPr>
          <w:rFonts w:hint="eastAsia"/>
        </w:rPr>
        <w:t xml:space="preserve"> Technol 2013;64(6):2476e88. </w:t>
      </w:r>
    </w:p>
    <w:p w14:paraId="41971EFB" w14:textId="77777777" w:rsidR="008B78E0" w:rsidRDefault="008B78E0" w:rsidP="008B78E0">
      <w:pPr>
        <w:ind w:firstLine="420"/>
      </w:pPr>
      <w:r>
        <w:rPr>
          <w:rFonts w:hint="eastAsia"/>
        </w:rPr>
        <w:t>[</w:t>
      </w:r>
      <w:proofErr w:type="gramStart"/>
      <w:r>
        <w:rPr>
          <w:rFonts w:hint="eastAsia"/>
        </w:rPr>
        <w:t>10]An</w:t>
      </w:r>
      <w:proofErr w:type="gramEnd"/>
      <w:r>
        <w:rPr>
          <w:rFonts w:hint="eastAsia"/>
        </w:rPr>
        <w:t xml:space="preserve"> energy matching method for battery electric vehicle and hydrogen fuel cell vehicle based on source energy consumption rate</w:t>
      </w:r>
    </w:p>
    <w:p w14:paraId="5D8C4B1D" w14:textId="77777777" w:rsidR="008B78E0" w:rsidRDefault="008B78E0" w:rsidP="008B78E0">
      <w:pPr>
        <w:ind w:firstLine="420"/>
      </w:pPr>
      <w:r>
        <w:rPr>
          <w:rFonts w:hint="eastAsia"/>
        </w:rPr>
        <w:t xml:space="preserve">[11] Wang G, Xu Z, Wen F, et al Traffic-constrained </w:t>
      </w:r>
      <w:proofErr w:type="spellStart"/>
      <w:r>
        <w:rPr>
          <w:rFonts w:hint="eastAsia"/>
        </w:rPr>
        <w:t>multiobjective</w:t>
      </w:r>
      <w:proofErr w:type="spellEnd"/>
      <w:r>
        <w:rPr>
          <w:rFonts w:hint="eastAsia"/>
        </w:rPr>
        <w:t xml:space="preserve"> planning of electric-vehicle charging </w:t>
      </w:r>
      <w:proofErr w:type="spellStart"/>
      <w:proofErr w:type="gramStart"/>
      <w:r>
        <w:rPr>
          <w:rFonts w:hint="eastAsia"/>
        </w:rPr>
        <w:t>stations.IEEE</w:t>
      </w:r>
      <w:proofErr w:type="spellEnd"/>
      <w:proofErr w:type="gramEnd"/>
      <w:r>
        <w:rPr>
          <w:rFonts w:hint="eastAsia"/>
        </w:rPr>
        <w:t xml:space="preserve"> Trans Power </w:t>
      </w:r>
      <w:proofErr w:type="spellStart"/>
      <w:r>
        <w:rPr>
          <w:rFonts w:hint="eastAsia"/>
        </w:rPr>
        <w:t>Deliv</w:t>
      </w:r>
      <w:proofErr w:type="spellEnd"/>
      <w:r>
        <w:rPr>
          <w:rFonts w:hint="eastAsia"/>
        </w:rPr>
        <w:t xml:space="preserve"> 2013;28(4):2363e72.</w:t>
      </w:r>
    </w:p>
    <w:p w14:paraId="6A2A7FC2" w14:textId="77777777" w:rsidR="008B78E0" w:rsidRDefault="008B78E0" w:rsidP="008B78E0">
      <w:pPr>
        <w:ind w:firstLine="420"/>
      </w:pPr>
      <w:r>
        <w:rPr>
          <w:rFonts w:hint="eastAsia"/>
        </w:rPr>
        <w:t>[12] Hu J, Zheng L, Jia M, et al Optimization and model validation of operation control strategies for a novel dual-motor coupling-propulsion pure electric vehicle. Energies 2018;11.</w:t>
      </w:r>
    </w:p>
    <w:p w14:paraId="7B7428B7" w14:textId="77777777" w:rsidR="008B78E0" w:rsidRDefault="008B78E0" w:rsidP="008B78E0">
      <w:pPr>
        <w:ind w:firstLine="420"/>
      </w:pPr>
      <w:r>
        <w:rPr>
          <w:rFonts w:hint="eastAsia"/>
        </w:rPr>
        <w:t>[13]. Peterson, S. B., Apt, J. &amp; Whitacre, J. F. Lithium-ion battery cell degradation resulting from realistic vehicle and vehicle-to-grid utilization. J. Power Sources 195, 2385–2392 (2010).</w:t>
      </w:r>
    </w:p>
    <w:p w14:paraId="324ADC42" w14:textId="77777777" w:rsidR="008B78E0" w:rsidRDefault="008B78E0" w:rsidP="008B78E0">
      <w:pPr>
        <w:ind w:firstLine="420"/>
      </w:pPr>
      <w:r>
        <w:rPr>
          <w:rFonts w:hint="eastAsia"/>
        </w:rPr>
        <w:t xml:space="preserve">[14]. </w:t>
      </w:r>
      <w:proofErr w:type="spellStart"/>
      <w:r>
        <w:rPr>
          <w:rFonts w:hint="eastAsia"/>
        </w:rPr>
        <w:t>Ramadesigan</w:t>
      </w:r>
      <w:proofErr w:type="spellEnd"/>
      <w:r>
        <w:rPr>
          <w:rFonts w:hint="eastAsia"/>
        </w:rPr>
        <w:t xml:space="preserve">, V. et al Modeling and simulation of lithium-ion batteries from a </w:t>
      </w:r>
      <w:proofErr w:type="gramStart"/>
      <w:r>
        <w:rPr>
          <w:rFonts w:hint="eastAsia"/>
        </w:rPr>
        <w:t>systems</w:t>
      </w:r>
      <w:proofErr w:type="gramEnd"/>
      <w:r>
        <w:rPr>
          <w:rFonts w:hint="eastAsia"/>
        </w:rPr>
        <w:t xml:space="preserve"> engineering perspective. J. </w:t>
      </w:r>
      <w:proofErr w:type="spellStart"/>
      <w:r>
        <w:rPr>
          <w:rFonts w:hint="eastAsia"/>
        </w:rPr>
        <w:t>Electrochem</w:t>
      </w:r>
      <w:proofErr w:type="spellEnd"/>
      <w:r>
        <w:rPr>
          <w:rFonts w:hint="eastAsia"/>
        </w:rPr>
        <w:t>. Soc. 159, R31–R45 (2012).</w:t>
      </w:r>
    </w:p>
    <w:p w14:paraId="7CF0997A" w14:textId="77777777" w:rsidR="008B78E0" w:rsidRDefault="008B78E0" w:rsidP="008B78E0">
      <w:pPr>
        <w:ind w:firstLine="420"/>
      </w:pPr>
      <w:r>
        <w:rPr>
          <w:rFonts w:hint="eastAsia"/>
        </w:rPr>
        <w:t xml:space="preserve">[15]. </w:t>
      </w:r>
      <w:proofErr w:type="spellStart"/>
      <w:r>
        <w:rPr>
          <w:rFonts w:hint="eastAsia"/>
        </w:rPr>
        <w:t>Waag</w:t>
      </w:r>
      <w:proofErr w:type="spellEnd"/>
      <w:r>
        <w:rPr>
          <w:rFonts w:hint="eastAsia"/>
        </w:rPr>
        <w:t>, W., Fleischer, C. &amp; Sauer, D. U. Critical review of the methods for monitoring of lithium-ion batteries in electric and hybrid vehicles. J. Power Sources 258, 321–339 (2014)</w:t>
      </w:r>
    </w:p>
    <w:p w14:paraId="353CE4CB" w14:textId="77777777" w:rsidR="008B78E0" w:rsidRDefault="008B78E0" w:rsidP="008B78E0">
      <w:pPr>
        <w:ind w:firstLine="420"/>
      </w:pPr>
      <w:r>
        <w:rPr>
          <w:rFonts w:hint="eastAsia"/>
        </w:rPr>
        <w:t>[16</w:t>
      </w:r>
      <w:proofErr w:type="gramStart"/>
      <w:r>
        <w:rPr>
          <w:rFonts w:hint="eastAsia"/>
        </w:rPr>
        <w:t>].Identifying</w:t>
      </w:r>
      <w:proofErr w:type="gramEnd"/>
      <w:r>
        <w:rPr>
          <w:rFonts w:hint="eastAsia"/>
        </w:rPr>
        <w:t xml:space="preserve"> degradation patterns of lithium ion batteries from impedance spectroscopy using machine learning</w:t>
      </w:r>
    </w:p>
    <w:p w14:paraId="7C2202CE" w14:textId="77777777" w:rsidR="008B78E0" w:rsidRDefault="008B78E0" w:rsidP="008B78E0">
      <w:pPr>
        <w:ind w:firstLine="420"/>
      </w:pPr>
      <w:r>
        <w:rPr>
          <w:rFonts w:hint="eastAsia"/>
        </w:rPr>
        <w:t>[17] Severson, K. A. et al Data-driven prediction of battery cycle life before capacity degradation. Nat. Energy 4, 383–391 (2019).</w:t>
      </w:r>
    </w:p>
    <w:p w14:paraId="3FD2887B" w14:textId="77777777" w:rsidR="008B78E0" w:rsidRDefault="008B78E0" w:rsidP="008B78E0">
      <w:pPr>
        <w:ind w:firstLine="420"/>
      </w:pPr>
      <w:r>
        <w:rPr>
          <w:rFonts w:hint="eastAsia"/>
        </w:rPr>
        <w:t xml:space="preserve">[18]. </w:t>
      </w:r>
      <w:proofErr w:type="spellStart"/>
      <w:r>
        <w:rPr>
          <w:rFonts w:hint="eastAsia"/>
        </w:rPr>
        <w:t>Nuhic</w:t>
      </w:r>
      <w:proofErr w:type="spellEnd"/>
      <w:r>
        <w:rPr>
          <w:rFonts w:hint="eastAsia"/>
        </w:rPr>
        <w:t xml:space="preserve">, A., </w:t>
      </w:r>
      <w:proofErr w:type="spellStart"/>
      <w:r>
        <w:rPr>
          <w:rFonts w:hint="eastAsia"/>
        </w:rPr>
        <w:t>Terzimehic</w:t>
      </w:r>
      <w:proofErr w:type="spellEnd"/>
      <w:r>
        <w:rPr>
          <w:rFonts w:hint="eastAsia"/>
        </w:rPr>
        <w:t xml:space="preserve">, T., </w:t>
      </w:r>
      <w:proofErr w:type="spellStart"/>
      <w:r>
        <w:rPr>
          <w:rFonts w:hint="eastAsia"/>
        </w:rPr>
        <w:t>Soczka-Guth</w:t>
      </w:r>
      <w:proofErr w:type="spellEnd"/>
      <w:r>
        <w:rPr>
          <w:rFonts w:hint="eastAsia"/>
        </w:rPr>
        <w:t xml:space="preserve">, T., Buchholz, M. &amp; </w:t>
      </w:r>
      <w:proofErr w:type="spellStart"/>
      <w:r>
        <w:rPr>
          <w:rFonts w:hint="eastAsia"/>
        </w:rPr>
        <w:t>Dietmayer</w:t>
      </w:r>
      <w:proofErr w:type="spellEnd"/>
      <w:r>
        <w:rPr>
          <w:rFonts w:hint="eastAsia"/>
        </w:rPr>
        <w:t xml:space="preserve"> K. Health diagnosis and remaining useful life prognostics of lithium-ion batteries using </w:t>
      </w:r>
      <w:proofErr w:type="spellStart"/>
      <w:r>
        <w:rPr>
          <w:rFonts w:hint="eastAsia"/>
        </w:rPr>
        <w:t>datadriven</w:t>
      </w:r>
      <w:proofErr w:type="spellEnd"/>
      <w:r>
        <w:rPr>
          <w:rFonts w:hint="eastAsia"/>
        </w:rPr>
        <w:t xml:space="preserve"> methods. J. Power Sources 239, 680–688 (2013).</w:t>
      </w:r>
    </w:p>
    <w:p w14:paraId="0ACAA30A" w14:textId="77777777" w:rsidR="008B78E0" w:rsidRDefault="008B78E0" w:rsidP="008B78E0">
      <w:pPr>
        <w:ind w:firstLine="420"/>
      </w:pPr>
      <w:r>
        <w:rPr>
          <w:rFonts w:hint="eastAsia"/>
        </w:rPr>
        <w:t xml:space="preserve">[19] </w:t>
      </w:r>
      <w:proofErr w:type="spellStart"/>
      <w:r>
        <w:rPr>
          <w:rFonts w:hint="eastAsia"/>
        </w:rPr>
        <w:t>Tianheng</w:t>
      </w:r>
      <w:proofErr w:type="spellEnd"/>
      <w:r>
        <w:rPr>
          <w:rFonts w:hint="eastAsia"/>
        </w:rPr>
        <w:t xml:space="preserve"> Feng, Lin Yang, </w:t>
      </w:r>
      <w:proofErr w:type="spellStart"/>
      <w:r>
        <w:rPr>
          <w:rFonts w:hint="eastAsia"/>
        </w:rPr>
        <w:t>Xiaowei</w:t>
      </w:r>
      <w:proofErr w:type="spellEnd"/>
      <w:r>
        <w:rPr>
          <w:rFonts w:hint="eastAsia"/>
        </w:rPr>
        <w:t xml:space="preserve"> Zhao, </w:t>
      </w:r>
      <w:proofErr w:type="spellStart"/>
      <w:r>
        <w:rPr>
          <w:rFonts w:hint="eastAsia"/>
        </w:rPr>
        <w:t>Huidong</w:t>
      </w:r>
      <w:proofErr w:type="spellEnd"/>
      <w:r>
        <w:rPr>
          <w:rFonts w:hint="eastAsia"/>
        </w:rPr>
        <w:t xml:space="preserve"> Zhang, and </w:t>
      </w:r>
      <w:proofErr w:type="spellStart"/>
      <w:r>
        <w:rPr>
          <w:rFonts w:hint="eastAsia"/>
        </w:rPr>
        <w:t>Jiaxi</w:t>
      </w:r>
      <w:proofErr w:type="spellEnd"/>
      <w:r>
        <w:rPr>
          <w:rFonts w:hint="eastAsia"/>
        </w:rPr>
        <w:t xml:space="preserve"> </w:t>
      </w:r>
      <w:proofErr w:type="spellStart"/>
      <w:r>
        <w:rPr>
          <w:rFonts w:hint="eastAsia"/>
        </w:rPr>
        <w:t>Qiang</w:t>
      </w:r>
      <w:proofErr w:type="spellEnd"/>
      <w:r>
        <w:rPr>
          <w:rFonts w:hint="eastAsia"/>
        </w:rPr>
        <w:t>. Online identification of lithium-ion battery parameters based on an improved equivalent-circuit model and its implementation on battery state-of-power prediction. Journal of Power Sources, 281:192–203, 2015.</w:t>
      </w:r>
    </w:p>
    <w:p w14:paraId="1ADD6DA2" w14:textId="77777777" w:rsidR="008B78E0" w:rsidRDefault="008B78E0" w:rsidP="008B78E0">
      <w:pPr>
        <w:ind w:firstLine="420"/>
      </w:pPr>
      <w:r>
        <w:rPr>
          <w:rFonts w:hint="eastAsia"/>
        </w:rPr>
        <w:t xml:space="preserve">[20] D Andre, M </w:t>
      </w:r>
      <w:proofErr w:type="spellStart"/>
      <w:r>
        <w:rPr>
          <w:rFonts w:hint="eastAsia"/>
        </w:rPr>
        <w:t>Meiler</w:t>
      </w:r>
      <w:proofErr w:type="spellEnd"/>
      <w:r>
        <w:rPr>
          <w:rFonts w:hint="eastAsia"/>
        </w:rPr>
        <w:t xml:space="preserve">, K Steiner, H Walz, T </w:t>
      </w:r>
      <w:proofErr w:type="spellStart"/>
      <w:r>
        <w:rPr>
          <w:rFonts w:hint="eastAsia"/>
        </w:rPr>
        <w:t>Soczka-Guth</w:t>
      </w:r>
      <w:proofErr w:type="spellEnd"/>
      <w:r>
        <w:rPr>
          <w:rFonts w:hint="eastAsia"/>
        </w:rPr>
        <w:t>, and DU Sauer. Characterization of high-power lithium-ion batteries by electrochemical impedance spectroscopy. ii: Modelling. Journal of Power Sources, 196(12):5349–5356, 2011.</w:t>
      </w:r>
    </w:p>
    <w:p w14:paraId="3BC39FC4" w14:textId="77777777" w:rsidR="008B78E0" w:rsidRDefault="008B78E0" w:rsidP="008B78E0">
      <w:pPr>
        <w:ind w:firstLine="420"/>
      </w:pPr>
      <w:r>
        <w:rPr>
          <w:rFonts w:hint="eastAsia"/>
        </w:rPr>
        <w:t>[21] Matthew J Daigle and Chetan Shrikant Kulkarni. Electrochemistry-based battery modeling for prognostics. 2013.</w:t>
      </w:r>
    </w:p>
    <w:p w14:paraId="5AD4F9B8" w14:textId="77777777" w:rsidR="008B78E0" w:rsidRDefault="008B78E0" w:rsidP="008B78E0">
      <w:pPr>
        <w:ind w:firstLine="420"/>
      </w:pPr>
      <w:r>
        <w:rPr>
          <w:rFonts w:hint="eastAsia"/>
        </w:rPr>
        <w:t>[22] Brian Bole, Chetan S Kulkarni, and Matthew Daigle. Adaptation of an electrochemistry-based li-ion battery model to account for deterioration observed under randomized use. Technical report, SGT, Inc. Moffett Field United States, 2014.</w:t>
      </w:r>
    </w:p>
    <w:p w14:paraId="377CE7AE" w14:textId="77777777" w:rsidR="008B78E0" w:rsidRDefault="008B78E0" w:rsidP="008B78E0">
      <w:pPr>
        <w:ind w:firstLine="420"/>
      </w:pPr>
      <w:r>
        <w:rPr>
          <w:rFonts w:hint="eastAsia"/>
        </w:rPr>
        <w:t xml:space="preserve">[23] </w:t>
      </w:r>
      <w:proofErr w:type="spellStart"/>
      <w:r>
        <w:rPr>
          <w:rFonts w:hint="eastAsia"/>
        </w:rPr>
        <w:t>Githin</w:t>
      </w:r>
      <w:proofErr w:type="spellEnd"/>
      <w:r>
        <w:rPr>
          <w:rFonts w:hint="eastAsia"/>
        </w:rPr>
        <w:t xml:space="preserve"> K Prasad and Christopher D </w:t>
      </w:r>
      <w:proofErr w:type="spellStart"/>
      <w:r>
        <w:rPr>
          <w:rFonts w:hint="eastAsia"/>
        </w:rPr>
        <w:t>Rahn</w:t>
      </w:r>
      <w:proofErr w:type="spellEnd"/>
      <w:r>
        <w:rPr>
          <w:rFonts w:hint="eastAsia"/>
        </w:rPr>
        <w:t>. Model based identification of aging parameters in lithium ion batteries.</w:t>
      </w:r>
    </w:p>
    <w:p w14:paraId="4DD0BDE6" w14:textId="77777777" w:rsidR="008B78E0" w:rsidRDefault="008B78E0" w:rsidP="008B78E0">
      <w:pPr>
        <w:ind w:firstLine="420"/>
      </w:pPr>
      <w:r>
        <w:rPr>
          <w:rFonts w:hint="eastAsia"/>
        </w:rPr>
        <w:t>Journal of power sources, 232:79–85, 2013.</w:t>
      </w:r>
    </w:p>
    <w:p w14:paraId="5C120987" w14:textId="77777777" w:rsidR="008B78E0" w:rsidRDefault="008B78E0" w:rsidP="008B78E0">
      <w:pPr>
        <w:ind w:firstLine="420"/>
      </w:pPr>
      <w:r>
        <w:rPr>
          <w:rFonts w:hint="eastAsia"/>
        </w:rPr>
        <w:t xml:space="preserve">[24] Kristen A Severson, Peter M Attia, Norman </w:t>
      </w:r>
      <w:proofErr w:type="spellStart"/>
      <w:r>
        <w:rPr>
          <w:rFonts w:hint="eastAsia"/>
        </w:rPr>
        <w:t>Jin</w:t>
      </w:r>
      <w:proofErr w:type="spellEnd"/>
      <w:r>
        <w:rPr>
          <w:rFonts w:hint="eastAsia"/>
        </w:rPr>
        <w:t xml:space="preserve">, Nicholas Perkins, Benben Jiang, Zi </w:t>
      </w:r>
      <w:r>
        <w:rPr>
          <w:rFonts w:hint="eastAsia"/>
        </w:rPr>
        <w:lastRenderedPageBreak/>
        <w:t xml:space="preserve">Yang, Michael H Chen, </w:t>
      </w:r>
      <w:proofErr w:type="spellStart"/>
      <w:r>
        <w:rPr>
          <w:rFonts w:hint="eastAsia"/>
        </w:rPr>
        <w:t>Muratahan</w:t>
      </w:r>
      <w:proofErr w:type="spellEnd"/>
      <w:r>
        <w:rPr>
          <w:rFonts w:hint="eastAsia"/>
        </w:rPr>
        <w:t xml:space="preserve"> </w:t>
      </w:r>
      <w:proofErr w:type="spellStart"/>
      <w:r>
        <w:rPr>
          <w:rFonts w:hint="eastAsia"/>
        </w:rPr>
        <w:t>Aykol</w:t>
      </w:r>
      <w:proofErr w:type="spellEnd"/>
      <w:r>
        <w:rPr>
          <w:rFonts w:hint="eastAsia"/>
        </w:rPr>
        <w:t xml:space="preserve">, Patrick K Herring, </w:t>
      </w:r>
      <w:proofErr w:type="spellStart"/>
      <w:r>
        <w:rPr>
          <w:rFonts w:hint="eastAsia"/>
        </w:rPr>
        <w:t>Dimitrios</w:t>
      </w:r>
      <w:proofErr w:type="spellEnd"/>
      <w:r>
        <w:rPr>
          <w:rFonts w:hint="eastAsia"/>
        </w:rPr>
        <w:t xml:space="preserve"> </w:t>
      </w:r>
      <w:proofErr w:type="spellStart"/>
      <w:r>
        <w:rPr>
          <w:rFonts w:hint="eastAsia"/>
        </w:rPr>
        <w:t>Fraggedakis</w:t>
      </w:r>
      <w:proofErr w:type="spellEnd"/>
      <w:r>
        <w:rPr>
          <w:rFonts w:hint="eastAsia"/>
        </w:rPr>
        <w:t>, et al Data-driven prediction of battery cycle life before capacity degradation. Nature Energy, 4(5):383, 2019.</w:t>
      </w:r>
    </w:p>
    <w:p w14:paraId="3B046C3D" w14:textId="77777777" w:rsidR="008B78E0" w:rsidRDefault="008B78E0" w:rsidP="008B78E0">
      <w:pPr>
        <w:ind w:firstLine="420"/>
      </w:pPr>
      <w:r>
        <w:rPr>
          <w:rFonts w:hint="eastAsia"/>
        </w:rPr>
        <w:t xml:space="preserve">[25] Bhaskar </w:t>
      </w:r>
      <w:proofErr w:type="spellStart"/>
      <w:r>
        <w:rPr>
          <w:rFonts w:hint="eastAsia"/>
        </w:rPr>
        <w:t>Saha</w:t>
      </w:r>
      <w:proofErr w:type="spellEnd"/>
      <w:r>
        <w:rPr>
          <w:rFonts w:hint="eastAsia"/>
        </w:rPr>
        <w:t xml:space="preserve">, Kai Goebel, Scott Poll, and Jon </w:t>
      </w:r>
      <w:proofErr w:type="spellStart"/>
      <w:r>
        <w:rPr>
          <w:rFonts w:hint="eastAsia"/>
        </w:rPr>
        <w:t>Christophersen</w:t>
      </w:r>
      <w:proofErr w:type="spellEnd"/>
      <w:r>
        <w:rPr>
          <w:rFonts w:hint="eastAsia"/>
        </w:rPr>
        <w:t xml:space="preserve">. Prognostics methods for battery health monitoring using a </w:t>
      </w:r>
      <w:proofErr w:type="spellStart"/>
      <w:r>
        <w:rPr>
          <w:rFonts w:hint="eastAsia"/>
        </w:rPr>
        <w:t>bayesian</w:t>
      </w:r>
      <w:proofErr w:type="spellEnd"/>
      <w:r>
        <w:rPr>
          <w:rFonts w:hint="eastAsia"/>
        </w:rPr>
        <w:t xml:space="preserve"> framework. IEEE Transactions on instrumentation and measurement, 58(2):291–296, 2008.</w:t>
      </w:r>
    </w:p>
    <w:p w14:paraId="33B94517" w14:textId="77777777" w:rsidR="008B78E0" w:rsidRDefault="008B78E0" w:rsidP="008B78E0">
      <w:pPr>
        <w:ind w:firstLine="420"/>
      </w:pPr>
      <w:r>
        <w:rPr>
          <w:rFonts w:hint="eastAsia"/>
        </w:rPr>
        <w:t xml:space="preserve">[26] Kai Goebel, Bhaskar </w:t>
      </w:r>
      <w:proofErr w:type="spellStart"/>
      <w:r>
        <w:rPr>
          <w:rFonts w:hint="eastAsia"/>
        </w:rPr>
        <w:t>Saha</w:t>
      </w:r>
      <w:proofErr w:type="spellEnd"/>
      <w:r>
        <w:rPr>
          <w:rFonts w:hint="eastAsia"/>
        </w:rPr>
        <w:t xml:space="preserve">, Abhinav Saxena, Jose R Celaya, and Jon P </w:t>
      </w:r>
      <w:proofErr w:type="spellStart"/>
      <w:r>
        <w:rPr>
          <w:rFonts w:hint="eastAsia"/>
        </w:rPr>
        <w:t>Christophersen</w:t>
      </w:r>
      <w:proofErr w:type="spellEnd"/>
      <w:r>
        <w:rPr>
          <w:rFonts w:hint="eastAsia"/>
        </w:rPr>
        <w:t>. Prognostics in battery health management. IEEE instrumentation &amp; measurement magazine, 11(4):33–40, 2008.</w:t>
      </w:r>
    </w:p>
    <w:p w14:paraId="659C5088" w14:textId="77777777" w:rsidR="008B78E0" w:rsidRDefault="008B78E0" w:rsidP="008B78E0">
      <w:pPr>
        <w:ind w:firstLine="420"/>
      </w:pPr>
      <w:r>
        <w:rPr>
          <w:rFonts w:hint="eastAsia"/>
        </w:rPr>
        <w:t xml:space="preserve">[27] </w:t>
      </w:r>
      <w:proofErr w:type="spellStart"/>
      <w:r>
        <w:rPr>
          <w:rFonts w:hint="eastAsia"/>
        </w:rPr>
        <w:t>Xiaosong</w:t>
      </w:r>
      <w:proofErr w:type="spellEnd"/>
      <w:r>
        <w:rPr>
          <w:rFonts w:hint="eastAsia"/>
        </w:rPr>
        <w:t xml:space="preserve"> Hu, </w:t>
      </w:r>
      <w:proofErr w:type="spellStart"/>
      <w:r>
        <w:rPr>
          <w:rFonts w:hint="eastAsia"/>
        </w:rPr>
        <w:t>Jiuchun</w:t>
      </w:r>
      <w:proofErr w:type="spellEnd"/>
      <w:r>
        <w:rPr>
          <w:rFonts w:hint="eastAsia"/>
        </w:rPr>
        <w:t xml:space="preserve"> Jiang, </w:t>
      </w:r>
      <w:proofErr w:type="spellStart"/>
      <w:r>
        <w:rPr>
          <w:rFonts w:hint="eastAsia"/>
        </w:rPr>
        <w:t>Dongpu</w:t>
      </w:r>
      <w:proofErr w:type="spellEnd"/>
      <w:r>
        <w:rPr>
          <w:rFonts w:hint="eastAsia"/>
        </w:rPr>
        <w:t xml:space="preserve"> Cao, and Bo </w:t>
      </w:r>
      <w:proofErr w:type="spellStart"/>
      <w:r>
        <w:rPr>
          <w:rFonts w:hint="eastAsia"/>
        </w:rPr>
        <w:t>Egardt</w:t>
      </w:r>
      <w:proofErr w:type="spellEnd"/>
      <w:r>
        <w:rPr>
          <w:rFonts w:hint="eastAsia"/>
        </w:rPr>
        <w:t xml:space="preserve">. Battery health prognosis for electric vehicles using sample entropy and sparse </w:t>
      </w:r>
      <w:proofErr w:type="spellStart"/>
      <w:r>
        <w:rPr>
          <w:rFonts w:hint="eastAsia"/>
        </w:rPr>
        <w:t>bayesian</w:t>
      </w:r>
      <w:proofErr w:type="spellEnd"/>
      <w:r>
        <w:rPr>
          <w:rFonts w:hint="eastAsia"/>
        </w:rPr>
        <w:t xml:space="preserve"> predictive modeling. IEEE Transactions on Industrial Electronics, 63(4):2645– 2656, 2015.</w:t>
      </w:r>
    </w:p>
    <w:p w14:paraId="38CA4EB1" w14:textId="77777777" w:rsidR="008B78E0" w:rsidRDefault="008B78E0" w:rsidP="008B78E0">
      <w:pPr>
        <w:ind w:firstLine="420"/>
      </w:pPr>
      <w:r>
        <w:rPr>
          <w:rFonts w:hint="eastAsia"/>
        </w:rPr>
        <w:t xml:space="preserve">[28] Verena </w:t>
      </w:r>
      <w:proofErr w:type="spellStart"/>
      <w:r>
        <w:rPr>
          <w:rFonts w:hint="eastAsia"/>
        </w:rPr>
        <w:t>Klass</w:t>
      </w:r>
      <w:proofErr w:type="spellEnd"/>
      <w:r>
        <w:rPr>
          <w:rFonts w:hint="eastAsia"/>
        </w:rPr>
        <w:t xml:space="preserve">, </w:t>
      </w:r>
      <w:proofErr w:type="spellStart"/>
      <w:r>
        <w:rPr>
          <w:rFonts w:hint="eastAsia"/>
        </w:rPr>
        <w:t>Mårten</w:t>
      </w:r>
      <w:proofErr w:type="spellEnd"/>
      <w:r>
        <w:rPr>
          <w:rFonts w:hint="eastAsia"/>
        </w:rPr>
        <w:t xml:space="preserve"> </w:t>
      </w:r>
      <w:proofErr w:type="spellStart"/>
      <w:r>
        <w:rPr>
          <w:rFonts w:hint="eastAsia"/>
        </w:rPr>
        <w:t>Behm</w:t>
      </w:r>
      <w:proofErr w:type="spellEnd"/>
      <w:r>
        <w:rPr>
          <w:rFonts w:hint="eastAsia"/>
        </w:rPr>
        <w:t xml:space="preserve">, and </w:t>
      </w:r>
      <w:proofErr w:type="spellStart"/>
      <w:r>
        <w:rPr>
          <w:rFonts w:hint="eastAsia"/>
        </w:rPr>
        <w:t>Göran</w:t>
      </w:r>
      <w:proofErr w:type="spellEnd"/>
      <w:r>
        <w:rPr>
          <w:rFonts w:hint="eastAsia"/>
        </w:rPr>
        <w:t xml:space="preserve"> Lindbergh. A support vector machine-based state-of-health estimation method for lithium-ion batteries under electric vehicle operation. Journal of Power Sources, 270:262–272, 2014</w:t>
      </w:r>
    </w:p>
    <w:p w14:paraId="4439BB9C" w14:textId="77777777" w:rsidR="008B78E0" w:rsidRDefault="008B78E0" w:rsidP="008B78E0">
      <w:pPr>
        <w:ind w:firstLine="420"/>
      </w:pPr>
      <w:r>
        <w:rPr>
          <w:rFonts w:hint="eastAsia"/>
        </w:rPr>
        <w:t xml:space="preserve">[29] Peter M Attia, Aditya Grover, Norman </w:t>
      </w:r>
      <w:proofErr w:type="spellStart"/>
      <w:r>
        <w:rPr>
          <w:rFonts w:hint="eastAsia"/>
        </w:rPr>
        <w:t>Jin</w:t>
      </w:r>
      <w:proofErr w:type="spellEnd"/>
      <w:r>
        <w:rPr>
          <w:rFonts w:hint="eastAsia"/>
        </w:rPr>
        <w:t>, Kristen A Severson, Todor M Markov, Yang-Hung Liao, Michael H Chen, Bryan Cheong, Nicholas Perkins, Zi Yang, et al Closed-loop optimization of fast-charging protocols for batteries with machine learning. Nature, 578(7795):397–402, 2020.</w:t>
      </w:r>
    </w:p>
    <w:p w14:paraId="75DF2B4E" w14:textId="77777777" w:rsidR="008B78E0" w:rsidRDefault="008B78E0" w:rsidP="008B78E0">
      <w:pPr>
        <w:ind w:firstLine="420"/>
      </w:pPr>
      <w:r>
        <w:rPr>
          <w:rFonts w:hint="eastAsia"/>
        </w:rPr>
        <w:t>[</w:t>
      </w:r>
      <w:proofErr w:type="gramStart"/>
      <w:r>
        <w:rPr>
          <w:rFonts w:hint="eastAsia"/>
        </w:rPr>
        <w:t>30]Detection</w:t>
      </w:r>
      <w:proofErr w:type="gramEnd"/>
      <w:r>
        <w:rPr>
          <w:rFonts w:hint="eastAsia"/>
        </w:rPr>
        <w:t xml:space="preserve"> of Abrupt Changes of Total Least Squares Models and Application in Fault Detection</w:t>
      </w:r>
    </w:p>
    <w:p w14:paraId="0D8D5529" w14:textId="77777777" w:rsidR="008B78E0" w:rsidRDefault="008B78E0" w:rsidP="008B78E0">
      <w:pPr>
        <w:ind w:firstLine="420"/>
      </w:pPr>
      <w:r>
        <w:rPr>
          <w:rFonts w:hint="eastAsia"/>
        </w:rPr>
        <w:t xml:space="preserve">[31] S. Van </w:t>
      </w:r>
      <w:proofErr w:type="spellStart"/>
      <w:r>
        <w:rPr>
          <w:rFonts w:hint="eastAsia"/>
        </w:rPr>
        <w:t>Huffel</w:t>
      </w:r>
      <w:proofErr w:type="spellEnd"/>
      <w:r>
        <w:rPr>
          <w:rFonts w:hint="eastAsia"/>
        </w:rPr>
        <w:t>, “</w:t>
      </w:r>
      <w:proofErr w:type="spellStart"/>
      <w:r>
        <w:rPr>
          <w:rFonts w:hint="eastAsia"/>
        </w:rPr>
        <w:t>Tls</w:t>
      </w:r>
      <w:proofErr w:type="spellEnd"/>
      <w:r>
        <w:rPr>
          <w:rFonts w:hint="eastAsia"/>
        </w:rPr>
        <w:t xml:space="preserve"> applications in biomedical signal processing,” in Recent Advances in Total Least Squares Techniques and Error-in-Variables Modeling, S. Van </w:t>
      </w:r>
      <w:proofErr w:type="spellStart"/>
      <w:r>
        <w:rPr>
          <w:rFonts w:hint="eastAsia"/>
        </w:rPr>
        <w:t>Huffel</w:t>
      </w:r>
      <w:proofErr w:type="spellEnd"/>
      <w:r>
        <w:rPr>
          <w:rFonts w:hint="eastAsia"/>
        </w:rPr>
        <w:t>, Ed. Philadelphia, PA: SIAM, 1997</w:t>
      </w:r>
    </w:p>
    <w:p w14:paraId="0208C942" w14:textId="77777777" w:rsidR="008B78E0" w:rsidRDefault="008B78E0" w:rsidP="008B78E0">
      <w:pPr>
        <w:ind w:firstLine="420"/>
      </w:pPr>
      <w:r>
        <w:rPr>
          <w:rFonts w:hint="eastAsia"/>
        </w:rPr>
        <w:t xml:space="preserve">[32] S. Van </w:t>
      </w:r>
      <w:proofErr w:type="spellStart"/>
      <w:r>
        <w:rPr>
          <w:rFonts w:hint="eastAsia"/>
        </w:rPr>
        <w:t>Huffel</w:t>
      </w:r>
      <w:proofErr w:type="spellEnd"/>
      <w:r>
        <w:rPr>
          <w:rFonts w:hint="eastAsia"/>
        </w:rPr>
        <w:t xml:space="preserve"> and J. </w:t>
      </w:r>
      <w:proofErr w:type="spellStart"/>
      <w:r>
        <w:rPr>
          <w:rFonts w:hint="eastAsia"/>
        </w:rPr>
        <w:t>Vandewalle</w:t>
      </w:r>
      <w:proofErr w:type="spellEnd"/>
      <w:r>
        <w:rPr>
          <w:rFonts w:hint="eastAsia"/>
        </w:rPr>
        <w:t>, Frontiers in Applied Mathematics: The Total Least Squares Problem—Computational Aspects and Analysis. Philadelphia, PA: SIAM, 1991.</w:t>
      </w:r>
    </w:p>
    <w:p w14:paraId="261DA7C5" w14:textId="77777777" w:rsidR="008B78E0" w:rsidRDefault="008B78E0" w:rsidP="008B78E0">
      <w:pPr>
        <w:ind w:firstLine="420"/>
      </w:pPr>
      <w:r>
        <w:rPr>
          <w:rFonts w:hint="eastAsia"/>
        </w:rPr>
        <w:t xml:space="preserve">[33] B. Huang, “System identification based on last principal components analysis,” in Proc. IFAC’99 World </w:t>
      </w:r>
      <w:proofErr w:type="spellStart"/>
      <w:r>
        <w:rPr>
          <w:rFonts w:hint="eastAsia"/>
        </w:rPr>
        <w:t>Congr</w:t>
      </w:r>
      <w:proofErr w:type="spellEnd"/>
      <w:r>
        <w:rPr>
          <w:rFonts w:hint="eastAsia"/>
        </w:rPr>
        <w:t>., Beijing, China, July 1999, pp. 211–216.</w:t>
      </w:r>
    </w:p>
    <w:p w14:paraId="4EE2615D" w14:textId="77777777" w:rsidR="00EB7639" w:rsidRDefault="00EB7639">
      <w:pPr>
        <w:ind w:firstLine="420"/>
      </w:pPr>
    </w:p>
    <w:sectPr w:rsidR="00EB7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66"/>
    <w:rsid w:val="005E7E28"/>
    <w:rsid w:val="008B78E0"/>
    <w:rsid w:val="00BD5E66"/>
    <w:rsid w:val="00EB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B90D"/>
  <w15:chartTrackingRefBased/>
  <w15:docId w15:val="{A1B3CC5D-8711-41D8-BA24-EC3956EA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78E0"/>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Char">
    <w:name w:val="Text Char"/>
    <w:link w:val="Text"/>
    <w:qFormat/>
    <w:locked/>
    <w:rsid w:val="008B78E0"/>
    <w:rPr>
      <w:rFonts w:ascii="Times New Roman" w:hAnsi="Times New Roman" w:cs="Times New Roman"/>
      <w:kern w:val="0"/>
      <w:sz w:val="20"/>
      <w:szCs w:val="20"/>
      <w:lang w:eastAsia="en-US"/>
    </w:rPr>
  </w:style>
  <w:style w:type="paragraph" w:customStyle="1" w:styleId="Text">
    <w:name w:val="Text"/>
    <w:basedOn w:val="a"/>
    <w:link w:val="TextChar"/>
    <w:qFormat/>
    <w:rsid w:val="008B78E0"/>
    <w:pPr>
      <w:spacing w:line="252" w:lineRule="auto"/>
      <w:ind w:firstLineChars="0" w:firstLine="202"/>
    </w:pPr>
    <w:rPr>
      <w:rFonts w:ascii="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3</cp:revision>
  <dcterms:created xsi:type="dcterms:W3CDTF">2024-01-02T05:32:00Z</dcterms:created>
  <dcterms:modified xsi:type="dcterms:W3CDTF">2024-01-02T05:35:00Z</dcterms:modified>
</cp:coreProperties>
</file>