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智慧课程协同平台 需求与详细设计说明书</w:t>
      </w:r>
    </w:p>
    <w:p>
      <w:r>
        <w:rPr>
          <w:b/>
        </w:rPr>
        <w:t>版本：v1.1</w:t>
        <w:br/>
      </w:r>
      <w:r>
        <w:t>日期：2025-11-04</w:t>
        <w:br/>
      </w:r>
      <w:r>
        <w:t>编写人：课程设计项目组</w:t>
        <w:br/>
      </w:r>
      <w:r>
        <w:rPr>
          <w:i/>
        </w:rPr>
        <w:t>保密等级：内部</w:t>
      </w:r>
    </w:p>
    <w:p>
      <w:pPr>
        <w:pStyle w:val="Heading1"/>
      </w:pPr>
      <w:r>
        <w:t>0. 文档介绍</w:t>
      </w:r>
    </w:p>
    <w:p>
      <w:pPr>
        <w:pStyle w:val="Heading2"/>
      </w:pPr>
      <w:r>
        <w:t>0.1 文档目的</w:t>
      </w:r>
    </w:p>
    <w:p>
      <w:r>
        <w:t>本说明书系统化描述“智慧课程协同平台”项目的需求、整体架构、模块设计、数据模型与实施计划，为开发、测试、运维与评审提供统一依据，并作为课程设计答辩材料的重要组成部分。</w:t>
      </w:r>
    </w:p>
    <w:p>
      <w:pPr>
        <w:pStyle w:val="Heading2"/>
      </w:pPr>
      <w:r>
        <w:t>0.2 文档范围</w:t>
      </w:r>
    </w:p>
    <w:p>
      <w:r>
        <w:t>文档覆盖项目背景、用户画像、功能与非功能需求、系统架构、业务流程、接口协议、数据库设计、部署运维策略及测试计划，不包含源代码、运行日志与测试报告。</w:t>
      </w:r>
    </w:p>
    <w:p>
      <w:pPr>
        <w:pStyle w:val="Heading2"/>
      </w:pPr>
      <w:r>
        <w:t>0.3 读者对象</w:t>
      </w:r>
    </w:p>
    <w:p>
      <w:pPr>
        <w:pStyle w:val="ListBullet"/>
      </w:pPr>
      <w:r>
        <w:t>指导教师与评审专家</w:t>
      </w:r>
    </w:p>
    <w:p>
      <w:pPr>
        <w:pStyle w:val="ListBullet"/>
      </w:pPr>
      <w:r>
        <w:t>课程设计开发团队成员</w:t>
      </w:r>
    </w:p>
    <w:p>
      <w:pPr>
        <w:pStyle w:val="ListBullet"/>
      </w:pPr>
      <w:r>
        <w:t>测试与运维工程师</w:t>
      </w:r>
    </w:p>
    <w:p>
      <w:pPr>
        <w:pStyle w:val="ListBullet"/>
      </w:pPr>
      <w:r>
        <w:t>课程管理员及后续维护人员</w:t>
      </w:r>
    </w:p>
    <w:p>
      <w:pPr>
        <w:pStyle w:val="Heading2"/>
      </w:pPr>
      <w:r>
        <w:t>0.4 参考文档</w:t>
      </w:r>
    </w:p>
    <w:p>
      <w:pPr>
        <w:pStyle w:val="ListBullet"/>
      </w:pPr>
      <w:r>
        <w:t>学校软件工程课程设计指导书</w:t>
      </w:r>
    </w:p>
    <w:p>
      <w:pPr>
        <w:pStyle w:val="ListBullet"/>
      </w:pPr>
      <w:r>
        <w:t>IEEE SRS 模板</w:t>
      </w:r>
    </w:p>
    <w:p>
      <w:pPr>
        <w:pStyle w:val="ListBullet"/>
      </w:pPr>
      <w:r>
        <w:t>《软件工程（第10版）》教材</w:t>
      </w:r>
    </w:p>
    <w:p>
      <w:pPr>
        <w:pStyle w:val="ListBullet"/>
      </w:pPr>
      <w:r>
        <w:t>Bootstrap 5 设计规范</w:t>
      </w:r>
    </w:p>
    <w:p>
      <w:pPr>
        <w:pStyle w:val="ListBullet"/>
      </w:pPr>
      <w:r>
        <w:t>PostgreSQL 官方文档</w:t>
      </w:r>
    </w:p>
    <w:p>
      <w:pPr>
        <w:pStyle w:val="ListBullet"/>
      </w:pPr>
      <w:r>
        <w:t>项目组会议纪要、原型与决策记录</w:t>
      </w:r>
    </w:p>
    <w:p>
      <w:pPr>
        <w:pStyle w:val="Heading2"/>
      </w:pPr>
      <w:r>
        <w:t>0.5 术语与缩写解释</w:t>
      </w:r>
    </w:p>
    <w:p>
      <w:pPr>
        <w:pStyle w:val="ListBullet"/>
      </w:pPr>
      <w:r>
        <w:t>UI：User Interface，用户界面</w:t>
      </w:r>
    </w:p>
    <w:p>
      <w:pPr>
        <w:pStyle w:val="ListBullet"/>
      </w:pPr>
      <w:r>
        <w:t>REST：Representational State Transfer，表述性状态传递</w:t>
      </w:r>
    </w:p>
    <w:p>
      <w:pPr>
        <w:pStyle w:val="ListBullet"/>
      </w:pPr>
      <w:r>
        <w:t>RBAC：Role-Based Access Control，基于角色的访问控制</w:t>
      </w:r>
    </w:p>
    <w:p>
      <w:pPr>
        <w:pStyle w:val="ListBullet"/>
      </w:pPr>
      <w:r>
        <w:t>KPI：Key Performance Indicator，关键绩效指标</w:t>
      </w:r>
    </w:p>
    <w:p>
      <w:pPr>
        <w:pStyle w:val="ListBullet"/>
      </w:pPr>
      <w:r>
        <w:t>SLA：Service Level Agreement，服务级别协议</w:t>
      </w:r>
    </w:p>
    <w:p>
      <w:pPr>
        <w:pStyle w:val="ListBullet"/>
      </w:pPr>
      <w:r>
        <w:t>SSO：Single Sign-On，单点登录</w:t>
      </w:r>
    </w:p>
    <w:p>
      <w:pPr>
        <w:pStyle w:val="ListBullet"/>
      </w:pPr>
      <w:r>
        <w:t>CI/CD：持续集成 / 持续交付</w:t>
      </w:r>
    </w:p>
    <w:p>
      <w:pPr>
        <w:pStyle w:val="Heading1"/>
      </w:pPr>
      <w:r>
        <w:t>1. 产品介绍</w:t>
      </w:r>
    </w:p>
    <w:p>
      <w:r>
        <w:t>“智慧课程协同平台”整合课程资源、作业流转、学习分析与多渠道通知，致力于解决传统课程设计场景中信息分散、统计困难与反馈周期长的问题。系统以云原生架构构建，强调高可用性、可扩展性与可维护性。</w:t>
      </w:r>
    </w:p>
    <w:p>
      <w:pPr>
        <w:pStyle w:val="Heading2"/>
      </w:pPr>
      <w:r>
        <w:t>1.1 建设目标</w:t>
      </w:r>
    </w:p>
    <w:p>
      <w:r>
        <w:t>构建统一的课程协同门户，使教师、学生与管理员在同一平台完成资源共享、作业管理、数据分析与通知推送，预期将作业准时提交率提升 20%，教师批阅效率提升 30%。</w:t>
      </w:r>
    </w:p>
    <w:p>
      <w:pPr>
        <w:pStyle w:val="Heading2"/>
      </w:pPr>
      <w:r>
        <w:t>1.2 核心价值</w:t>
      </w:r>
    </w:p>
    <w:p>
      <w:r>
        <w:t>提供一站式协作体验、实时数据洞察、跨端通知、可配置策略，并对接学校统一身份认证体系。</w:t>
      </w:r>
    </w:p>
    <w:p>
      <w:pPr>
        <w:pStyle w:val="Heading2"/>
      </w:pPr>
      <w:r>
        <w:t>1.3 系统架构概览</w:t>
      </w:r>
    </w:p>
    <w:p>
      <w:r>
        <w:t>前端采用 Vue 3 + Vite，后端基于 Spring Boot 微服务体系，PostgreSQL 作为核心数据库，Redis 缓存热点数据，RabbitMQ 完成事件异步解耦，整套系统部署在学校私有云 Kubernetes 集群。</w:t>
      </w:r>
    </w:p>
    <w:p>
      <w:pPr>
        <w:pStyle w:val="Heading2"/>
      </w:pPr>
      <w:r>
        <w:t>1.4 发布计划</w:t>
      </w:r>
    </w:p>
    <w:p>
      <w:r>
        <w:t>Sprint1（第2周）：完成认证、课程列表与基础数据。Sprint2（第4周）：交付资源管理与作业流程。Sprint3（第6周）：上线学习分析与通知中心。第8周举行课程验收与答辩。</w:t>
      </w:r>
    </w:p>
    <w:p>
      <w:pPr>
        <w:pStyle w:val="Heading1"/>
      </w:pPr>
      <w:r>
        <w:t>2. 产品面向的用户群体</w:t>
      </w:r>
    </w:p>
    <w:p>
      <w:pPr>
        <w:pStyle w:val="ListBullet"/>
      </w:pPr>
      <w:r>
        <w:t>学生：大二至大四课程设计学生，每周登录 3-5 次，关注作业提醒、提交状态、成绩反馈与讨论互动。</w:t>
      </w:r>
    </w:p>
    <w:p>
      <w:pPr>
        <w:pStyle w:val="ListBullet"/>
      </w:pPr>
      <w:r>
        <w:t>教师：授课教师与助教，负责布置作业、批阅、统计成绩，需要移动端快速审批。</w:t>
      </w:r>
    </w:p>
    <w:p>
      <w:pPr>
        <w:pStyle w:val="ListBullet"/>
      </w:pPr>
      <w:r>
        <w:t>课程管理员：教学秘书，维护课程、处理选课、导出报表，关注数据准确性与权限控制。</w:t>
      </w:r>
    </w:p>
    <w:p>
      <w:pPr>
        <w:pStyle w:val="ListBullet"/>
      </w:pPr>
      <w:r>
        <w:t>用户痛点：传统平台提醒不及时、作业统计繁琐、缺乏学习数据反馈，平台通过统一门户、工作流自动化与仪表盘可视化解决上述痛点。</w:t>
      </w:r>
    </w:p>
    <w:p>
      <w:pPr>
        <w:pStyle w:val="Heading1"/>
      </w:pPr>
      <w:r>
        <w:t>3. 产品应遵循的标准</w:t>
      </w:r>
    </w:p>
    <w:p>
      <w:pPr>
        <w:pStyle w:val="ListBullet"/>
      </w:pPr>
      <w:r>
        <w:t>开发规范：遵循学校命名规范与代码审查标准，前端遵循学院 UI 色板、组件使用与排版规范。</w:t>
      </w:r>
    </w:p>
    <w:p>
      <w:pPr>
        <w:pStyle w:val="ListBullet"/>
      </w:pPr>
      <w:r>
        <w:t>安全隐私：符合高校信息化安全标准，数据传输强制 HTTPS，敏感字段采用 AES-256 加密存储，所有访问日志保留 180 天。</w:t>
      </w:r>
    </w:p>
    <w:p>
      <w:pPr>
        <w:pStyle w:val="ListBullet"/>
      </w:pPr>
      <w:r>
        <w:t>可访问性：对齐 WCAG 2.1 AA 要求，提供键盘导航、辅助标签与高对比度模式。</w:t>
      </w:r>
    </w:p>
    <w:p>
      <w:pPr>
        <w:pStyle w:val="ListBullet"/>
      </w:pPr>
      <w:r>
        <w:t>兼容性：支持 Chrome/Firefox/Edge ≥110、Safari ≥15，移动端适配 iOS15、Android11。</w:t>
      </w:r>
    </w:p>
    <w:p>
      <w:pPr>
        <w:pStyle w:val="ListBullet"/>
      </w:pPr>
      <w:r>
        <w:t>接口规范：RESTful JSON 接口遵守 RFC 9110，使用 OpenAPI 3.0 描述并自动生成文档。</w:t>
      </w:r>
    </w:p>
    <w:p>
      <w:pPr>
        <w:pStyle w:val="Heading1"/>
      </w:pPr>
      <w:r>
        <w:t>4. 产品的功能性需求</w:t>
      </w:r>
    </w:p>
    <w:p>
      <w:r>
        <w:t>系统核心功能按照六大模块划分如下。</w:t>
      </w:r>
    </w:p>
    <w:p>
      <w:pPr>
        <w:pStyle w:val="ListBullet"/>
      </w:pPr>
      <w:r>
        <w:t>F1 用户与权限管理</w:t>
      </w:r>
    </w:p>
    <w:p>
      <w:pPr>
        <w:pStyle w:val="ListBullet"/>
      </w:pPr>
      <w:r>
        <w:t>F2 课程与资源管理</w:t>
      </w:r>
    </w:p>
    <w:p>
      <w:pPr>
        <w:pStyle w:val="ListBullet"/>
      </w:pPr>
      <w:r>
        <w:t>F3 作业与批阅流程</w:t>
      </w:r>
    </w:p>
    <w:p>
      <w:pPr>
        <w:pStyle w:val="ListBullet"/>
      </w:pPr>
      <w:r>
        <w:t>F4 学习数据分析</w:t>
      </w:r>
    </w:p>
    <w:p>
      <w:pPr>
        <w:pStyle w:val="ListBullet"/>
      </w:pPr>
      <w:r>
        <w:t>F5 消息通知与互动</w:t>
      </w:r>
    </w:p>
    <w:p>
      <w:pPr>
        <w:pStyle w:val="ListBullet"/>
      </w:pPr>
      <w:r>
        <w:t>F6 系统运维与监控</w:t>
      </w:r>
    </w:p>
    <w:p>
      <w:pPr>
        <w:pStyle w:val="Heading2"/>
      </w:pPr>
      <w:r>
        <w:t>F1 用户与权限管理</w:t>
      </w:r>
    </w:p>
    <w:p>
      <w:pPr>
        <w:pStyle w:val="ListBullet"/>
      </w:pPr>
      <w:r>
        <w:t>统一登录：支持学校 SSO 与平台账号，失败 5 次锁定 30 分钟，返回 JWT 与刷新令牌。</w:t>
      </w:r>
    </w:p>
    <w:p>
      <w:pPr>
        <w:pStyle w:val="ListBullet"/>
      </w:pPr>
      <w:r>
        <w:t>角色管理：管理员按角色配置菜单与接口权限，支持自定义角色与权限继承。</w:t>
      </w:r>
    </w:p>
    <w:p>
      <w:pPr>
        <w:pStyle w:val="ListBullet"/>
      </w:pPr>
      <w:r>
        <w:t>用户同步：每日 02:00 调用教务系统 API，同步课程成员；失败自动重试并发送报警。</w:t>
      </w:r>
    </w:p>
    <w:p>
      <w:pPr>
        <w:pStyle w:val="ListBullet"/>
      </w:pPr>
      <w:r>
        <w:t>权限审计：记录用户关键访问行为，为安全审计提供依据。</w:t>
      </w:r>
    </w:p>
    <w:p>
      <w:pPr>
        <w:pStyle w:val="Heading2"/>
      </w:pPr>
      <w:r>
        <w:t>F2 课程与资源管理</w:t>
      </w:r>
    </w:p>
    <w:p>
      <w:pPr>
        <w:pStyle w:val="ListBullet"/>
      </w:pPr>
      <w:r>
        <w:t>课程空间创建：教师创建课程并设置班级、学期、标签，管理员审核后公开。</w:t>
      </w:r>
    </w:p>
    <w:p>
      <w:pPr>
        <w:pStyle w:val="ListBullet"/>
      </w:pPr>
      <w:r>
        <w:t>资源上传与版本控制：单文件 ≤500MB，自动生成预览，保留最近 5 个版本并支持回滚。</w:t>
      </w:r>
    </w:p>
    <w:p>
      <w:pPr>
        <w:pStyle w:val="ListBullet"/>
      </w:pPr>
      <w:r>
        <w:t>标签检索与收藏：支持多条件筛选、收藏与常用资源快捷访问。</w:t>
      </w:r>
    </w:p>
    <w:p>
      <w:pPr>
        <w:pStyle w:val="ListBullet"/>
      </w:pPr>
      <w:r>
        <w:t>资源权限：区分公共资源与班级独享资源，开放接口供 LMS 集成。</w:t>
      </w:r>
    </w:p>
    <w:p>
      <w:pPr>
        <w:pStyle w:val="Heading2"/>
      </w:pPr>
      <w:r>
        <w:t>F3 作业与批阅流程</w:t>
      </w:r>
    </w:p>
    <w:p>
      <w:pPr>
        <w:pStyle w:val="ListBullet"/>
      </w:pPr>
      <w:r>
        <w:t>作业布置：配置题目、截止时间、评分 Rubric，支持从模板库导入。</w:t>
      </w:r>
    </w:p>
    <w:p>
      <w:pPr>
        <w:pStyle w:val="ListBullet"/>
      </w:pPr>
      <w:r>
        <w:t>学生提交：多附件上传、自动保存草稿，截止前允许覆盖提交并保留历史。</w:t>
      </w:r>
    </w:p>
    <w:p>
      <w:pPr>
        <w:pStyle w:val="ListBullet"/>
      </w:pPr>
      <w:r>
        <w:t>批阅与反馈：教师在线批注、评分、批量下载；可引用 Rubric 快速评分。</w:t>
      </w:r>
    </w:p>
    <w:p>
      <w:pPr>
        <w:pStyle w:val="ListBullet"/>
      </w:pPr>
      <w:r>
        <w:t>迟交处理：内置固定扣分、比例扣分、人工审批策略，并记录扣分原因。</w:t>
      </w:r>
    </w:p>
    <w:p>
      <w:pPr>
        <w:pStyle w:val="Heading2"/>
      </w:pPr>
      <w:r>
        <w:t>F4 学习数据分析</w:t>
      </w:r>
    </w:p>
    <w:p>
      <w:pPr>
        <w:pStyle w:val="ListBullet"/>
      </w:pPr>
      <w:r>
        <w:t>班级仪表盘：展示提交率、平均分、知识点掌握度热力图与滞后学生名单。</w:t>
      </w:r>
    </w:p>
    <w:p>
      <w:pPr>
        <w:pStyle w:val="ListBullet"/>
      </w:pPr>
      <w:r>
        <w:t>个人学习轨迹：展示成绩趋势、反馈历史、线上学习时长与活跃度。</w:t>
      </w:r>
    </w:p>
    <w:p>
      <w:pPr>
        <w:pStyle w:val="ListBullet"/>
      </w:pPr>
      <w:r>
        <w:t>导出报表：支持 CSV/PDF/Excel，生成时间 ≤10 秒，并可邮件发送。</w:t>
      </w:r>
    </w:p>
    <w:p>
      <w:pPr>
        <w:pStyle w:val="ListBullet"/>
      </w:pPr>
      <w:r>
        <w:t>指标自定义：教师可选择 KPI 指标，如提交及时率、优秀率、活跃度等。</w:t>
      </w:r>
    </w:p>
    <w:p>
      <w:pPr>
        <w:pStyle w:val="Heading2"/>
      </w:pPr>
      <w:r>
        <w:t>F5 消息通知与互动</w:t>
      </w:r>
    </w:p>
    <w:p>
      <w:pPr>
        <w:pStyle w:val="ListBullet"/>
      </w:pPr>
      <w:r>
        <w:t>多渠道通知：在截止前 24 小时与 1 小时自动推送站内信、邮件、企业微信。</w:t>
      </w:r>
    </w:p>
    <w:p>
      <w:pPr>
        <w:pStyle w:val="ListBullet"/>
      </w:pPr>
      <w:r>
        <w:t>讨论区：按话题组织讨论，支持富文本、引用、附件与 @ 功能。</w:t>
      </w:r>
    </w:p>
    <w:p>
      <w:pPr>
        <w:pStyle w:val="ListBullet"/>
      </w:pPr>
      <w:r>
        <w:t>FAQ 智能检索：基于 TF-IDF 与关键词抽取推荐历史答案。</w:t>
      </w:r>
    </w:p>
    <w:p>
      <w:pPr>
        <w:pStyle w:val="ListBullet"/>
      </w:pPr>
      <w:r>
        <w:t>公告中心：管理员发布系统公告，支持定时发布与阅读统计。</w:t>
      </w:r>
    </w:p>
    <w:p>
      <w:pPr>
        <w:pStyle w:val="Heading2"/>
      </w:pPr>
      <w:r>
        <w:t>F6 系统运维与监控</w:t>
      </w:r>
    </w:p>
    <w:p>
      <w:pPr>
        <w:pStyle w:val="ListBullet"/>
      </w:pPr>
      <w:r>
        <w:t>健康监控：Prometheus + Grafana 全量接入，设置 CPU、内存、响应时间告警阈值。</w:t>
      </w:r>
    </w:p>
    <w:p>
      <w:pPr>
        <w:pStyle w:val="ListBullet"/>
      </w:pPr>
      <w:r>
        <w:t>日志审计：关键操作写入 Elasticsearch，提供 Kibana 可视化检索。</w:t>
      </w:r>
    </w:p>
    <w:p>
      <w:pPr>
        <w:pStyle w:val="ListBullet"/>
      </w:pPr>
      <w:r>
        <w:t>配置中心：Spring Cloud Config 存储配置，支持灰度发布与回滚。</w:t>
      </w:r>
    </w:p>
    <w:p>
      <w:pPr>
        <w:pStyle w:val="ListBullet"/>
      </w:pPr>
      <w:r>
        <w:t>备份策略：数据库每日全量 + WAL 备份，对象存储开启版本控制。</w:t>
      </w:r>
    </w:p>
    <w:p>
      <w:r>
        <w:drawing>
          <wp:inline xmlns:a="http://schemas.openxmlformats.org/drawingml/2006/main" xmlns:pic="http://schemas.openxmlformats.org/drawingml/2006/picture">
            <wp:extent cx="5029200" cy="14493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submiss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493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 学生作业提交流程图</w:t>
      </w:r>
    </w:p>
    <w:p>
      <w:pPr>
        <w:pStyle w:val="Heading1"/>
      </w:pPr>
      <w:r>
        <w:t>5. 产品的非功能性需求</w:t>
      </w:r>
    </w:p>
    <w:p>
      <w:pPr>
        <w:pStyle w:val="Heading2"/>
      </w:pPr>
      <w:r>
        <w:t>5.1 用户界面需求</w:t>
      </w:r>
    </w:p>
    <w:p>
      <w:pPr>
        <w:pStyle w:val="ListBullet"/>
      </w:pPr>
      <w:r>
        <w:t>统一蓝白配色，主字体采用思源黑体，支持暗色模式。</w:t>
      </w:r>
    </w:p>
    <w:p>
      <w:pPr>
        <w:pStyle w:val="ListBullet"/>
      </w:pPr>
      <w:r>
        <w:t>关键操作路径不超过 3 步，按钮对比度≥4.5:1，输入框提供即时校验提示。</w:t>
      </w:r>
    </w:p>
    <w:p>
      <w:pPr>
        <w:pStyle w:val="ListBullet"/>
      </w:pPr>
      <w:r>
        <w:t>提供新手引导、功能引导视频与操作手册下载，首屏渲染 ≤2 秒。</w:t>
      </w:r>
    </w:p>
    <w:p>
      <w:pPr>
        <w:pStyle w:val="Heading2"/>
      </w:pPr>
      <w:r>
        <w:t>5.2 软件环境需求</w:t>
      </w:r>
    </w:p>
    <w:p>
      <w:pPr>
        <w:pStyle w:val="ListBullet"/>
      </w:pPr>
      <w:r>
        <w:t>开发环境：JDK17、Node.js18、Vue3、Spring Boot3.2、Gradle8、PostgreSQL15。</w:t>
      </w:r>
    </w:p>
    <w:p>
      <w:pPr>
        <w:pStyle w:val="ListBullet"/>
      </w:pPr>
      <w:r>
        <w:t>运行环境：Kubernetes1.29（3 节点）、Nginx、Redis7、RabbitMQ3.12、Elastic Stack8。</w:t>
      </w:r>
    </w:p>
    <w:p>
      <w:pPr>
        <w:pStyle w:val="ListBullet"/>
      </w:pPr>
      <w:r>
        <w:t>部署流程：GitLab CI 触发构建 -&gt; 单元测试 -&gt; SonarQube 扫描 -&gt; Docker 镜像 -&gt; Helm 部署。</w:t>
      </w:r>
    </w:p>
    <w:p>
      <w:pPr>
        <w:pStyle w:val="Heading2"/>
      </w:pPr>
      <w:r>
        <w:t>5.3 产品质量需求</w:t>
      </w:r>
    </w:p>
    <w:p>
      <w:pPr>
        <w:pStyle w:val="ListBullet"/>
      </w:pPr>
      <w:r>
        <w:t>性能：并发 500 用户时 95% 请求 ≤1.5 秒；作业批量导出吞吐 ≥100 份/分钟。</w:t>
      </w:r>
    </w:p>
    <w:p>
      <w:pPr>
        <w:pStyle w:val="ListBullet"/>
      </w:pPr>
      <w:r>
        <w:t>可靠性：月可用性≥99.5%，支持蓝绿发布，故障平均恢复时间 ≤30 分钟。</w:t>
      </w:r>
    </w:p>
    <w:p>
      <w:pPr>
        <w:pStyle w:val="ListBullet"/>
      </w:pPr>
      <w:r>
        <w:t>安全性：OAuth2.0 登录，AES-256 静态加密，敏感操作双因素认证，支持 RBAC 与审计。</w:t>
      </w:r>
    </w:p>
    <w:p>
      <w:pPr>
        <w:pStyle w:val="ListBullet"/>
      </w:pPr>
      <w:r>
        <w:t>可维护性：单元测试覆盖率≥70%，集成测试覆盖核心流程≥50%，Swagger 自动生成接口文档。</w:t>
      </w:r>
    </w:p>
    <w:p>
      <w:pPr>
        <w:pStyle w:val="ListBullet"/>
      </w:pPr>
      <w:r>
        <w:t>可扩展性：微服务可横向扩容，缓存与队列策略可动态调整。</w:t>
      </w:r>
    </w:p>
    <w:p>
      <w:pPr>
        <w:pStyle w:val="Heading2"/>
      </w:pPr>
      <w:r>
        <w:t>5.4 其他需求</w:t>
      </w:r>
    </w:p>
    <w:p>
      <w:pPr>
        <w:pStyle w:val="ListBullet"/>
      </w:pPr>
      <w:r>
        <w:t>国际化：支持中/英文切换，日期、数字、时区自动本地化。</w:t>
      </w:r>
    </w:p>
    <w:p>
      <w:pPr>
        <w:pStyle w:val="ListBullet"/>
      </w:pPr>
      <w:r>
        <w:t>培训与支持：提供 2 小时线上培训、用户手册、FAQ 与工单系统。</w:t>
      </w:r>
    </w:p>
    <w:p>
      <w:pPr>
        <w:pStyle w:val="ListBullet"/>
      </w:pPr>
      <w:r>
        <w:t>合规性：遵守学校数据治理规范与《个人信息保护法》。</w:t>
      </w:r>
    </w:p>
    <w:p>
      <w:r>
        <w:drawing>
          <wp:inline xmlns:a="http://schemas.openxmlformats.org/drawingml/2006/main" xmlns:pic="http://schemas.openxmlformats.org/drawingml/2006/picture">
            <wp:extent cx="5029200" cy="21808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0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5-1 系统用例图</w:t>
      </w:r>
    </w:p>
    <w:p>
      <w:r>
        <w:drawing>
          <wp:inline xmlns:a="http://schemas.openxmlformats.org/drawingml/2006/main" xmlns:pic="http://schemas.openxmlformats.org/drawingml/2006/picture">
            <wp:extent cx="5029200" cy="3560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5-2 作业提交与批阅时序图</w:t>
      </w:r>
    </w:p>
    <w:p>
      <w:r>
        <w:drawing>
          <wp:inline xmlns:a="http://schemas.openxmlformats.org/drawingml/2006/main" xmlns:pic="http://schemas.openxmlformats.org/drawingml/2006/picture">
            <wp:extent cx="5029200" cy="50743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74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5-3 系统数据流图</w:t>
      </w:r>
    </w:p>
    <w:p>
      <w:pPr>
        <w:pStyle w:val="Heading1"/>
      </w:pPr>
      <w:r>
        <w:t>6. 详细设计</w:t>
      </w:r>
    </w:p>
    <w:p>
      <w:pPr>
        <w:pStyle w:val="Heading2"/>
      </w:pPr>
      <w:r>
        <w:t>6.1 总体架构</w:t>
      </w:r>
    </w:p>
    <w:p>
      <w:r>
        <w:t>平台采用前后端分离 + 微服务架构，通过 API 网关统一鉴权与流量管理，业务服务按领域拆分，所有服务通过消息队列与配置中心保持解耦，并接入统一监控体系。</w:t>
      </w:r>
    </w:p>
    <w:p>
      <w:r>
        <w:drawing>
          <wp:inline xmlns:a="http://schemas.openxmlformats.org/drawingml/2006/main" xmlns:pic="http://schemas.openxmlformats.org/drawingml/2006/picture">
            <wp:extent cx="5486400" cy="2379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6-1 系统总体架构图</w:t>
      </w:r>
    </w:p>
    <w:p>
      <w:pPr>
        <w:pStyle w:val="Heading2"/>
      </w:pPr>
      <w:r>
        <w:t>6.2 模块职责与组件</w:t>
      </w:r>
    </w:p>
    <w:p>
      <w:pPr>
        <w:pStyle w:val="Heading3"/>
      </w:pPr>
      <w:r>
        <w:t>认证服务（Auth Service）</w:t>
      </w:r>
    </w:p>
    <w:p>
      <w:pPr>
        <w:pStyle w:val="ListBullet"/>
      </w:pPr>
      <w:r>
        <w:t>职责：处理登录、刷新 Token、角色权限同步与会话管理。</w:t>
      </w:r>
    </w:p>
    <w:p>
      <w:pPr>
        <w:pStyle w:val="ListBullet"/>
      </w:pPr>
      <w:r>
        <w:t>核心组件：AuthController、SSOClient、UserService、RoleService、TokenProvider。</w:t>
      </w:r>
    </w:p>
    <w:p>
      <w:pPr>
        <w:pStyle w:val="ListBullet"/>
      </w:pPr>
      <w:r>
        <w:t>关键流程：验证凭证 -&gt; 查询用户、角色 -&gt; 生成 JWT 与刷新令牌，记录登录审计日志。</w:t>
      </w:r>
    </w:p>
    <w:p>
      <w:pPr>
        <w:pStyle w:val="Heading3"/>
      </w:pPr>
      <w:r>
        <w:t>课程服务（Course Service）</w:t>
      </w:r>
    </w:p>
    <w:p>
      <w:pPr>
        <w:pStyle w:val="ListBullet"/>
      </w:pPr>
      <w:r>
        <w:t>职责：管理课程元数据、班级成员与课程公告。</w:t>
      </w:r>
    </w:p>
    <w:p>
      <w:pPr>
        <w:pStyle w:val="ListBullet"/>
      </w:pPr>
      <w:r>
        <w:t>核心组件：CourseController、CourseService、CourseRepository、AuditPublisher。</w:t>
      </w:r>
    </w:p>
    <w:p>
      <w:pPr>
        <w:pStyle w:val="ListBullet"/>
      </w:pPr>
      <w:r>
        <w:t>设计要点：使用策略模式处理审批流程，支持与教务系统同步课程数据。</w:t>
      </w:r>
    </w:p>
    <w:p>
      <w:pPr>
        <w:pStyle w:val="Heading3"/>
      </w:pPr>
      <w:r>
        <w:t>资源服务（Resource Service）</w:t>
      </w:r>
    </w:p>
    <w:p>
      <w:pPr>
        <w:pStyle w:val="ListBullet"/>
      </w:pPr>
      <w:r>
        <w:t>职责：负责资源上传、版本控制、预览生成与访问权限。</w:t>
      </w:r>
    </w:p>
    <w:p>
      <w:pPr>
        <w:pStyle w:val="ListBullet"/>
      </w:pPr>
      <w:r>
        <w:t>核心组件：ResourceController、ResourceService、StorageClient（对接对象存储）、PreviewWorker。</w:t>
      </w:r>
    </w:p>
    <w:p>
      <w:pPr>
        <w:pStyle w:val="ListBullet"/>
      </w:pPr>
      <w:r>
        <w:t>设计要点：采用事件驱动生成预览，版本表记录历史元数据，权限与课程成员关联。</w:t>
      </w:r>
    </w:p>
    <w:p>
      <w:pPr>
        <w:pStyle w:val="Heading3"/>
      </w:pPr>
      <w:r>
        <w:t>作业服务（Assignment Service）</w:t>
      </w:r>
    </w:p>
    <w:p>
      <w:pPr>
        <w:pStyle w:val="ListBullet"/>
      </w:pPr>
      <w:r>
        <w:t>职责：作业布置、提交、批阅、迟交策略与成绩计算。</w:t>
      </w:r>
    </w:p>
    <w:p>
      <w:pPr>
        <w:pStyle w:val="ListBullet"/>
      </w:pPr>
      <w:r>
        <w:t>核心组件：AssignmentController、SubmissionService、ReviewService、LatePolicyEngine、RubricEvaluator。</w:t>
      </w:r>
    </w:p>
    <w:p>
      <w:pPr>
        <w:pStyle w:val="ListBullet"/>
      </w:pPr>
      <w:r>
        <w:t>设计要点：迟交策略使用策略模式，RubricEvaluator 支持按标准项加权评分。</w:t>
      </w:r>
    </w:p>
    <w:p>
      <w:pPr>
        <w:pStyle w:val="Heading3"/>
      </w:pPr>
      <w:r>
        <w:t>分析服务（Analytics Service）</w:t>
      </w:r>
    </w:p>
    <w:p>
      <w:pPr>
        <w:pStyle w:val="ListBullet"/>
      </w:pPr>
      <w:r>
        <w:t>职责：学习数据采集、指标计算、报表导出。</w:t>
      </w:r>
    </w:p>
    <w:p>
      <w:pPr>
        <w:pStyle w:val="ListBullet"/>
      </w:pPr>
      <w:r>
        <w:t>核心组件：AnalyticsScheduler（ETL）、AnalyticsQueryService、DashboardBuilder、ReportExporter。</w:t>
      </w:r>
    </w:p>
    <w:p>
      <w:pPr>
        <w:pStyle w:val="ListBullet"/>
      </w:pPr>
      <w:r>
        <w:t>设计要点：CDC 同步数据到分析库，定时聚合指标，缓存热点仪表盘。</w:t>
      </w:r>
    </w:p>
    <w:p>
      <w:pPr>
        <w:pStyle w:val="Heading3"/>
      </w:pPr>
      <w:r>
        <w:t>通知服务（Notification Service）</w:t>
      </w:r>
    </w:p>
    <w:p>
      <w:pPr>
        <w:pStyle w:val="ListBullet"/>
      </w:pPr>
      <w:r>
        <w:t>职责：站内信、邮件、企业微信消息发送与模板管理。</w:t>
      </w:r>
    </w:p>
    <w:p>
      <w:pPr>
        <w:pStyle w:val="ListBullet"/>
      </w:pPr>
      <w:r>
        <w:t>核心组件：NotificationController、NotificationWorker、ChannelStrategy（Mail/SMS/WeCom）、TemplateRepository。</w:t>
      </w:r>
    </w:p>
    <w:p>
      <w:pPr>
        <w:pStyle w:val="ListBullet"/>
      </w:pPr>
      <w:r>
        <w:t>设计要点：消息采用事件队列解耦，失败重试并记录状态。</w:t>
      </w:r>
    </w:p>
    <w:p>
      <w:pPr>
        <w:pStyle w:val="Heading3"/>
      </w:pPr>
      <w:r>
        <w:t>运维监控模块（Ops Module）</w:t>
      </w:r>
    </w:p>
    <w:p>
      <w:pPr>
        <w:pStyle w:val="ListBullet"/>
      </w:pPr>
      <w:r>
        <w:t>职责：暴露健康检查、性能指标、审计日志。</w:t>
      </w:r>
    </w:p>
    <w:p>
      <w:pPr>
        <w:pStyle w:val="ListBullet"/>
      </w:pPr>
      <w:r>
        <w:t>核心组件：Spring Boot Actuator、Logback、Filebeat、Elasticsearch、Grafana Dashboard。</w:t>
      </w:r>
    </w:p>
    <w:p>
      <w:pPr>
        <w:pStyle w:val="Heading2"/>
      </w:pPr>
      <w:r>
        <w:t>6.3 组件接口与依赖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调用方</w:t>
            </w:r>
          </w:p>
        </w:tc>
        <w:tc>
          <w:tcPr>
            <w:tcW w:type="dxa" w:w="1728"/>
          </w:tcPr>
          <w:p>
            <w:r>
              <w:t>被调方</w:t>
            </w:r>
          </w:p>
        </w:tc>
        <w:tc>
          <w:tcPr>
            <w:tcW w:type="dxa" w:w="1728"/>
          </w:tcPr>
          <w:p>
            <w:r>
              <w:t>协议</w:t>
            </w:r>
          </w:p>
        </w:tc>
        <w:tc>
          <w:tcPr>
            <w:tcW w:type="dxa" w:w="1728"/>
          </w:tcPr>
          <w:p>
            <w:r>
              <w:t>主要用途</w:t>
            </w:r>
          </w:p>
        </w:tc>
        <w:tc>
          <w:tcPr>
            <w:tcW w:type="dxa" w:w="1728"/>
          </w:tcPr>
          <w:p>
            <w:r>
              <w:t>安全控制</w:t>
            </w:r>
          </w:p>
        </w:tc>
      </w:tr>
      <w:tr>
        <w:tc>
          <w:tcPr>
            <w:tcW w:type="dxa" w:w="1728"/>
          </w:tcPr>
          <w:p>
            <w:r>
              <w:t>Web 前端</w:t>
            </w:r>
          </w:p>
        </w:tc>
        <w:tc>
          <w:tcPr>
            <w:tcW w:type="dxa" w:w="1728"/>
          </w:tcPr>
          <w:p>
            <w:r>
              <w:t>API 网关</w:t>
            </w:r>
          </w:p>
        </w:tc>
        <w:tc>
          <w:tcPr>
            <w:tcW w:type="dxa" w:w="1728"/>
          </w:tcPr>
          <w:p>
            <w:r>
              <w:t>HTTPS/REST</w:t>
            </w:r>
          </w:p>
        </w:tc>
        <w:tc>
          <w:tcPr>
            <w:tcW w:type="dxa" w:w="1728"/>
          </w:tcPr>
          <w:p>
            <w:r>
              <w:t>请求业务接口</w:t>
            </w:r>
          </w:p>
        </w:tc>
        <w:tc>
          <w:tcPr>
            <w:tcW w:type="dxa" w:w="1728"/>
          </w:tcPr>
          <w:p>
            <w:r>
              <w:t>JWT + HTTPS</w:t>
            </w:r>
          </w:p>
        </w:tc>
      </w:tr>
      <w:tr>
        <w:tc>
          <w:tcPr>
            <w:tcW w:type="dxa" w:w="1728"/>
          </w:tcPr>
          <w:p>
            <w:r>
              <w:t>API 网关</w:t>
            </w:r>
          </w:p>
        </w:tc>
        <w:tc>
          <w:tcPr>
            <w:tcW w:type="dxa" w:w="1728"/>
          </w:tcPr>
          <w:p>
            <w:r>
              <w:t>认证服务</w:t>
            </w:r>
          </w:p>
        </w:tc>
        <w:tc>
          <w:tcPr>
            <w:tcW w:type="dxa" w:w="1728"/>
          </w:tcPr>
          <w:p>
            <w:r>
              <w:t>HTTP</w:t>
            </w:r>
          </w:p>
        </w:tc>
        <w:tc>
          <w:tcPr>
            <w:tcW w:type="dxa" w:w="1728"/>
          </w:tcPr>
          <w:p>
            <w:r>
              <w:t>统一鉴权与 Token 校验</w:t>
            </w:r>
          </w:p>
        </w:tc>
        <w:tc>
          <w:tcPr>
            <w:tcW w:type="dxa" w:w="1728"/>
          </w:tcPr>
          <w:p>
            <w:r>
              <w:t>内部网络 + mTLS</w:t>
            </w:r>
          </w:p>
        </w:tc>
      </w:tr>
      <w:tr>
        <w:tc>
          <w:tcPr>
            <w:tcW w:type="dxa" w:w="1728"/>
          </w:tcPr>
          <w:p>
            <w:r>
              <w:t>课程服务</w:t>
            </w:r>
          </w:p>
        </w:tc>
        <w:tc>
          <w:tcPr>
            <w:tcW w:type="dxa" w:w="1728"/>
          </w:tcPr>
          <w:p>
            <w:r>
              <w:t>作业服务</w:t>
            </w:r>
          </w:p>
        </w:tc>
        <w:tc>
          <w:tcPr>
            <w:tcW w:type="dxa" w:w="1728"/>
          </w:tcPr>
          <w:p>
            <w:r>
              <w:t>gRPC</w:t>
            </w:r>
          </w:p>
        </w:tc>
        <w:tc>
          <w:tcPr>
            <w:tcW w:type="dxa" w:w="1728"/>
          </w:tcPr>
          <w:p>
            <w:r>
              <w:t>查询作业关联课程信息</w:t>
            </w:r>
          </w:p>
        </w:tc>
        <w:tc>
          <w:tcPr>
            <w:tcW w:type="dxa" w:w="1728"/>
          </w:tcPr>
          <w:p>
            <w:r>
              <w:t>Service Account + mTLS</w:t>
            </w:r>
          </w:p>
        </w:tc>
      </w:tr>
      <w:tr>
        <w:tc>
          <w:tcPr>
            <w:tcW w:type="dxa" w:w="1728"/>
          </w:tcPr>
          <w:p>
            <w:r>
              <w:t>作业服务</w:t>
            </w:r>
          </w:p>
        </w:tc>
        <w:tc>
          <w:tcPr>
            <w:tcW w:type="dxa" w:w="1728"/>
          </w:tcPr>
          <w:p>
            <w:r>
              <w:t>通知服务</w:t>
            </w:r>
          </w:p>
        </w:tc>
        <w:tc>
          <w:tcPr>
            <w:tcW w:type="dxa" w:w="1728"/>
          </w:tcPr>
          <w:p>
            <w:r>
              <w:t>AMQP</w:t>
            </w:r>
          </w:p>
        </w:tc>
        <w:tc>
          <w:tcPr>
            <w:tcW w:type="dxa" w:w="1728"/>
          </w:tcPr>
          <w:p>
            <w:r>
              <w:t>提交与批阅事件通知</w:t>
            </w:r>
          </w:p>
        </w:tc>
        <w:tc>
          <w:tcPr>
            <w:tcW w:type="dxa" w:w="1728"/>
          </w:tcPr>
          <w:p>
            <w:r>
              <w:t>签名消息 + 队列权限</w:t>
            </w:r>
          </w:p>
        </w:tc>
      </w:tr>
      <w:tr>
        <w:tc>
          <w:tcPr>
            <w:tcW w:type="dxa" w:w="1728"/>
          </w:tcPr>
          <w:p>
            <w:r>
              <w:t>分析服务</w:t>
            </w:r>
          </w:p>
        </w:tc>
        <w:tc>
          <w:tcPr>
            <w:tcW w:type="dxa" w:w="1728"/>
          </w:tcPr>
          <w:p>
            <w:r>
              <w:t>PostgreSQL CDC</w:t>
            </w:r>
          </w:p>
        </w:tc>
        <w:tc>
          <w:tcPr>
            <w:tcW w:type="dxa" w:w="1728"/>
          </w:tcPr>
          <w:p>
            <w:r>
              <w:t>Debezium</w:t>
            </w:r>
          </w:p>
        </w:tc>
        <w:tc>
          <w:tcPr>
            <w:tcW w:type="dxa" w:w="1728"/>
          </w:tcPr>
          <w:p>
            <w:r>
              <w:t>同步增量数据</w:t>
            </w:r>
          </w:p>
        </w:tc>
        <w:tc>
          <w:tcPr>
            <w:tcW w:type="dxa" w:w="1728"/>
          </w:tcPr>
          <w:p>
            <w:r>
              <w:t>只读账号 + 白名单</w:t>
            </w:r>
          </w:p>
        </w:tc>
      </w:tr>
      <w:tr>
        <w:tc>
          <w:tcPr>
            <w:tcW w:type="dxa" w:w="1728"/>
          </w:tcPr>
          <w:p>
            <w:r>
              <w:t>通知服务</w:t>
            </w:r>
          </w:p>
        </w:tc>
        <w:tc>
          <w:tcPr>
            <w:tcW w:type="dxa" w:w="1728"/>
          </w:tcPr>
          <w:p>
            <w:r>
              <w:t>企业微信</w:t>
            </w:r>
          </w:p>
        </w:tc>
        <w:tc>
          <w:tcPr>
            <w:tcW w:type="dxa" w:w="1728"/>
          </w:tcPr>
          <w:p>
            <w:r>
              <w:t>HTTPS API</w:t>
            </w:r>
          </w:p>
        </w:tc>
        <w:tc>
          <w:tcPr>
            <w:tcW w:type="dxa" w:w="1728"/>
          </w:tcPr>
          <w:p>
            <w:r>
              <w:t>推送提醒</w:t>
            </w:r>
          </w:p>
        </w:tc>
        <w:tc>
          <w:tcPr>
            <w:tcW w:type="dxa" w:w="1728"/>
          </w:tcPr>
          <w:p>
            <w:r>
              <w:t>企业密钥 + IP 白名单</w:t>
            </w:r>
          </w:p>
        </w:tc>
      </w:tr>
    </w:tbl>
    <w:p>
      <w:pPr>
        <w:pStyle w:val="Heading2"/>
      </w:pPr>
      <w:r>
        <w:t>6.4 关键业务流程说明</w:t>
      </w:r>
    </w:p>
    <w:p>
      <w:pPr>
        <w:pStyle w:val="ListNumber"/>
      </w:pPr>
      <w:r>
        <w:t>作业提交流程：学生在截止时间前完成作业填写，系统提供草稿保存、附件校验与提交确认。提交成功后产生事件进入队列，通知教师及时批阅。</w:t>
      </w:r>
    </w:p>
    <w:p>
      <w:pPr>
        <w:pStyle w:val="ListNumber"/>
      </w:pPr>
      <w:r>
        <w:t>资源上传流程：教师上传文件后写入元数据，生成版本记录，并异步触发预览任务，预览完成前状态展示为“处理中”。</w:t>
      </w:r>
    </w:p>
    <w:p>
      <w:pPr>
        <w:pStyle w:val="ListNumber"/>
      </w:pPr>
      <w:r>
        <w:t>迟交扣分流程：超时提交触发策略引擎，根据课程配置选择固定扣分、比例扣分或人工审核策略，并同步到成绩单。</w:t>
      </w:r>
    </w:p>
    <w:p>
      <w:r>
        <w:drawing>
          <wp:inline xmlns:a="http://schemas.openxmlformats.org/drawingml/2006/main" xmlns:pic="http://schemas.openxmlformats.org/drawingml/2006/picture">
            <wp:extent cx="5029200" cy="2931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_upload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6-2 资源上传流程时序图</w:t>
      </w:r>
    </w:p>
    <w:p>
      <w:r>
        <w:drawing>
          <wp:inline xmlns:a="http://schemas.openxmlformats.org/drawingml/2006/main" xmlns:pic="http://schemas.openxmlformats.org/drawingml/2006/picture">
            <wp:extent cx="5029200" cy="97645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_policy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764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6-3 迟交扣分决策流程图</w:t>
      </w:r>
    </w:p>
    <w:p>
      <w:pPr>
        <w:pStyle w:val="Heading2"/>
      </w:pPr>
      <w:r>
        <w:t>6.5 配置与参数设计</w:t>
      </w:r>
    </w:p>
    <w:p>
      <w:pPr>
        <w:pStyle w:val="ListBullet"/>
      </w:pPr>
      <w:r>
        <w:t>使用 Spring Cloud Config 管理环境变量，区分 dev/test/prod 三套环境。</w:t>
      </w:r>
    </w:p>
    <w:p>
      <w:pPr>
        <w:pStyle w:val="ListBullet"/>
      </w:pPr>
      <w:r>
        <w:t>作业提交大小限制可在配置中心动态调整，默认 1GB。</w:t>
      </w:r>
    </w:p>
    <w:p>
      <w:pPr>
        <w:pStyle w:val="ListBullet"/>
      </w:pPr>
      <w:r>
        <w:t>通知发送频率采用限流参数（默认每分钟 200 封邮件/500 条站内信）。</w:t>
      </w:r>
    </w:p>
    <w:p>
      <w:pPr>
        <w:pStyle w:val="ListBullet"/>
      </w:pPr>
      <w:r>
        <w:t>缓存策略：用户权限缓存 5 分钟，课程概览缓存 2 分钟，仪表盘缓存 10 分钟。</w:t>
      </w:r>
    </w:p>
    <w:p>
      <w:pPr>
        <w:pStyle w:val="Heading2"/>
      </w:pPr>
      <w:r>
        <w:t>6.6 安全设计</w:t>
      </w:r>
    </w:p>
    <w:p>
      <w:pPr>
        <w:pStyle w:val="ListBullet"/>
      </w:pPr>
      <w:r>
        <w:t>统一身份认证与 JWT 签发，刷新令牌有效期 7 天，访问令牌 2 小时。</w:t>
      </w:r>
    </w:p>
    <w:p>
      <w:pPr>
        <w:pStyle w:val="ListBullet"/>
      </w:pPr>
      <w:r>
        <w:t>RBAC 权限树按课程与功能维度控制，关键接口需教师/管理员角色。</w:t>
      </w:r>
    </w:p>
    <w:p>
      <w:pPr>
        <w:pStyle w:val="ListBullet"/>
      </w:pPr>
      <w:r>
        <w:t>敏感操作（如成绩修改、数据导出）启用二次校验与审计日志。</w:t>
      </w:r>
    </w:p>
    <w:p>
      <w:pPr>
        <w:pStyle w:val="ListBullet"/>
      </w:pPr>
      <w:r>
        <w:t>静态数据加密：使用 PostgreSQL pgcrypto 对敏感字段加密。</w:t>
      </w:r>
    </w:p>
    <w:p>
      <w:pPr>
        <w:pStyle w:val="ListBullet"/>
      </w:pPr>
      <w:r>
        <w:t>网络安全：Kubernetes 命名空间隔离，服务间通信启用 mTLS。</w:t>
      </w:r>
    </w:p>
    <w:p>
      <w:pPr>
        <w:pStyle w:val="Heading1"/>
      </w:pPr>
      <w:r>
        <w:t>7. 数据库模型</w:t>
      </w:r>
    </w:p>
    <w:p>
      <w:pPr>
        <w:pStyle w:val="Heading2"/>
      </w:pPr>
      <w:r>
        <w:t>7.1 ER 图</w:t>
      </w:r>
    </w:p>
    <w:p>
      <w:r>
        <w:drawing>
          <wp:inline xmlns:a="http://schemas.openxmlformats.org/drawingml/2006/main" xmlns:pic="http://schemas.openxmlformats.org/drawingml/2006/picture">
            <wp:extent cx="5486400" cy="15885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7-1 数据库 ER 图</w:t>
      </w:r>
    </w:p>
    <w:p>
      <w:pPr>
        <w:pStyle w:val="Heading2"/>
      </w:pPr>
      <w:r>
        <w:t>7.2 数据字典（节选）</w:t>
      </w:r>
    </w:p>
    <w:p>
      <w:pPr>
        <w:pStyle w:val="Heading3"/>
      </w:pPr>
      <w:r>
        <w:t>assignment 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唯一标识</w:t>
            </w:r>
          </w:p>
        </w:tc>
      </w:tr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course.id</w:t>
            </w:r>
          </w:p>
        </w:tc>
        <w:tc>
          <w:tcPr>
            <w:tcW w:type="dxa" w:w="2160"/>
          </w:tcPr>
          <w:p>
            <w:r>
              <w:t>所属课程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作业标题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作业说明支持 Markdown</w:t>
            </w:r>
          </w:p>
        </w:tc>
      </w:tr>
      <w:tr>
        <w:tc>
          <w:tcPr>
            <w:tcW w:type="dxa" w:w="2160"/>
          </w:tcPr>
          <w:p>
            <w:r>
              <w:t>start_at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开放时间</w:t>
            </w:r>
          </w:p>
        </w:tc>
      </w:tr>
      <w:tr>
        <w:tc>
          <w:tcPr>
            <w:tcW w:type="dxa" w:w="2160"/>
          </w:tcPr>
          <w:p>
            <w:r>
              <w:t>due_at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截止时间</w:t>
            </w:r>
          </w:p>
        </w:tc>
      </w:tr>
      <w:tr>
        <w:tc>
          <w:tcPr>
            <w:tcW w:type="dxa" w:w="2160"/>
          </w:tcPr>
          <w:p>
            <w:r>
              <w:t>max_score</w:t>
            </w:r>
          </w:p>
        </w:tc>
        <w:tc>
          <w:tcPr>
            <w:tcW w:type="dxa" w:w="2160"/>
          </w:tcPr>
          <w:p>
            <w:r>
              <w:t>NUMERIC(5,2)</w:t>
            </w:r>
          </w:p>
        </w:tc>
        <w:tc>
          <w:tcPr>
            <w:tcW w:type="dxa" w:w="2160"/>
          </w:tcPr>
          <w:p>
            <w:r>
              <w:t>DEFAULT 100</w:t>
            </w:r>
          </w:p>
        </w:tc>
        <w:tc>
          <w:tcPr>
            <w:tcW w:type="dxa" w:w="2160"/>
          </w:tcPr>
          <w:p>
            <w:r>
              <w:t>满分</w:t>
            </w:r>
          </w:p>
        </w:tc>
      </w:tr>
      <w:tr>
        <w:tc>
          <w:tcPr>
            <w:tcW w:type="dxa" w:w="2160"/>
          </w:tcPr>
          <w:p>
            <w:r>
              <w:t>late_policy_id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late_policy.id</w:t>
            </w:r>
          </w:p>
        </w:tc>
        <w:tc>
          <w:tcPr>
            <w:tcW w:type="dxa" w:w="2160"/>
          </w:tcPr>
          <w:p>
            <w:r>
              <w:t>迟交策略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user.id</w:t>
            </w:r>
          </w:p>
        </w:tc>
        <w:tc>
          <w:tcPr>
            <w:tcW w:type="dxa" w:w="2160"/>
          </w:tcPr>
          <w:p>
            <w:r>
              <w:t>创建人</w:t>
            </w:r>
          </w:p>
        </w:tc>
      </w:tr>
    </w:tbl>
    <w:p>
      <w:pPr>
        <w:pStyle w:val="Heading3"/>
      </w:pPr>
      <w:r>
        <w:t>submission 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唯一标识</w:t>
            </w:r>
          </w:p>
        </w:tc>
      </w:tr>
      <w:tr>
        <w:tc>
          <w:tcPr>
            <w:tcW w:type="dxa" w:w="2160"/>
          </w:tcPr>
          <w:p>
            <w:r>
              <w:t>assignment_id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关联作业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user.id</w:t>
            </w:r>
          </w:p>
        </w:tc>
        <w:tc>
          <w:tcPr>
            <w:tcW w:type="dxa" w:w="2160"/>
          </w:tcPr>
          <w:p>
            <w:r>
              <w:t>提交学生</w:t>
            </w:r>
          </w:p>
        </w:tc>
      </w:tr>
      <w:tr>
        <w:tc>
          <w:tcPr>
            <w:tcW w:type="dxa" w:w="2160"/>
          </w:tcPr>
          <w:p>
            <w:r>
              <w:t>submitted_at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提交时间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CHECK(status IN ('DRAFT','SUBMITTED','LATE','RETURNED'))</w:t>
            </w:r>
          </w:p>
        </w:tc>
        <w:tc>
          <w:tcPr>
            <w:tcW w:type="dxa" w:w="2160"/>
          </w:tcPr>
          <w:p>
            <w:r>
              <w:t>提交状态</w:t>
            </w:r>
          </w:p>
        </w:tc>
      </w:tr>
      <w:tr>
        <w:tc>
          <w:tcPr>
            <w:tcW w:type="dxa" w:w="2160"/>
          </w:tcPr>
          <w:p>
            <w:r>
              <w:t>final_score</w:t>
            </w:r>
          </w:p>
        </w:tc>
        <w:tc>
          <w:tcPr>
            <w:tcW w:type="dxa" w:w="2160"/>
          </w:tcPr>
          <w:p>
            <w:r>
              <w:t>NUMERIC(5,2)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最终得分</w:t>
            </w:r>
          </w:p>
        </w:tc>
      </w:tr>
      <w:tr>
        <w:tc>
          <w:tcPr>
            <w:tcW w:type="dxa" w:w="2160"/>
          </w:tcPr>
          <w:p>
            <w:r>
              <w:t>penalty</w:t>
            </w:r>
          </w:p>
        </w:tc>
        <w:tc>
          <w:tcPr>
            <w:tcW w:type="dxa" w:w="2160"/>
          </w:tcPr>
          <w:p>
            <w:r>
              <w:t>NUMERIC(5,2)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扣分</w:t>
            </w:r>
          </w:p>
        </w:tc>
      </w:tr>
      <w:tr>
        <w:tc>
          <w:tcPr>
            <w:tcW w:type="dxa" w:w="2160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教师整体反馈</w:t>
            </w:r>
          </w:p>
        </w:tc>
      </w:tr>
      <w:tr>
        <w:tc>
          <w:tcPr>
            <w:tcW w:type="dxa" w:w="2160"/>
          </w:tcPr>
          <w:p>
            <w:r>
              <w:t>version_no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1</w:t>
            </w:r>
          </w:p>
        </w:tc>
        <w:tc>
          <w:tcPr>
            <w:tcW w:type="dxa" w:w="2160"/>
          </w:tcPr>
          <w:p>
            <w:r>
              <w:t>提交版本号</w:t>
            </w:r>
          </w:p>
        </w:tc>
      </w:tr>
    </w:tbl>
    <w:p>
      <w:pPr>
        <w:pStyle w:val="Heading3"/>
      </w:pPr>
      <w:r>
        <w:t>notice 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唯一标识</w:t>
            </w:r>
          </w:p>
        </w:tc>
      </w:tr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course.id</w:t>
            </w:r>
          </w:p>
        </w:tc>
        <w:tc>
          <w:tcPr>
            <w:tcW w:type="dxa" w:w="2160"/>
          </w:tcPr>
          <w:p>
            <w:r>
              <w:t>所属课程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CHECK(type IN ('ASSIGNMENT','ANNOUNCEMENT','SYSTEM'))</w:t>
            </w:r>
          </w:p>
        </w:tc>
        <w:tc>
          <w:tcPr>
            <w:tcW w:type="dxa" w:w="2160"/>
          </w:tcPr>
          <w:p>
            <w:r>
              <w:t>通知类型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通知标题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通知内容</w:t>
            </w:r>
          </w:p>
        </w:tc>
      </w:tr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CHECK(channel IN ('INBOX','EMAIL','WECOM'))</w:t>
            </w:r>
          </w:p>
        </w:tc>
        <w:tc>
          <w:tcPr>
            <w:tcW w:type="dxa" w:w="2160"/>
          </w:tcPr>
          <w:p>
            <w:r>
              <w:t>发送渠道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CHECK(status IN ('SCHEDULED','SENT','FAILED'))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scheduled_at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计划发送时间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user.id</w:t>
            </w:r>
          </w:p>
        </w:tc>
        <w:tc>
          <w:tcPr>
            <w:tcW w:type="dxa" w:w="2160"/>
          </w:tcPr>
          <w:p>
            <w:r>
              <w:t>创建人</w:t>
            </w:r>
          </w:p>
        </w:tc>
      </w:tr>
    </w:tbl>
    <w:p>
      <w:pPr>
        <w:pStyle w:val="Heading2"/>
      </w:pPr>
      <w:r>
        <w:t>7.3 数据库策略</w:t>
      </w:r>
    </w:p>
    <w:p>
      <w:pPr>
        <w:pStyle w:val="ListBullet"/>
      </w:pPr>
      <w:r>
        <w:t>外键策略：课程删除触发层级逻辑检查，防止误删；成绩相关表禁止级联删除。</w:t>
      </w:r>
    </w:p>
    <w:p>
      <w:pPr>
        <w:pStyle w:val="ListBullet"/>
      </w:pPr>
      <w:r>
        <w:t>索引策略：submission(assignment_id, student_id)、resource(course_id, type)、audit_log(trace_id)、notice(status, scheduled_at)。</w:t>
      </w:r>
    </w:p>
    <w:p>
      <w:pPr>
        <w:pStyle w:val="ListBullet"/>
      </w:pPr>
      <w:r>
        <w:t>分区策略：audit_log 按月分区，dashboard_metric 按课程与日期分区，支持快速归档。</w:t>
      </w:r>
    </w:p>
    <w:p>
      <w:pPr>
        <w:pStyle w:val="ListBullet"/>
      </w:pPr>
      <w:r>
        <w:t>缓存策略：用户权限与课程概览缓存在 Redis，采用双写失效模式。</w:t>
      </w:r>
    </w:p>
    <w:p>
      <w:pPr>
        <w:pStyle w:val="ListBullet"/>
      </w:pPr>
      <w:r>
        <w:t>备份策略：PostgreSQL 使用 WAL + 每日全量快照，对象存储开启版本控制并复制到异地。</w:t>
      </w:r>
    </w:p>
    <w:p>
      <w:pPr>
        <w:pStyle w:val="Heading1"/>
      </w:pPr>
      <w:r>
        <w:t>8. 部署与运维计划</w:t>
      </w:r>
    </w:p>
    <w:p>
      <w:pPr>
        <w:pStyle w:val="ListBullet"/>
      </w:pPr>
      <w:r>
        <w:t>Kubernetes 部署：各服务以 Deployment 形式部署 2 副本，使用 HPA 按 CPU/内存自动扩缩容。</w:t>
      </w:r>
    </w:p>
    <w:p>
      <w:pPr>
        <w:pStyle w:val="ListBullet"/>
      </w:pPr>
      <w:r>
        <w:t>CI/CD 流程：提交代码后触发单元测试、静态扫描、镜像构建，审批后自动部署至测试环境，再通过 Helm 升级到生产。</w:t>
      </w:r>
    </w:p>
    <w:p>
      <w:pPr>
        <w:pStyle w:val="ListBullet"/>
      </w:pPr>
      <w:r>
        <w:t>环境配置：dev/test 共用 PostgreSQL 集群的不同 schema，prod 独立集群并启用主从复制。</w:t>
      </w:r>
    </w:p>
    <w:p>
      <w:pPr>
        <w:pStyle w:val="ListBullet"/>
      </w:pPr>
      <w:r>
        <w:t>监控告警：Prometheus 监控性能与业务指标，Grafana 设置告警规则，通过企业微信机器人推送。</w:t>
      </w:r>
    </w:p>
    <w:p>
      <w:pPr>
        <w:pStyle w:val="Heading1"/>
      </w:pPr>
      <w:r>
        <w:t>9. 测试与质量保证计划</w:t>
      </w:r>
    </w:p>
    <w:p>
      <w:pPr>
        <w:pStyle w:val="ListBullet"/>
      </w:pPr>
      <w:r>
        <w:t>测试范围：覆盖认证、课程、作业、通知、分析模块，重点验证核心业务流程与异常场景。</w:t>
      </w:r>
    </w:p>
    <w:p>
      <w:pPr>
        <w:pStyle w:val="ListBullet"/>
      </w:pPr>
      <w:r>
        <w:t>测试类型：单元测试、接口测试、UI 自动化测试、性能测试、安全测试。</w:t>
      </w:r>
    </w:p>
    <w:p>
      <w:pPr>
        <w:pStyle w:val="ListBullet"/>
      </w:pPr>
      <w:r>
        <w:t>测试环境：与生产一致的 Kubernetes 集群，使用匿名脱敏数据。</w:t>
      </w:r>
    </w:p>
    <w:p>
      <w:pPr>
        <w:pStyle w:val="ListBullet"/>
      </w:pPr>
      <w:r>
        <w:t>测试指标：单元测试覆盖率≥70%，关键接口响应在 SLA 内，性能测试满足 500 并发指标，无高危安全漏洞。</w:t>
      </w:r>
    </w:p>
    <w:p>
      <w:pPr>
        <w:pStyle w:val="ListBullet"/>
      </w:pPr>
      <w:r>
        <w:t>交付物：测试计划、测试用例、测试报告、缺陷列表与修复记录。</w:t>
      </w:r>
    </w:p>
    <w:p>
      <w:pPr>
        <w:pStyle w:val="Heading1"/>
      </w:pPr>
      <w:r>
        <w:t>10. 风险与缓解措施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风险描述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  <w:tc>
          <w:tcPr>
            <w:tcW w:type="dxa" w:w="2160"/>
          </w:tcPr>
          <w:p>
            <w:r>
              <w:t>可能性</w:t>
            </w:r>
          </w:p>
        </w:tc>
        <w:tc>
          <w:tcPr>
            <w:tcW w:type="dxa" w:w="2160"/>
          </w:tcPr>
          <w:p>
            <w:r>
              <w:t>缓解措施</w:t>
            </w:r>
          </w:p>
        </w:tc>
      </w:tr>
      <w:tr>
        <w:tc>
          <w:tcPr>
            <w:tcW w:type="dxa" w:w="2160"/>
          </w:tcPr>
          <w:p>
            <w:r>
              <w:t>教务系统接口变动</w:t>
            </w:r>
          </w:p>
        </w:tc>
        <w:tc>
          <w:tcPr>
            <w:tcW w:type="dxa" w:w="2160"/>
          </w:tcPr>
          <w:p>
            <w:r>
              <w:t>影响用户同步与权限控制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与教务中心保持沟通，封装适配层并提前准备 Mock。</w:t>
            </w:r>
          </w:p>
        </w:tc>
      </w:tr>
      <w:tr>
        <w:tc>
          <w:tcPr>
            <w:tcW w:type="dxa" w:w="2160"/>
          </w:tcPr>
          <w:p>
            <w:r>
              <w:t>高并发导致响应延迟</w:t>
            </w:r>
          </w:p>
        </w:tc>
        <w:tc>
          <w:tcPr>
            <w:tcW w:type="dxa" w:w="2160"/>
          </w:tcPr>
          <w:p>
            <w:r>
              <w:t>影响学生提交体验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使用缓存与队列，配置弹性扩容与性能压测。</w:t>
            </w:r>
          </w:p>
        </w:tc>
      </w:tr>
      <w:tr>
        <w:tc>
          <w:tcPr>
            <w:tcW w:type="dxa" w:w="2160"/>
          </w:tcPr>
          <w:p>
            <w:r>
              <w:t>通知渠道异常</w:t>
            </w:r>
          </w:p>
        </w:tc>
        <w:tc>
          <w:tcPr>
            <w:tcW w:type="dxa" w:w="2160"/>
          </w:tcPr>
          <w:p>
            <w:r>
              <w:t>提醒未送达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多渠道冗余与失败重试，异常告警并人工补发。</w:t>
            </w:r>
          </w:p>
        </w:tc>
      </w:tr>
      <w:tr>
        <w:tc>
          <w:tcPr>
            <w:tcW w:type="dxa" w:w="2160"/>
          </w:tcPr>
          <w:p>
            <w:r>
              <w:t>数据泄露风险</w:t>
            </w:r>
          </w:p>
        </w:tc>
        <w:tc>
          <w:tcPr>
            <w:tcW w:type="dxa" w:w="2160"/>
          </w:tcPr>
          <w:p>
            <w:r>
              <w:t>敏感信息外泄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加强权限审计、加密存储与入侵检测。</w:t>
            </w:r>
          </w:p>
        </w:tc>
      </w:tr>
    </w:tbl>
    <w:p>
      <w:pPr>
        <w:pStyle w:val="Heading1"/>
      </w:pPr>
      <w:r>
        <w:t>11. Sprint1 启动前准备</w:t>
      </w:r>
    </w:p>
    <w:p>
      <w:pPr>
        <w:pStyle w:val="Heading2"/>
      </w:pPr>
      <w:r>
        <w:t>11.1 原型走查计划</w:t>
      </w:r>
    </w:p>
    <w:p>
      <w:pPr>
        <w:pStyle w:val="ListBullet"/>
      </w:pPr>
      <w:r>
        <w:t>目标：验证登录、课程列表、作业流程等核心场景体验是否满足需求。</w:t>
      </w:r>
    </w:p>
    <w:p>
      <w:pPr>
        <w:pStyle w:val="ListBullet"/>
      </w:pPr>
      <w:r>
        <w:t>参与者：产品负责人、交互设计师、开发代表、教师代表。</w:t>
      </w:r>
    </w:p>
    <w:p>
      <w:pPr>
        <w:pStyle w:val="ListBullet"/>
      </w:pPr>
      <w:r>
        <w:t>资料：高保真原型、操作说明、验收标准清单。</w:t>
      </w:r>
    </w:p>
    <w:p>
      <w:pPr>
        <w:pStyle w:val="ListBullet"/>
      </w:pPr>
      <w:r>
        <w:t>流程：演示 -&gt; 角色体验 -&gt; 记录问题 -&gt; 输出《原型评审纪要》。</w:t>
      </w:r>
    </w:p>
    <w:p>
      <w:pPr>
        <w:pStyle w:val="ListBullet"/>
      </w:pPr>
      <w:r>
        <w:t>成功标准：所有必备流程获得确认，问题分配责任人和解决时间。</w:t>
      </w:r>
    </w:p>
    <w:p>
      <w:pPr>
        <w:pStyle w:val="Heading2"/>
      </w:pPr>
      <w:r>
        <w:t>11.2 API 设计评审</w:t>
      </w:r>
    </w:p>
    <w:p>
      <w:pPr>
        <w:pStyle w:val="ListBullet"/>
      </w:pPr>
      <w:r>
        <w:t>目标：锁定 Sprint1 范围内的接口字段、错误码、鉴权策略与限流规范。</w:t>
      </w:r>
    </w:p>
    <w:p>
      <w:pPr>
        <w:pStyle w:val="ListBullet"/>
      </w:pPr>
      <w:r>
        <w:t>参与者：前后端负责人、测试代表、运维代表。</w:t>
      </w:r>
    </w:p>
    <w:p>
      <w:pPr>
        <w:pStyle w:val="ListBullet"/>
      </w:pPr>
      <w:r>
        <w:t>资料：OpenAPI 规范、接口 Mock、鉴权方案、限流参数提案。</w:t>
      </w:r>
    </w:p>
    <w:p>
      <w:pPr>
        <w:pStyle w:val="ListBullet"/>
      </w:pPr>
      <w:r>
        <w:t>流程：逐条审阅 -&gt; 校验安全策略 -&gt; 记录改动 -&gt; 更新文档与 Mock。</w:t>
      </w:r>
    </w:p>
    <w:p>
      <w:pPr>
        <w:pStyle w:val="ListBullet"/>
      </w:pPr>
      <w:r>
        <w:t>成功标准：形成评审纪要，OpenAPI 文档版本 v1.0.0-sprint1 并归档。</w:t>
      </w:r>
    </w:p>
    <w:p>
      <w:r>
        <w:t>完成原型走查与 API 评审后，即可进入 Sprint1 开发阶段，并依据本说明书进行设计实现。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