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8A90" w14:textId="77777777" w:rsidR="00FD78B3" w:rsidRDefault="00FD78B3">
      <w:pPr>
        <w:spacing w:after="800"/>
      </w:pPr>
    </w:p>
    <w:p w14:paraId="03F5AA28" w14:textId="77777777" w:rsidR="00FD78B3" w:rsidRDefault="00000000">
      <w:pPr>
        <w:spacing w:after="160"/>
        <w:jc w:val="center"/>
      </w:pPr>
      <w:r>
        <w:rPr>
          <w:b/>
          <w:bCs/>
          <w:color w:val="1F3864"/>
          <w:sz w:val="52"/>
          <w:szCs w:val="52"/>
        </w:rPr>
        <w:t xml:space="preserve">AICTE | IBM </w:t>
      </w:r>
      <w:proofErr w:type="spellStart"/>
      <w:r>
        <w:rPr>
          <w:b/>
          <w:bCs/>
          <w:color w:val="1F3864"/>
          <w:sz w:val="52"/>
          <w:szCs w:val="52"/>
        </w:rPr>
        <w:t>SkillsBuild</w:t>
      </w:r>
      <w:proofErr w:type="spellEnd"/>
    </w:p>
    <w:p w14:paraId="028D6D1E" w14:textId="77777777" w:rsidR="00FD78B3" w:rsidRDefault="00000000">
      <w:pPr>
        <w:spacing w:after="160"/>
        <w:jc w:val="center"/>
      </w:pPr>
      <w:r>
        <w:rPr>
          <w:b/>
          <w:bCs/>
          <w:color w:val="1F3864"/>
          <w:sz w:val="42"/>
          <w:szCs w:val="42"/>
        </w:rPr>
        <w:t>Academic Internship — Data Analytics with AI</w:t>
      </w:r>
    </w:p>
    <w:p w14:paraId="069FCE4D" w14:textId="77777777" w:rsidR="00FD78B3" w:rsidRDefault="00000000">
      <w:pPr>
        <w:spacing w:after="600"/>
        <w:jc w:val="center"/>
      </w:pPr>
      <w:proofErr w:type="spellStart"/>
      <w:r>
        <w:rPr>
          <w:b/>
          <w:bCs/>
          <w:color w:val="2E75B6"/>
          <w:sz w:val="44"/>
          <w:szCs w:val="44"/>
        </w:rPr>
        <w:t>BharatCares</w:t>
      </w:r>
      <w:proofErr w:type="spellEnd"/>
    </w:p>
    <w:p w14:paraId="3BBA0E82" w14:textId="77777777" w:rsidR="00FD78B3" w:rsidRDefault="00000000">
      <w:pPr>
        <w:pBdr>
          <w:top w:val="single" w:sz="16" w:space="14" w:color="2E75B6"/>
          <w:bottom w:val="single" w:sz="16" w:space="14" w:color="2E75B6"/>
        </w:pBdr>
        <w:spacing w:after="600"/>
        <w:jc w:val="center"/>
      </w:pPr>
      <w:r>
        <w:rPr>
          <w:b/>
          <w:bCs/>
          <w:sz w:val="36"/>
          <w:szCs w:val="36"/>
        </w:rPr>
        <w:t xml:space="preserve">  PROJECT REPORT  </w:t>
      </w:r>
    </w:p>
    <w:p w14:paraId="6BCB53FA" w14:textId="77777777" w:rsidR="00FD78B3" w:rsidRDefault="00FD78B3">
      <w:pPr>
        <w:spacing w:after="500"/>
      </w:pPr>
    </w:p>
    <w:p w14:paraId="726188AA" w14:textId="77777777" w:rsidR="00FD78B3" w:rsidRDefault="00000000">
      <w:pPr>
        <w:spacing w:after="120"/>
        <w:jc w:val="center"/>
      </w:pPr>
      <w:r>
        <w:rPr>
          <w:color w:val="666666"/>
          <w:sz w:val="26"/>
          <w:szCs w:val="26"/>
        </w:rPr>
        <w:t>Project Title</w:t>
      </w:r>
    </w:p>
    <w:p w14:paraId="22C4E2DD" w14:textId="77777777" w:rsidR="00FD78B3" w:rsidRDefault="00000000">
      <w:pPr>
        <w:spacing w:after="800"/>
        <w:jc w:val="center"/>
      </w:pPr>
      <w:proofErr w:type="spellStart"/>
      <w:r>
        <w:rPr>
          <w:b/>
          <w:bCs/>
          <w:sz w:val="44"/>
          <w:szCs w:val="44"/>
        </w:rPr>
        <w:t>CryptoInsight</w:t>
      </w:r>
      <w:proofErr w:type="spellEnd"/>
      <w:r>
        <w:rPr>
          <w:b/>
          <w:bCs/>
          <w:sz w:val="44"/>
          <w:szCs w:val="44"/>
        </w:rPr>
        <w:t xml:space="preserve"> AI — Cryptocurrency Analytics &amp; Next-Day Price Movement Prediction Dashboard</w:t>
      </w:r>
    </w:p>
    <w:p w14:paraId="763FEA8F" w14:textId="77777777" w:rsidR="00FD78B3" w:rsidRDefault="00FD78B3">
      <w:pPr>
        <w:spacing w:after="700"/>
      </w:pPr>
    </w:p>
    <w:p w14:paraId="0D166B96" w14:textId="77777777" w:rsidR="00FD78B3" w:rsidRDefault="00000000">
      <w:pPr>
        <w:spacing w:after="220" w:line="400" w:lineRule="auto"/>
        <w:jc w:val="center"/>
      </w:pPr>
      <w:r>
        <w:rPr>
          <w:b/>
          <w:bCs/>
          <w:sz w:val="32"/>
          <w:szCs w:val="32"/>
        </w:rPr>
        <w:t xml:space="preserve">Submitted By: </w:t>
      </w:r>
      <w:r>
        <w:rPr>
          <w:sz w:val="32"/>
          <w:szCs w:val="32"/>
        </w:rPr>
        <w:t>Lucky</w:t>
      </w:r>
    </w:p>
    <w:p w14:paraId="302A01E1" w14:textId="77777777" w:rsidR="00FD78B3" w:rsidRDefault="00000000">
      <w:pPr>
        <w:spacing w:after="220" w:line="400" w:lineRule="auto"/>
        <w:jc w:val="center"/>
      </w:pPr>
      <w:r>
        <w:rPr>
          <w:b/>
          <w:bCs/>
          <w:sz w:val="32"/>
          <w:szCs w:val="32"/>
        </w:rPr>
        <w:t xml:space="preserve">University: </w:t>
      </w:r>
      <w:r>
        <w:rPr>
          <w:sz w:val="32"/>
          <w:szCs w:val="32"/>
        </w:rPr>
        <w:t>Vivekananda Global University, Jaipur</w:t>
      </w:r>
    </w:p>
    <w:p w14:paraId="5696EAE8" w14:textId="77777777" w:rsidR="00FD78B3" w:rsidRDefault="00000000">
      <w:pPr>
        <w:spacing w:after="220" w:line="400" w:lineRule="auto"/>
        <w:jc w:val="center"/>
      </w:pPr>
      <w:r>
        <w:rPr>
          <w:b/>
          <w:bCs/>
          <w:sz w:val="32"/>
          <w:szCs w:val="32"/>
        </w:rPr>
        <w:t xml:space="preserve">State: </w:t>
      </w:r>
      <w:r>
        <w:rPr>
          <w:sz w:val="32"/>
          <w:szCs w:val="32"/>
        </w:rPr>
        <w:t>Rajasthan</w:t>
      </w:r>
    </w:p>
    <w:p w14:paraId="76BE9BC5" w14:textId="77777777" w:rsidR="00FD78B3" w:rsidRDefault="00000000">
      <w:pPr>
        <w:spacing w:after="220" w:line="400" w:lineRule="auto"/>
        <w:jc w:val="center"/>
      </w:pPr>
      <w:r>
        <w:rPr>
          <w:b/>
          <w:bCs/>
          <w:sz w:val="32"/>
          <w:szCs w:val="32"/>
        </w:rPr>
        <w:t xml:space="preserve">Mobile No.: </w:t>
      </w:r>
      <w:r>
        <w:rPr>
          <w:sz w:val="32"/>
          <w:szCs w:val="32"/>
        </w:rPr>
        <w:t>6206649171</w:t>
      </w:r>
    </w:p>
    <w:p w14:paraId="096ADE70" w14:textId="77777777" w:rsidR="00FD78B3" w:rsidRDefault="00000000">
      <w:pPr>
        <w:spacing w:after="220" w:line="400" w:lineRule="auto"/>
        <w:jc w:val="center"/>
      </w:pPr>
      <w:r>
        <w:rPr>
          <w:b/>
          <w:bCs/>
          <w:sz w:val="32"/>
          <w:szCs w:val="32"/>
        </w:rPr>
        <w:t xml:space="preserve">Email: </w:t>
      </w:r>
      <w:r>
        <w:rPr>
          <w:sz w:val="32"/>
          <w:szCs w:val="32"/>
        </w:rPr>
        <w:t>Luckykumar9295@gmail.com</w:t>
      </w:r>
    </w:p>
    <w:p w14:paraId="43416872" w14:textId="77777777" w:rsidR="00FD78B3" w:rsidRDefault="00FD78B3">
      <w:pPr>
        <w:sectPr w:rsidR="00FD78B3">
          <w:pgSz w:w="12240" w:h="15840"/>
          <w:pgMar w:top="1000" w:right="1200" w:bottom="1000" w:left="1200" w:header="708" w:footer="708" w:gutter="0"/>
          <w:cols w:space="720"/>
          <w:docGrid w:linePitch="360"/>
        </w:sectPr>
      </w:pPr>
    </w:p>
    <w:p w14:paraId="3F50B59B" w14:textId="77777777" w:rsidR="00FD78B3" w:rsidRDefault="00000000">
      <w:pPr>
        <w:pStyle w:val="Heading1"/>
        <w:pBdr>
          <w:bottom w:val="single" w:sz="8" w:space="4" w:color="2E75B6"/>
        </w:pBdr>
        <w:spacing w:before="480" w:after="260"/>
      </w:pPr>
      <w:r>
        <w:rPr>
          <w:b/>
          <w:bCs/>
          <w:color w:val="1F3864"/>
          <w:sz w:val="34"/>
          <w:szCs w:val="34"/>
        </w:rPr>
        <w:lastRenderedPageBreak/>
        <w:t>Table of Contents</w:t>
      </w:r>
    </w:p>
    <w:p w14:paraId="1653CD22" w14:textId="77777777" w:rsidR="00FD78B3" w:rsidRDefault="00000000">
      <w:pPr>
        <w:tabs>
          <w:tab w:val="right" w:leader="dot" w:pos="9026"/>
        </w:tabs>
        <w:spacing w:after="200"/>
      </w:pPr>
      <w:r>
        <w:rPr>
          <w:b/>
          <w:bCs/>
          <w:color w:val="1F3864"/>
          <w:sz w:val="26"/>
          <w:szCs w:val="26"/>
        </w:rPr>
        <w:t>1. Abstract</w:t>
      </w:r>
      <w:r>
        <w:rPr>
          <w:b/>
          <w:bCs/>
          <w:color w:val="1F3864"/>
          <w:sz w:val="26"/>
          <w:szCs w:val="26"/>
        </w:rPr>
        <w:tab/>
        <w:t>3</w:t>
      </w:r>
    </w:p>
    <w:p w14:paraId="27F15251" w14:textId="77777777" w:rsidR="00FD78B3" w:rsidRDefault="00000000">
      <w:pPr>
        <w:tabs>
          <w:tab w:val="right" w:leader="dot" w:pos="9026"/>
        </w:tabs>
        <w:spacing w:after="200"/>
      </w:pPr>
      <w:r>
        <w:rPr>
          <w:b/>
          <w:bCs/>
          <w:color w:val="1F3864"/>
          <w:sz w:val="26"/>
          <w:szCs w:val="26"/>
        </w:rPr>
        <w:t>2. Introduction</w:t>
      </w:r>
      <w:r>
        <w:rPr>
          <w:b/>
          <w:bCs/>
          <w:color w:val="1F3864"/>
          <w:sz w:val="26"/>
          <w:szCs w:val="26"/>
        </w:rPr>
        <w:tab/>
        <w:t>4</w:t>
      </w:r>
    </w:p>
    <w:p w14:paraId="6FEFB368" w14:textId="77777777" w:rsidR="00FD78B3" w:rsidRDefault="00000000">
      <w:pPr>
        <w:tabs>
          <w:tab w:val="right" w:leader="dot" w:pos="9026"/>
        </w:tabs>
        <w:spacing w:after="130"/>
        <w:ind w:left="360"/>
      </w:pPr>
      <w:r>
        <w:rPr>
          <w:color w:val="222222"/>
          <w:sz w:val="24"/>
          <w:szCs w:val="24"/>
        </w:rPr>
        <w:t>2.1 Background</w:t>
      </w:r>
      <w:r>
        <w:rPr>
          <w:color w:val="222222"/>
          <w:sz w:val="24"/>
          <w:szCs w:val="24"/>
        </w:rPr>
        <w:tab/>
        <w:t>4</w:t>
      </w:r>
    </w:p>
    <w:p w14:paraId="59C28FA5" w14:textId="77777777" w:rsidR="00FD78B3" w:rsidRDefault="00000000">
      <w:pPr>
        <w:tabs>
          <w:tab w:val="right" w:leader="dot" w:pos="9026"/>
        </w:tabs>
        <w:spacing w:after="130"/>
        <w:ind w:left="360"/>
      </w:pPr>
      <w:r>
        <w:rPr>
          <w:color w:val="222222"/>
          <w:sz w:val="24"/>
          <w:szCs w:val="24"/>
        </w:rPr>
        <w:t>2.2 Problem Statement</w:t>
      </w:r>
      <w:r>
        <w:rPr>
          <w:color w:val="222222"/>
          <w:sz w:val="24"/>
          <w:szCs w:val="24"/>
        </w:rPr>
        <w:tab/>
        <w:t>4</w:t>
      </w:r>
    </w:p>
    <w:p w14:paraId="180D9851" w14:textId="77777777" w:rsidR="00FD78B3" w:rsidRDefault="00000000">
      <w:pPr>
        <w:tabs>
          <w:tab w:val="right" w:leader="dot" w:pos="9026"/>
        </w:tabs>
        <w:spacing w:after="130"/>
        <w:ind w:left="360"/>
      </w:pPr>
      <w:r>
        <w:rPr>
          <w:color w:val="222222"/>
          <w:sz w:val="24"/>
          <w:szCs w:val="24"/>
        </w:rPr>
        <w:t>2.3 Objectives</w:t>
      </w:r>
      <w:r>
        <w:rPr>
          <w:color w:val="222222"/>
          <w:sz w:val="24"/>
          <w:szCs w:val="24"/>
        </w:rPr>
        <w:tab/>
        <w:t>4</w:t>
      </w:r>
    </w:p>
    <w:p w14:paraId="5C991A10" w14:textId="77777777" w:rsidR="00FD78B3" w:rsidRDefault="00000000">
      <w:pPr>
        <w:tabs>
          <w:tab w:val="right" w:leader="dot" w:pos="9026"/>
        </w:tabs>
        <w:spacing w:after="200"/>
      </w:pPr>
      <w:r>
        <w:rPr>
          <w:b/>
          <w:bCs/>
          <w:color w:val="1F3864"/>
          <w:sz w:val="26"/>
          <w:szCs w:val="26"/>
        </w:rPr>
        <w:t>3. Dataset Description</w:t>
      </w:r>
      <w:r>
        <w:rPr>
          <w:b/>
          <w:bCs/>
          <w:color w:val="1F3864"/>
          <w:sz w:val="26"/>
          <w:szCs w:val="26"/>
        </w:rPr>
        <w:tab/>
        <w:t>5</w:t>
      </w:r>
    </w:p>
    <w:p w14:paraId="7889D251" w14:textId="77777777" w:rsidR="00FD78B3" w:rsidRDefault="00000000">
      <w:pPr>
        <w:tabs>
          <w:tab w:val="right" w:leader="dot" w:pos="9026"/>
        </w:tabs>
        <w:spacing w:after="130"/>
        <w:ind w:left="360"/>
      </w:pPr>
      <w:r>
        <w:rPr>
          <w:color w:val="222222"/>
          <w:sz w:val="24"/>
          <w:szCs w:val="24"/>
        </w:rPr>
        <w:t>3.1 Key Columns</w:t>
      </w:r>
      <w:r>
        <w:rPr>
          <w:color w:val="222222"/>
          <w:sz w:val="24"/>
          <w:szCs w:val="24"/>
        </w:rPr>
        <w:tab/>
        <w:t>5</w:t>
      </w:r>
    </w:p>
    <w:p w14:paraId="5A566CF4" w14:textId="77777777" w:rsidR="00FD78B3" w:rsidRDefault="00000000">
      <w:pPr>
        <w:tabs>
          <w:tab w:val="right" w:leader="dot" w:pos="9026"/>
        </w:tabs>
        <w:spacing w:after="130"/>
        <w:ind w:left="360"/>
      </w:pPr>
      <w:r>
        <w:rPr>
          <w:color w:val="222222"/>
          <w:sz w:val="24"/>
          <w:szCs w:val="24"/>
        </w:rPr>
        <w:t>3.2 Data Preparation</w:t>
      </w:r>
      <w:r>
        <w:rPr>
          <w:color w:val="222222"/>
          <w:sz w:val="24"/>
          <w:szCs w:val="24"/>
        </w:rPr>
        <w:tab/>
        <w:t>5</w:t>
      </w:r>
    </w:p>
    <w:p w14:paraId="409EAC79" w14:textId="77777777" w:rsidR="00FD78B3" w:rsidRDefault="00000000">
      <w:pPr>
        <w:tabs>
          <w:tab w:val="right" w:leader="dot" w:pos="9026"/>
        </w:tabs>
        <w:spacing w:after="200"/>
      </w:pPr>
      <w:r>
        <w:rPr>
          <w:b/>
          <w:bCs/>
          <w:color w:val="1F3864"/>
          <w:sz w:val="26"/>
          <w:szCs w:val="26"/>
        </w:rPr>
        <w:t>4. Tools &amp; Technologies</w:t>
      </w:r>
      <w:r>
        <w:rPr>
          <w:b/>
          <w:bCs/>
          <w:color w:val="1F3864"/>
          <w:sz w:val="26"/>
          <w:szCs w:val="26"/>
        </w:rPr>
        <w:tab/>
        <w:t>6</w:t>
      </w:r>
    </w:p>
    <w:p w14:paraId="224B8403" w14:textId="77777777" w:rsidR="00FD78B3" w:rsidRDefault="00000000">
      <w:pPr>
        <w:tabs>
          <w:tab w:val="right" w:leader="dot" w:pos="9026"/>
        </w:tabs>
        <w:spacing w:after="200"/>
      </w:pPr>
      <w:r>
        <w:rPr>
          <w:b/>
          <w:bCs/>
          <w:color w:val="1F3864"/>
          <w:sz w:val="26"/>
          <w:szCs w:val="26"/>
        </w:rPr>
        <w:t>5. Methodology</w:t>
      </w:r>
      <w:r>
        <w:rPr>
          <w:b/>
          <w:bCs/>
          <w:color w:val="1F3864"/>
          <w:sz w:val="26"/>
          <w:szCs w:val="26"/>
        </w:rPr>
        <w:tab/>
        <w:t>7</w:t>
      </w:r>
    </w:p>
    <w:p w14:paraId="461429B3" w14:textId="77777777" w:rsidR="00FD78B3" w:rsidRDefault="00000000">
      <w:pPr>
        <w:tabs>
          <w:tab w:val="right" w:leader="dot" w:pos="9026"/>
        </w:tabs>
        <w:spacing w:after="130"/>
        <w:ind w:left="360"/>
      </w:pPr>
      <w:r>
        <w:rPr>
          <w:color w:val="222222"/>
          <w:sz w:val="24"/>
          <w:szCs w:val="24"/>
        </w:rPr>
        <w:t>5.1 Feature Engineering</w:t>
      </w:r>
      <w:r>
        <w:rPr>
          <w:color w:val="222222"/>
          <w:sz w:val="24"/>
          <w:szCs w:val="24"/>
        </w:rPr>
        <w:tab/>
        <w:t>7</w:t>
      </w:r>
    </w:p>
    <w:p w14:paraId="0E90A43A" w14:textId="77777777" w:rsidR="00FD78B3" w:rsidRDefault="00000000">
      <w:pPr>
        <w:tabs>
          <w:tab w:val="right" w:leader="dot" w:pos="9026"/>
        </w:tabs>
        <w:spacing w:after="130"/>
        <w:ind w:left="360"/>
      </w:pPr>
      <w:r>
        <w:rPr>
          <w:color w:val="222222"/>
          <w:sz w:val="24"/>
          <w:szCs w:val="24"/>
        </w:rPr>
        <w:t>5.2 Target Variable</w:t>
      </w:r>
      <w:r>
        <w:rPr>
          <w:color w:val="222222"/>
          <w:sz w:val="24"/>
          <w:szCs w:val="24"/>
        </w:rPr>
        <w:tab/>
        <w:t>7</w:t>
      </w:r>
    </w:p>
    <w:p w14:paraId="5DF903A2" w14:textId="77777777" w:rsidR="00FD78B3" w:rsidRDefault="00000000">
      <w:pPr>
        <w:tabs>
          <w:tab w:val="right" w:leader="dot" w:pos="9026"/>
        </w:tabs>
        <w:spacing w:after="130"/>
        <w:ind w:left="360"/>
      </w:pPr>
      <w:r>
        <w:rPr>
          <w:color w:val="222222"/>
          <w:sz w:val="24"/>
          <w:szCs w:val="24"/>
        </w:rPr>
        <w:t>5.3 Train / Test Split</w:t>
      </w:r>
      <w:r>
        <w:rPr>
          <w:color w:val="222222"/>
          <w:sz w:val="24"/>
          <w:szCs w:val="24"/>
        </w:rPr>
        <w:tab/>
        <w:t>7</w:t>
      </w:r>
    </w:p>
    <w:p w14:paraId="350D5164" w14:textId="77777777" w:rsidR="00FD78B3" w:rsidRDefault="00000000">
      <w:pPr>
        <w:tabs>
          <w:tab w:val="right" w:leader="dot" w:pos="9026"/>
        </w:tabs>
        <w:spacing w:after="130"/>
        <w:ind w:left="360"/>
      </w:pPr>
      <w:r>
        <w:rPr>
          <w:color w:val="222222"/>
          <w:sz w:val="24"/>
          <w:szCs w:val="24"/>
        </w:rPr>
        <w:t>5.4 Model</w:t>
      </w:r>
      <w:r>
        <w:rPr>
          <w:color w:val="222222"/>
          <w:sz w:val="24"/>
          <w:szCs w:val="24"/>
        </w:rPr>
        <w:tab/>
        <w:t>7</w:t>
      </w:r>
    </w:p>
    <w:p w14:paraId="5AF8469D" w14:textId="77777777" w:rsidR="00FD78B3" w:rsidRDefault="00000000">
      <w:pPr>
        <w:tabs>
          <w:tab w:val="right" w:leader="dot" w:pos="9026"/>
        </w:tabs>
        <w:spacing w:after="200"/>
      </w:pPr>
      <w:r>
        <w:rPr>
          <w:b/>
          <w:bCs/>
          <w:color w:val="1F3864"/>
          <w:sz w:val="26"/>
          <w:szCs w:val="26"/>
        </w:rPr>
        <w:t>6. Dashboard Modules</w:t>
      </w:r>
      <w:r>
        <w:rPr>
          <w:b/>
          <w:bCs/>
          <w:color w:val="1F3864"/>
          <w:sz w:val="26"/>
          <w:szCs w:val="26"/>
        </w:rPr>
        <w:tab/>
        <w:t>8</w:t>
      </w:r>
    </w:p>
    <w:p w14:paraId="01B9D459" w14:textId="77777777" w:rsidR="00FD78B3" w:rsidRDefault="00000000">
      <w:pPr>
        <w:tabs>
          <w:tab w:val="right" w:leader="dot" w:pos="9026"/>
        </w:tabs>
        <w:spacing w:after="130"/>
        <w:ind w:left="360"/>
      </w:pPr>
      <w:r>
        <w:rPr>
          <w:color w:val="222222"/>
          <w:sz w:val="24"/>
          <w:szCs w:val="24"/>
        </w:rPr>
        <w:t>6.1 Overview</w:t>
      </w:r>
      <w:r>
        <w:rPr>
          <w:color w:val="222222"/>
          <w:sz w:val="24"/>
          <w:szCs w:val="24"/>
        </w:rPr>
        <w:tab/>
        <w:t>9</w:t>
      </w:r>
    </w:p>
    <w:p w14:paraId="51140F9B" w14:textId="77777777" w:rsidR="00FD78B3" w:rsidRDefault="00000000">
      <w:pPr>
        <w:tabs>
          <w:tab w:val="right" w:leader="dot" w:pos="9026"/>
        </w:tabs>
        <w:spacing w:after="130"/>
        <w:ind w:left="360"/>
      </w:pPr>
      <w:r>
        <w:rPr>
          <w:color w:val="222222"/>
          <w:sz w:val="24"/>
          <w:szCs w:val="24"/>
        </w:rPr>
        <w:t>6.2 Exploratory Data Analysis (EDA)</w:t>
      </w:r>
      <w:r>
        <w:rPr>
          <w:color w:val="222222"/>
          <w:sz w:val="24"/>
          <w:szCs w:val="24"/>
        </w:rPr>
        <w:tab/>
        <w:t>9</w:t>
      </w:r>
    </w:p>
    <w:p w14:paraId="09A78CC6" w14:textId="77777777" w:rsidR="00FD78B3" w:rsidRDefault="00000000">
      <w:pPr>
        <w:tabs>
          <w:tab w:val="right" w:leader="dot" w:pos="9026"/>
        </w:tabs>
        <w:spacing w:after="130"/>
        <w:ind w:left="360"/>
      </w:pPr>
      <w:r>
        <w:rPr>
          <w:color w:val="222222"/>
          <w:sz w:val="24"/>
          <w:szCs w:val="24"/>
        </w:rPr>
        <w:t>6.3 Comparison</w:t>
      </w:r>
      <w:r>
        <w:rPr>
          <w:color w:val="222222"/>
          <w:sz w:val="24"/>
          <w:szCs w:val="24"/>
        </w:rPr>
        <w:tab/>
        <w:t>10</w:t>
      </w:r>
    </w:p>
    <w:p w14:paraId="7BD03BC7" w14:textId="77777777" w:rsidR="00FD78B3" w:rsidRDefault="00000000">
      <w:pPr>
        <w:tabs>
          <w:tab w:val="right" w:leader="dot" w:pos="9026"/>
        </w:tabs>
        <w:spacing w:after="130"/>
        <w:ind w:left="360"/>
      </w:pPr>
      <w:r>
        <w:rPr>
          <w:color w:val="222222"/>
          <w:sz w:val="24"/>
          <w:szCs w:val="24"/>
        </w:rPr>
        <w:t>6.4 AI Prediction</w:t>
      </w:r>
      <w:r>
        <w:rPr>
          <w:color w:val="222222"/>
          <w:sz w:val="24"/>
          <w:szCs w:val="24"/>
        </w:rPr>
        <w:tab/>
        <w:t>11</w:t>
      </w:r>
    </w:p>
    <w:p w14:paraId="7E9235CE" w14:textId="77777777" w:rsidR="00FD78B3" w:rsidRDefault="00000000">
      <w:pPr>
        <w:tabs>
          <w:tab w:val="right" w:leader="dot" w:pos="9026"/>
        </w:tabs>
        <w:spacing w:after="130"/>
        <w:ind w:left="360"/>
      </w:pPr>
      <w:r>
        <w:rPr>
          <w:color w:val="222222"/>
          <w:sz w:val="24"/>
          <w:szCs w:val="24"/>
        </w:rPr>
        <w:t>6.5 Model Evaluation</w:t>
      </w:r>
      <w:r>
        <w:rPr>
          <w:color w:val="222222"/>
          <w:sz w:val="24"/>
          <w:szCs w:val="24"/>
        </w:rPr>
        <w:tab/>
        <w:t>11</w:t>
      </w:r>
    </w:p>
    <w:p w14:paraId="4A270B0F" w14:textId="77777777" w:rsidR="00FD78B3" w:rsidRDefault="00000000">
      <w:pPr>
        <w:tabs>
          <w:tab w:val="right" w:leader="dot" w:pos="9026"/>
        </w:tabs>
        <w:spacing w:after="130"/>
        <w:ind w:left="360"/>
      </w:pPr>
      <w:r>
        <w:rPr>
          <w:color w:val="222222"/>
          <w:sz w:val="24"/>
          <w:szCs w:val="24"/>
        </w:rPr>
        <w:t>6.6 Data Quality</w:t>
      </w:r>
      <w:r>
        <w:rPr>
          <w:color w:val="222222"/>
          <w:sz w:val="24"/>
          <w:szCs w:val="24"/>
        </w:rPr>
        <w:tab/>
        <w:t>12</w:t>
      </w:r>
    </w:p>
    <w:p w14:paraId="56E01597" w14:textId="77777777" w:rsidR="00FD78B3" w:rsidRDefault="00000000">
      <w:pPr>
        <w:tabs>
          <w:tab w:val="right" w:leader="dot" w:pos="9026"/>
        </w:tabs>
        <w:spacing w:after="200"/>
      </w:pPr>
      <w:r>
        <w:rPr>
          <w:b/>
          <w:bCs/>
          <w:color w:val="1F3864"/>
          <w:sz w:val="26"/>
          <w:szCs w:val="26"/>
        </w:rPr>
        <w:t>7. Results &amp; Model Evaluation</w:t>
      </w:r>
      <w:r>
        <w:rPr>
          <w:b/>
          <w:bCs/>
          <w:color w:val="1F3864"/>
          <w:sz w:val="26"/>
          <w:szCs w:val="26"/>
        </w:rPr>
        <w:tab/>
        <w:t>13</w:t>
      </w:r>
    </w:p>
    <w:p w14:paraId="6DA92535" w14:textId="77777777" w:rsidR="00FD78B3" w:rsidRDefault="00000000">
      <w:pPr>
        <w:tabs>
          <w:tab w:val="right" w:leader="dot" w:pos="9026"/>
        </w:tabs>
        <w:spacing w:after="200"/>
      </w:pPr>
      <w:r>
        <w:rPr>
          <w:b/>
          <w:bCs/>
          <w:color w:val="1F3864"/>
          <w:sz w:val="26"/>
          <w:szCs w:val="26"/>
        </w:rPr>
        <w:t>8. Data Quality Assessment</w:t>
      </w:r>
      <w:r>
        <w:rPr>
          <w:b/>
          <w:bCs/>
          <w:color w:val="1F3864"/>
          <w:sz w:val="26"/>
          <w:szCs w:val="26"/>
        </w:rPr>
        <w:tab/>
        <w:t>13</w:t>
      </w:r>
    </w:p>
    <w:p w14:paraId="0D055CEA" w14:textId="77777777" w:rsidR="00FD78B3" w:rsidRDefault="00000000">
      <w:pPr>
        <w:tabs>
          <w:tab w:val="right" w:leader="dot" w:pos="9026"/>
        </w:tabs>
        <w:spacing w:after="200"/>
      </w:pPr>
      <w:r>
        <w:rPr>
          <w:b/>
          <w:bCs/>
          <w:color w:val="1F3864"/>
          <w:sz w:val="26"/>
          <w:szCs w:val="26"/>
        </w:rPr>
        <w:t>9. Conclusion</w:t>
      </w:r>
      <w:r>
        <w:rPr>
          <w:b/>
          <w:bCs/>
          <w:color w:val="1F3864"/>
          <w:sz w:val="26"/>
          <w:szCs w:val="26"/>
        </w:rPr>
        <w:tab/>
        <w:t>13</w:t>
      </w:r>
    </w:p>
    <w:p w14:paraId="21CA3DD3" w14:textId="77777777" w:rsidR="00FD78B3" w:rsidRDefault="00000000">
      <w:pPr>
        <w:tabs>
          <w:tab w:val="right" w:leader="dot" w:pos="9026"/>
        </w:tabs>
        <w:spacing w:after="200"/>
      </w:pPr>
      <w:r>
        <w:rPr>
          <w:b/>
          <w:bCs/>
          <w:color w:val="1F3864"/>
          <w:sz w:val="26"/>
          <w:szCs w:val="26"/>
        </w:rPr>
        <w:t>10. Future Scope</w:t>
      </w:r>
      <w:r>
        <w:rPr>
          <w:b/>
          <w:bCs/>
          <w:color w:val="1F3864"/>
          <w:sz w:val="26"/>
          <w:szCs w:val="26"/>
        </w:rPr>
        <w:tab/>
        <w:t>14</w:t>
      </w:r>
    </w:p>
    <w:p w14:paraId="66B27FB2" w14:textId="77777777" w:rsidR="00FD78B3" w:rsidRDefault="00000000">
      <w:pPr>
        <w:tabs>
          <w:tab w:val="right" w:leader="dot" w:pos="9026"/>
        </w:tabs>
        <w:spacing w:after="200"/>
      </w:pPr>
      <w:r>
        <w:rPr>
          <w:b/>
          <w:bCs/>
          <w:color w:val="1F3864"/>
          <w:sz w:val="26"/>
          <w:szCs w:val="26"/>
        </w:rPr>
        <w:t>11. References</w:t>
      </w:r>
      <w:r>
        <w:rPr>
          <w:b/>
          <w:bCs/>
          <w:color w:val="1F3864"/>
          <w:sz w:val="26"/>
          <w:szCs w:val="26"/>
        </w:rPr>
        <w:tab/>
        <w:t>14</w:t>
      </w:r>
    </w:p>
    <w:p w14:paraId="68D9CAC5" w14:textId="77777777" w:rsidR="00FD78B3" w:rsidRDefault="00000000">
      <w:pPr>
        <w:tabs>
          <w:tab w:val="right" w:leader="dot" w:pos="9026"/>
        </w:tabs>
        <w:spacing w:after="200"/>
      </w:pPr>
      <w:r>
        <w:rPr>
          <w:b/>
          <w:bCs/>
          <w:color w:val="1F3864"/>
          <w:sz w:val="26"/>
          <w:szCs w:val="26"/>
        </w:rPr>
        <w:t>12. Acknowledgement</w:t>
      </w:r>
      <w:r>
        <w:rPr>
          <w:b/>
          <w:bCs/>
          <w:color w:val="1F3864"/>
          <w:sz w:val="26"/>
          <w:szCs w:val="26"/>
        </w:rPr>
        <w:tab/>
        <w:t>14</w:t>
      </w:r>
    </w:p>
    <w:p w14:paraId="0644D21E" w14:textId="77777777" w:rsidR="00FD78B3" w:rsidRDefault="00000000">
      <w:r>
        <w:br w:type="page"/>
      </w:r>
    </w:p>
    <w:p w14:paraId="193D879E" w14:textId="77777777" w:rsidR="00FD78B3" w:rsidRDefault="00000000">
      <w:pPr>
        <w:pStyle w:val="Heading1"/>
        <w:pBdr>
          <w:bottom w:val="single" w:sz="8" w:space="4" w:color="2E75B6"/>
        </w:pBdr>
        <w:spacing w:before="480" w:after="260"/>
      </w:pPr>
      <w:r>
        <w:rPr>
          <w:b/>
          <w:bCs/>
          <w:color w:val="1F3864"/>
          <w:sz w:val="34"/>
          <w:szCs w:val="34"/>
        </w:rPr>
        <w:lastRenderedPageBreak/>
        <w:t>1. Abstract</w:t>
      </w:r>
    </w:p>
    <w:p w14:paraId="68886D25" w14:textId="77777777" w:rsidR="00FD78B3" w:rsidRDefault="00000000">
      <w:pPr>
        <w:spacing w:after="220" w:line="380" w:lineRule="auto"/>
        <w:jc w:val="both"/>
      </w:pPr>
      <w:r>
        <w:t>This project, titled “</w:t>
      </w:r>
      <w:proofErr w:type="spellStart"/>
      <w:r>
        <w:t>CryptoInsight</w:t>
      </w:r>
      <w:proofErr w:type="spellEnd"/>
      <w:r>
        <w:t xml:space="preserve"> AI,” was developed as part of the AICTE | IBM </w:t>
      </w:r>
      <w:proofErr w:type="spellStart"/>
      <w:r>
        <w:t>SkillsBuild</w:t>
      </w:r>
      <w:proofErr w:type="spellEnd"/>
      <w:r>
        <w:t xml:space="preserve"> Academic Internship on Data Analytics with AI, conducted in collaboration with </w:t>
      </w:r>
      <w:proofErr w:type="spellStart"/>
      <w:r>
        <w:t>BharatCares</w:t>
      </w:r>
      <w:proofErr w:type="spellEnd"/>
      <w:r>
        <w:t>. The objective of the project is to build an interactive analytics dashboard that enables users to explore, compare, and understand the behaviour of the top 100 cryptocurrencies using one year of historical daily market data. In addition to descriptive analytics, the project incorporates a machine-learning component — a Random Forest classifier — that predicts the probability of a coin's next-day price movement (up or down) based on engineered technical features such as moving averages, volatility, and cumulative returns.</w:t>
      </w:r>
    </w:p>
    <w:p w14:paraId="54D01FD9" w14:textId="77777777" w:rsidR="00FD78B3" w:rsidRDefault="00000000">
      <w:pPr>
        <w:spacing w:after="220" w:line="380" w:lineRule="auto"/>
        <w:jc w:val="both"/>
      </w:pPr>
      <w:r>
        <w:t xml:space="preserve">The application is built entirely in Python using </w:t>
      </w:r>
      <w:proofErr w:type="spellStart"/>
      <w:r>
        <w:t>Streamlit</w:t>
      </w:r>
      <w:proofErr w:type="spellEnd"/>
      <w:r>
        <w:t xml:space="preserve"> for the front end, pandas and NumPy for data processing, scikit-learn for modelling, and </w:t>
      </w:r>
      <w:proofErr w:type="spellStart"/>
      <w:r>
        <w:t>Plotly</w:t>
      </w:r>
      <w:proofErr w:type="spellEnd"/>
      <w:r>
        <w:t>, Matplotlib and Seaborn for visualization. The dashboard is organised into six modules — Overview, Exploratory Data Analysis (EDA), Comparison, AI Prediction, Model Evaluation, and Data Quality — giving a complete, end-to-end analytics workflow from raw data to actionable insight.</w:t>
      </w:r>
    </w:p>
    <w:p w14:paraId="4F62A7E4" w14:textId="77777777" w:rsidR="00FD78B3" w:rsidRDefault="00000000">
      <w:pPr>
        <w:pStyle w:val="Heading1"/>
        <w:pBdr>
          <w:bottom w:val="single" w:sz="8" w:space="4" w:color="2E75B6"/>
        </w:pBdr>
        <w:spacing w:before="480" w:after="260"/>
      </w:pPr>
      <w:r>
        <w:rPr>
          <w:b/>
          <w:bCs/>
          <w:color w:val="1F3864"/>
          <w:sz w:val="34"/>
          <w:szCs w:val="34"/>
        </w:rPr>
        <w:t>2. Introduction</w:t>
      </w:r>
    </w:p>
    <w:p w14:paraId="16CFAA6D" w14:textId="77777777" w:rsidR="00FD78B3" w:rsidRDefault="00000000">
      <w:pPr>
        <w:pStyle w:val="Heading2"/>
        <w:spacing w:before="360" w:after="180"/>
      </w:pPr>
      <w:r>
        <w:rPr>
          <w:b/>
          <w:bCs/>
          <w:color w:val="1F3864"/>
          <w:sz w:val="28"/>
          <w:szCs w:val="28"/>
        </w:rPr>
        <w:t>2.1 Background</w:t>
      </w:r>
    </w:p>
    <w:p w14:paraId="37C9CDD9" w14:textId="77777777" w:rsidR="00FD78B3" w:rsidRDefault="00000000">
      <w:pPr>
        <w:spacing w:after="220" w:line="380" w:lineRule="auto"/>
        <w:jc w:val="both"/>
      </w:pPr>
      <w:r>
        <w:t xml:space="preserve">Cryptocurrency markets are highly volatile and generate large volumes of time-series data every day. Making sense of this data — identifying trends, comparing assets, and estimating short-term direction — is a valuable skill at the intersection of data analytics and artificial intelligence. This project was undertaken to apply the concepts learnt during the AICTE–IBM </w:t>
      </w:r>
      <w:proofErr w:type="spellStart"/>
      <w:r>
        <w:t>SkillsBuild</w:t>
      </w:r>
      <w:proofErr w:type="spellEnd"/>
      <w:r>
        <w:t xml:space="preserve"> internship (data cleaning, exploratory data analysis, feature engineering, and supervised machine learning) to a real-world, publicly available dataset.</w:t>
      </w:r>
    </w:p>
    <w:p w14:paraId="53EAC4CA" w14:textId="77777777" w:rsidR="00FD78B3" w:rsidRDefault="00000000">
      <w:pPr>
        <w:pStyle w:val="Heading2"/>
        <w:spacing w:before="360" w:after="180"/>
      </w:pPr>
      <w:r>
        <w:rPr>
          <w:b/>
          <w:bCs/>
          <w:color w:val="1F3864"/>
          <w:sz w:val="28"/>
          <w:szCs w:val="28"/>
        </w:rPr>
        <w:t>2.2 Problem Statement</w:t>
      </w:r>
    </w:p>
    <w:p w14:paraId="708C53BE" w14:textId="77777777" w:rsidR="00FD78B3" w:rsidRDefault="00000000">
      <w:pPr>
        <w:spacing w:after="220" w:line="380" w:lineRule="auto"/>
        <w:jc w:val="both"/>
      </w:pPr>
      <w:r>
        <w:t xml:space="preserve">Given one year of daily historical price, volume, and market-capitalization data for the top 100 cryptocurrencies, the project aims to: (a) build a clear, interactive dashboard for exploring and comparing coin performance; (b) engineer meaningful technical features from raw market data; and (c) train and evaluate a machine-learning model that estimates the likelihood of a </w:t>
      </w:r>
      <w:r>
        <w:lastRenderedPageBreak/>
        <w:t>coin's next-day price increase, while being transparent about the model's accuracy and limitations.</w:t>
      </w:r>
    </w:p>
    <w:p w14:paraId="5275A279" w14:textId="77777777" w:rsidR="00FD78B3" w:rsidRDefault="00000000">
      <w:pPr>
        <w:pStyle w:val="Heading2"/>
        <w:spacing w:before="360" w:after="180"/>
      </w:pPr>
      <w:r>
        <w:rPr>
          <w:b/>
          <w:bCs/>
          <w:color w:val="1F3864"/>
          <w:sz w:val="28"/>
          <w:szCs w:val="28"/>
        </w:rPr>
        <w:t>2.3 Objectives</w:t>
      </w:r>
    </w:p>
    <w:p w14:paraId="05E6DEF1" w14:textId="77777777" w:rsidR="00FD78B3" w:rsidRDefault="00000000">
      <w:pPr>
        <w:pStyle w:val="ListParagraph"/>
        <w:numPr>
          <w:ilvl w:val="0"/>
          <w:numId w:val="2"/>
        </w:numPr>
        <w:spacing w:after="140" w:line="360" w:lineRule="auto"/>
      </w:pPr>
      <w:r>
        <w:t xml:space="preserve">Design and build a multi-page </w:t>
      </w:r>
      <w:proofErr w:type="spellStart"/>
      <w:r>
        <w:t>Streamlit</w:t>
      </w:r>
      <w:proofErr w:type="spellEnd"/>
      <w:r>
        <w:t xml:space="preserve"> dashboard for cryptocurrency analytics.</w:t>
      </w:r>
    </w:p>
    <w:p w14:paraId="05037502" w14:textId="77777777" w:rsidR="00FD78B3" w:rsidRDefault="00000000">
      <w:pPr>
        <w:pStyle w:val="ListParagraph"/>
        <w:numPr>
          <w:ilvl w:val="0"/>
          <w:numId w:val="2"/>
        </w:numPr>
        <w:spacing w:after="140" w:line="360" w:lineRule="auto"/>
      </w:pPr>
      <w:r>
        <w:t>Perform exploratory data analysis (price trends, return distributions, correlations) for individual coins.</w:t>
      </w:r>
    </w:p>
    <w:p w14:paraId="70AC7CB4" w14:textId="77777777" w:rsidR="00FD78B3" w:rsidRDefault="00000000">
      <w:pPr>
        <w:pStyle w:val="ListParagraph"/>
        <w:numPr>
          <w:ilvl w:val="0"/>
          <w:numId w:val="2"/>
        </w:numPr>
        <w:spacing w:after="140" w:line="360" w:lineRule="auto"/>
      </w:pPr>
      <w:r>
        <w:t>Enable side-by-side comparison of coins on return, volatility, and market-capitalization metrics.</w:t>
      </w:r>
    </w:p>
    <w:p w14:paraId="24390153" w14:textId="77777777" w:rsidR="00FD78B3" w:rsidRDefault="00000000">
      <w:pPr>
        <w:pStyle w:val="ListParagraph"/>
        <w:numPr>
          <w:ilvl w:val="0"/>
          <w:numId w:val="2"/>
        </w:numPr>
        <w:spacing w:after="140" w:line="360" w:lineRule="auto"/>
      </w:pPr>
      <w:r>
        <w:t>Engineer technical indicator features (moving averages, volatility, price deviation ratios, calendar features).</w:t>
      </w:r>
    </w:p>
    <w:p w14:paraId="39F4916A" w14:textId="77777777" w:rsidR="00FD78B3" w:rsidRDefault="00000000">
      <w:pPr>
        <w:pStyle w:val="ListParagraph"/>
        <w:numPr>
          <w:ilvl w:val="0"/>
          <w:numId w:val="2"/>
        </w:numPr>
        <w:spacing w:after="140" w:line="360" w:lineRule="auto"/>
      </w:pPr>
      <w:r>
        <w:t>Train a Random Forest classifier using a chronological (non-leaking) train/test split to predict next-day price direction.</w:t>
      </w:r>
    </w:p>
    <w:p w14:paraId="767B5530" w14:textId="77777777" w:rsidR="00FD78B3" w:rsidRDefault="00000000">
      <w:pPr>
        <w:pStyle w:val="ListParagraph"/>
        <w:numPr>
          <w:ilvl w:val="0"/>
          <w:numId w:val="2"/>
        </w:numPr>
        <w:spacing w:after="140" w:line="360" w:lineRule="auto"/>
      </w:pPr>
      <w:r>
        <w:t>Evaluate the model using accuracy, precision, recall, F1-score, ROC-AUC, a confusion matrix, and feature importance.</w:t>
      </w:r>
    </w:p>
    <w:p w14:paraId="74800FCA" w14:textId="77777777" w:rsidR="00FD78B3" w:rsidRDefault="00000000">
      <w:pPr>
        <w:pStyle w:val="ListParagraph"/>
        <w:numPr>
          <w:ilvl w:val="0"/>
          <w:numId w:val="2"/>
        </w:numPr>
        <w:spacing w:after="140" w:line="360" w:lineRule="auto"/>
      </w:pPr>
      <w:r>
        <w:t>Assess and report on overall data quality — missing values, duplicates, invalid dates, and constant columns.</w:t>
      </w:r>
    </w:p>
    <w:p w14:paraId="6FEAB43D" w14:textId="77777777" w:rsidR="00FD78B3" w:rsidRDefault="00000000">
      <w:pPr>
        <w:pStyle w:val="Heading1"/>
        <w:pBdr>
          <w:bottom w:val="single" w:sz="8" w:space="4" w:color="2E75B6"/>
        </w:pBdr>
        <w:spacing w:before="480" w:after="260"/>
      </w:pPr>
      <w:r>
        <w:rPr>
          <w:b/>
          <w:bCs/>
          <w:color w:val="1F3864"/>
          <w:sz w:val="34"/>
          <w:szCs w:val="34"/>
        </w:rPr>
        <w:t>3. Dataset Description</w:t>
      </w:r>
    </w:p>
    <w:p w14:paraId="1A116BBE" w14:textId="77777777" w:rsidR="00FD78B3" w:rsidRDefault="00000000">
      <w:pPr>
        <w:spacing w:after="220" w:line="380" w:lineRule="auto"/>
        <w:jc w:val="both"/>
      </w:pPr>
      <w:r>
        <w:t>The dataset used in this project, crypto_historical_365days.csv, contains approximately 365 days of historical daily market data for the top 100 cryptocurrencies (33,365 rows in total). It was sourced from Kaggle:</w:t>
      </w:r>
    </w:p>
    <w:p w14:paraId="295F1AF0" w14:textId="77777777" w:rsidR="00FD78B3" w:rsidRDefault="00000000">
      <w:pPr>
        <w:spacing w:after="200"/>
      </w:pPr>
      <w:r>
        <w:rPr>
          <w:i/>
          <w:iCs/>
          <w:color w:val="2E75B6"/>
        </w:rPr>
        <w:t>https://www.kaggle.com/datasets/mihikaajayjadhav/top-100-cryptocurrencies-daily-price-data-2025</w:t>
      </w:r>
    </w:p>
    <w:p w14:paraId="40992488" w14:textId="77777777" w:rsidR="00FD78B3" w:rsidRDefault="00000000">
      <w:pPr>
        <w:pStyle w:val="Heading2"/>
        <w:spacing w:before="360" w:after="180"/>
      </w:pPr>
      <w:r>
        <w:rPr>
          <w:b/>
          <w:bCs/>
          <w:color w:val="1F3864"/>
          <w:sz w:val="28"/>
          <w:szCs w:val="28"/>
        </w:rPr>
        <w:t>3.1 Key Columns</w:t>
      </w: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300"/>
      </w:tblGrid>
      <w:tr w:rsidR="00FD78B3" w14:paraId="29FA8036"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4E1B49DA" w14:textId="77777777" w:rsidR="00FD78B3" w:rsidRDefault="00000000">
            <w:pPr>
              <w:spacing w:line="300" w:lineRule="auto"/>
            </w:pPr>
            <w:proofErr w:type="spellStart"/>
            <w:r>
              <w:rPr>
                <w:b/>
                <w:bCs/>
                <w:color w:val="000000"/>
                <w:sz w:val="24"/>
                <w:szCs w:val="24"/>
              </w:rPr>
              <w:t>coin_id</w:t>
            </w:r>
            <w:proofErr w:type="spellEnd"/>
            <w:r>
              <w:rPr>
                <w:b/>
                <w:bCs/>
                <w:color w:val="000000"/>
                <w:sz w:val="24"/>
                <w:szCs w:val="24"/>
              </w:rPr>
              <w:t xml:space="preserve"> / </w:t>
            </w:r>
            <w:proofErr w:type="spellStart"/>
            <w:r>
              <w:rPr>
                <w:b/>
                <w:bCs/>
                <w:color w:val="000000"/>
                <w:sz w:val="24"/>
                <w:szCs w:val="24"/>
              </w:rPr>
              <w:t>coin_name</w:t>
            </w:r>
            <w:proofErr w:type="spellEnd"/>
            <w:r>
              <w:rPr>
                <w:b/>
                <w:bCs/>
                <w:color w:val="000000"/>
                <w:sz w:val="24"/>
                <w:szCs w:val="24"/>
              </w:rPr>
              <w:t xml:space="preserve"> / symbol</w:t>
            </w:r>
          </w:p>
        </w:tc>
        <w:tc>
          <w:tcPr>
            <w:tcW w:w="6300" w:type="dxa"/>
            <w:tcMar>
              <w:top w:w="140" w:type="dxa"/>
              <w:left w:w="140" w:type="dxa"/>
              <w:bottom w:w="140" w:type="dxa"/>
              <w:right w:w="140" w:type="dxa"/>
            </w:tcMar>
            <w:vAlign w:val="center"/>
          </w:tcPr>
          <w:p w14:paraId="07ECFEE0" w14:textId="77777777" w:rsidR="00FD78B3" w:rsidRDefault="00000000">
            <w:pPr>
              <w:spacing w:line="300" w:lineRule="auto"/>
            </w:pPr>
            <w:r>
              <w:rPr>
                <w:color w:val="000000"/>
                <w:sz w:val="24"/>
                <w:szCs w:val="24"/>
              </w:rPr>
              <w:t>Unique identifier, full name, and ticker symbol of each cryptocurrency</w:t>
            </w:r>
          </w:p>
        </w:tc>
      </w:tr>
      <w:tr w:rsidR="00FD78B3" w14:paraId="39E5C511"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0A15713C" w14:textId="77777777" w:rsidR="00FD78B3" w:rsidRDefault="00000000">
            <w:pPr>
              <w:spacing w:line="300" w:lineRule="auto"/>
            </w:pPr>
            <w:proofErr w:type="spellStart"/>
            <w:r>
              <w:rPr>
                <w:b/>
                <w:bCs/>
                <w:color w:val="000000"/>
                <w:sz w:val="24"/>
                <w:szCs w:val="24"/>
              </w:rPr>
              <w:t>market_cap_rank</w:t>
            </w:r>
            <w:proofErr w:type="spellEnd"/>
          </w:p>
        </w:tc>
        <w:tc>
          <w:tcPr>
            <w:tcW w:w="6300" w:type="dxa"/>
            <w:tcMar>
              <w:top w:w="140" w:type="dxa"/>
              <w:left w:w="140" w:type="dxa"/>
              <w:bottom w:w="140" w:type="dxa"/>
              <w:right w:w="140" w:type="dxa"/>
            </w:tcMar>
            <w:vAlign w:val="center"/>
          </w:tcPr>
          <w:p w14:paraId="73A5C790" w14:textId="77777777" w:rsidR="00FD78B3" w:rsidRDefault="00000000">
            <w:pPr>
              <w:spacing w:line="300" w:lineRule="auto"/>
            </w:pPr>
            <w:r>
              <w:rPr>
                <w:color w:val="000000"/>
                <w:sz w:val="24"/>
                <w:szCs w:val="24"/>
              </w:rPr>
              <w:t>Rank of the coin by market capitalization</w:t>
            </w:r>
          </w:p>
        </w:tc>
      </w:tr>
      <w:tr w:rsidR="00FD78B3" w14:paraId="4867F562"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3EC5EA6D" w14:textId="77777777" w:rsidR="00FD78B3" w:rsidRDefault="00000000">
            <w:pPr>
              <w:spacing w:line="300" w:lineRule="auto"/>
            </w:pPr>
            <w:r>
              <w:rPr>
                <w:b/>
                <w:bCs/>
                <w:color w:val="000000"/>
                <w:sz w:val="24"/>
                <w:szCs w:val="24"/>
              </w:rPr>
              <w:lastRenderedPageBreak/>
              <w:t>date / timestamp</w:t>
            </w:r>
          </w:p>
        </w:tc>
        <w:tc>
          <w:tcPr>
            <w:tcW w:w="6300" w:type="dxa"/>
            <w:tcMar>
              <w:top w:w="140" w:type="dxa"/>
              <w:left w:w="140" w:type="dxa"/>
              <w:bottom w:w="140" w:type="dxa"/>
              <w:right w:w="140" w:type="dxa"/>
            </w:tcMar>
            <w:vAlign w:val="center"/>
          </w:tcPr>
          <w:p w14:paraId="49BF3BDA" w14:textId="77777777" w:rsidR="00FD78B3" w:rsidRDefault="00000000">
            <w:pPr>
              <w:spacing w:line="300" w:lineRule="auto"/>
            </w:pPr>
            <w:r>
              <w:rPr>
                <w:color w:val="000000"/>
                <w:sz w:val="24"/>
                <w:szCs w:val="24"/>
              </w:rPr>
              <w:t>Calendar date of the observation</w:t>
            </w:r>
          </w:p>
        </w:tc>
      </w:tr>
      <w:tr w:rsidR="00FD78B3" w14:paraId="41A4AB6D"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573D8C9D" w14:textId="77777777" w:rsidR="00FD78B3" w:rsidRDefault="00000000">
            <w:pPr>
              <w:spacing w:line="300" w:lineRule="auto"/>
            </w:pPr>
            <w:r>
              <w:rPr>
                <w:b/>
                <w:bCs/>
                <w:color w:val="000000"/>
                <w:sz w:val="24"/>
                <w:szCs w:val="24"/>
              </w:rPr>
              <w:t>price</w:t>
            </w:r>
          </w:p>
        </w:tc>
        <w:tc>
          <w:tcPr>
            <w:tcW w:w="6300" w:type="dxa"/>
            <w:tcMar>
              <w:top w:w="140" w:type="dxa"/>
              <w:left w:w="140" w:type="dxa"/>
              <w:bottom w:w="140" w:type="dxa"/>
              <w:right w:w="140" w:type="dxa"/>
            </w:tcMar>
            <w:vAlign w:val="center"/>
          </w:tcPr>
          <w:p w14:paraId="6F483EF8" w14:textId="77777777" w:rsidR="00FD78B3" w:rsidRDefault="00000000">
            <w:pPr>
              <w:spacing w:line="300" w:lineRule="auto"/>
            </w:pPr>
            <w:r>
              <w:rPr>
                <w:color w:val="000000"/>
                <w:sz w:val="24"/>
                <w:szCs w:val="24"/>
              </w:rPr>
              <w:t>Closing price in USD</w:t>
            </w:r>
          </w:p>
        </w:tc>
      </w:tr>
      <w:tr w:rsidR="00FD78B3" w14:paraId="2CF083B0"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65514DD6" w14:textId="77777777" w:rsidR="00FD78B3" w:rsidRDefault="00000000">
            <w:pPr>
              <w:spacing w:line="300" w:lineRule="auto"/>
            </w:pPr>
            <w:proofErr w:type="spellStart"/>
            <w:r>
              <w:rPr>
                <w:b/>
                <w:bCs/>
                <w:color w:val="000000"/>
                <w:sz w:val="24"/>
                <w:szCs w:val="24"/>
              </w:rPr>
              <w:t>market_cap</w:t>
            </w:r>
            <w:proofErr w:type="spellEnd"/>
          </w:p>
        </w:tc>
        <w:tc>
          <w:tcPr>
            <w:tcW w:w="6300" w:type="dxa"/>
            <w:tcMar>
              <w:top w:w="140" w:type="dxa"/>
              <w:left w:w="140" w:type="dxa"/>
              <w:bottom w:w="140" w:type="dxa"/>
              <w:right w:w="140" w:type="dxa"/>
            </w:tcMar>
            <w:vAlign w:val="center"/>
          </w:tcPr>
          <w:p w14:paraId="7B23F164" w14:textId="77777777" w:rsidR="00FD78B3" w:rsidRDefault="00000000">
            <w:pPr>
              <w:spacing w:line="300" w:lineRule="auto"/>
            </w:pPr>
            <w:r>
              <w:rPr>
                <w:color w:val="000000"/>
                <w:sz w:val="24"/>
                <w:szCs w:val="24"/>
              </w:rPr>
              <w:t>Total market capitalization in USD</w:t>
            </w:r>
          </w:p>
        </w:tc>
      </w:tr>
      <w:tr w:rsidR="00FD78B3" w14:paraId="4A702555"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21F8C23E" w14:textId="77777777" w:rsidR="00FD78B3" w:rsidRDefault="00000000">
            <w:pPr>
              <w:spacing w:line="300" w:lineRule="auto"/>
            </w:pPr>
            <w:r>
              <w:rPr>
                <w:b/>
                <w:bCs/>
                <w:color w:val="000000"/>
                <w:sz w:val="24"/>
                <w:szCs w:val="24"/>
              </w:rPr>
              <w:t>volume</w:t>
            </w:r>
          </w:p>
        </w:tc>
        <w:tc>
          <w:tcPr>
            <w:tcW w:w="6300" w:type="dxa"/>
            <w:tcMar>
              <w:top w:w="140" w:type="dxa"/>
              <w:left w:w="140" w:type="dxa"/>
              <w:bottom w:w="140" w:type="dxa"/>
              <w:right w:w="140" w:type="dxa"/>
            </w:tcMar>
            <w:vAlign w:val="center"/>
          </w:tcPr>
          <w:p w14:paraId="5F408D0D" w14:textId="77777777" w:rsidR="00FD78B3" w:rsidRDefault="00000000">
            <w:pPr>
              <w:spacing w:line="300" w:lineRule="auto"/>
            </w:pPr>
            <w:r>
              <w:rPr>
                <w:color w:val="000000"/>
                <w:sz w:val="24"/>
                <w:szCs w:val="24"/>
              </w:rPr>
              <w:t>Trading volume in USD</w:t>
            </w:r>
          </w:p>
        </w:tc>
      </w:tr>
      <w:tr w:rsidR="00FD78B3" w14:paraId="1ACAAD63"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4B550026" w14:textId="77777777" w:rsidR="00FD78B3" w:rsidRDefault="00000000">
            <w:pPr>
              <w:spacing w:line="300" w:lineRule="auto"/>
            </w:pPr>
            <w:proofErr w:type="spellStart"/>
            <w:r>
              <w:rPr>
                <w:b/>
                <w:bCs/>
                <w:color w:val="000000"/>
                <w:sz w:val="24"/>
                <w:szCs w:val="24"/>
              </w:rPr>
              <w:t>daily_return</w:t>
            </w:r>
            <w:proofErr w:type="spellEnd"/>
          </w:p>
        </w:tc>
        <w:tc>
          <w:tcPr>
            <w:tcW w:w="6300" w:type="dxa"/>
            <w:tcMar>
              <w:top w:w="140" w:type="dxa"/>
              <w:left w:w="140" w:type="dxa"/>
              <w:bottom w:w="140" w:type="dxa"/>
              <w:right w:w="140" w:type="dxa"/>
            </w:tcMar>
            <w:vAlign w:val="center"/>
          </w:tcPr>
          <w:p w14:paraId="16F39C95" w14:textId="77777777" w:rsidR="00FD78B3" w:rsidRDefault="00000000">
            <w:pPr>
              <w:spacing w:line="300" w:lineRule="auto"/>
            </w:pPr>
            <w:r>
              <w:rPr>
                <w:color w:val="000000"/>
                <w:sz w:val="24"/>
                <w:szCs w:val="24"/>
              </w:rPr>
              <w:t>Percentage change in price versus the previous day</w:t>
            </w:r>
          </w:p>
        </w:tc>
      </w:tr>
      <w:tr w:rsidR="00FD78B3" w14:paraId="7376D4F2"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6C6A7DB6" w14:textId="77777777" w:rsidR="00FD78B3" w:rsidRDefault="00000000">
            <w:pPr>
              <w:spacing w:line="300" w:lineRule="auto"/>
            </w:pPr>
            <w:r>
              <w:rPr>
                <w:b/>
                <w:bCs/>
                <w:color w:val="000000"/>
                <w:sz w:val="24"/>
                <w:szCs w:val="24"/>
              </w:rPr>
              <w:t>price_ma7 / price_ma30</w:t>
            </w:r>
          </w:p>
        </w:tc>
        <w:tc>
          <w:tcPr>
            <w:tcW w:w="6300" w:type="dxa"/>
            <w:tcMar>
              <w:top w:w="140" w:type="dxa"/>
              <w:left w:w="140" w:type="dxa"/>
              <w:bottom w:w="140" w:type="dxa"/>
              <w:right w:w="140" w:type="dxa"/>
            </w:tcMar>
            <w:vAlign w:val="center"/>
          </w:tcPr>
          <w:p w14:paraId="4C65ABA6" w14:textId="77777777" w:rsidR="00FD78B3" w:rsidRDefault="00000000">
            <w:pPr>
              <w:spacing w:line="300" w:lineRule="auto"/>
            </w:pPr>
            <w:r>
              <w:rPr>
                <w:color w:val="000000"/>
                <w:sz w:val="24"/>
                <w:szCs w:val="24"/>
              </w:rPr>
              <w:t>7-day and 30-day moving average of price</w:t>
            </w:r>
          </w:p>
        </w:tc>
      </w:tr>
      <w:tr w:rsidR="00FD78B3" w14:paraId="6DF795B5"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30D4395B" w14:textId="77777777" w:rsidR="00FD78B3" w:rsidRDefault="00000000">
            <w:pPr>
              <w:spacing w:line="300" w:lineRule="auto"/>
            </w:pPr>
            <w:r>
              <w:rPr>
                <w:b/>
                <w:bCs/>
                <w:color w:val="000000"/>
                <w:sz w:val="24"/>
                <w:szCs w:val="24"/>
              </w:rPr>
              <w:t>volatility_7d</w:t>
            </w:r>
          </w:p>
        </w:tc>
        <w:tc>
          <w:tcPr>
            <w:tcW w:w="6300" w:type="dxa"/>
            <w:tcMar>
              <w:top w:w="140" w:type="dxa"/>
              <w:left w:w="140" w:type="dxa"/>
              <w:bottom w:w="140" w:type="dxa"/>
              <w:right w:w="140" w:type="dxa"/>
            </w:tcMar>
            <w:vAlign w:val="center"/>
          </w:tcPr>
          <w:p w14:paraId="58A93232" w14:textId="77777777" w:rsidR="00FD78B3" w:rsidRDefault="00000000">
            <w:pPr>
              <w:spacing w:line="300" w:lineRule="auto"/>
            </w:pPr>
            <w:r>
              <w:rPr>
                <w:color w:val="000000"/>
                <w:sz w:val="24"/>
                <w:szCs w:val="24"/>
              </w:rPr>
              <w:t>Rolling 7-day price volatility</w:t>
            </w:r>
          </w:p>
        </w:tc>
      </w:tr>
      <w:tr w:rsidR="00FD78B3" w14:paraId="6FCFD2D1"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4E373006" w14:textId="77777777" w:rsidR="00FD78B3" w:rsidRDefault="00000000">
            <w:pPr>
              <w:spacing w:line="300" w:lineRule="auto"/>
            </w:pPr>
            <w:proofErr w:type="spellStart"/>
            <w:r>
              <w:rPr>
                <w:b/>
                <w:bCs/>
                <w:color w:val="000000"/>
                <w:sz w:val="24"/>
                <w:szCs w:val="24"/>
              </w:rPr>
              <w:t>cumulative_return</w:t>
            </w:r>
            <w:proofErr w:type="spellEnd"/>
          </w:p>
        </w:tc>
        <w:tc>
          <w:tcPr>
            <w:tcW w:w="6300" w:type="dxa"/>
            <w:tcMar>
              <w:top w:w="140" w:type="dxa"/>
              <w:left w:w="140" w:type="dxa"/>
              <w:bottom w:w="140" w:type="dxa"/>
              <w:right w:w="140" w:type="dxa"/>
            </w:tcMar>
            <w:vAlign w:val="center"/>
          </w:tcPr>
          <w:p w14:paraId="363A25FB" w14:textId="77777777" w:rsidR="00FD78B3" w:rsidRDefault="00000000">
            <w:pPr>
              <w:spacing w:line="300" w:lineRule="auto"/>
            </w:pPr>
            <w:r>
              <w:rPr>
                <w:color w:val="000000"/>
                <w:sz w:val="24"/>
                <w:szCs w:val="24"/>
              </w:rPr>
              <w:t>Cumulative percentage return since the start of the series</w:t>
            </w:r>
          </w:p>
        </w:tc>
      </w:tr>
    </w:tbl>
    <w:p w14:paraId="12D78474" w14:textId="77777777" w:rsidR="00FD78B3" w:rsidRDefault="00000000">
      <w:pPr>
        <w:pStyle w:val="Heading2"/>
        <w:spacing w:before="360" w:after="180"/>
      </w:pPr>
      <w:r>
        <w:rPr>
          <w:b/>
          <w:bCs/>
          <w:color w:val="1F3864"/>
          <w:sz w:val="28"/>
          <w:szCs w:val="28"/>
        </w:rPr>
        <w:t>3.2 Data Preparation</w:t>
      </w:r>
    </w:p>
    <w:p w14:paraId="71011899" w14:textId="77777777" w:rsidR="00FD78B3" w:rsidRDefault="00000000">
      <w:pPr>
        <w:spacing w:after="220" w:line="380" w:lineRule="auto"/>
        <w:jc w:val="both"/>
      </w:pPr>
      <w:r>
        <w:t>The raw CSV is loaded with pandas, the date column is parsed to a proper datetime type, and records are sorted by coin and date. The dataset is used as-is; the project does not alter the underlying source data beyond the feature engineering performed for modelling, as documented in the project README.</w:t>
      </w:r>
    </w:p>
    <w:p w14:paraId="5219AA34" w14:textId="77777777" w:rsidR="00FD78B3" w:rsidRDefault="00000000">
      <w:pPr>
        <w:pStyle w:val="Heading1"/>
        <w:pBdr>
          <w:bottom w:val="single" w:sz="8" w:space="4" w:color="2E75B6"/>
        </w:pBdr>
        <w:spacing w:before="480" w:after="260"/>
      </w:pPr>
      <w:r>
        <w:rPr>
          <w:b/>
          <w:bCs/>
          <w:color w:val="1F3864"/>
          <w:sz w:val="34"/>
          <w:szCs w:val="34"/>
        </w:rPr>
        <w:t>4. Tools &amp; Technologies</w:t>
      </w: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300"/>
      </w:tblGrid>
      <w:tr w:rsidR="00FD78B3" w14:paraId="2A00D046"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3DA37A36" w14:textId="77777777" w:rsidR="00FD78B3" w:rsidRDefault="00000000">
            <w:pPr>
              <w:spacing w:line="300" w:lineRule="auto"/>
            </w:pPr>
            <w:r>
              <w:rPr>
                <w:b/>
                <w:bCs/>
                <w:color w:val="000000"/>
                <w:sz w:val="24"/>
                <w:szCs w:val="24"/>
              </w:rPr>
              <w:t>Programming Language</w:t>
            </w:r>
          </w:p>
        </w:tc>
        <w:tc>
          <w:tcPr>
            <w:tcW w:w="6300" w:type="dxa"/>
            <w:tcMar>
              <w:top w:w="140" w:type="dxa"/>
              <w:left w:w="140" w:type="dxa"/>
              <w:bottom w:w="140" w:type="dxa"/>
              <w:right w:w="140" w:type="dxa"/>
            </w:tcMar>
            <w:vAlign w:val="center"/>
          </w:tcPr>
          <w:p w14:paraId="439443FB" w14:textId="77777777" w:rsidR="00FD78B3" w:rsidRDefault="00000000">
            <w:pPr>
              <w:spacing w:line="300" w:lineRule="auto"/>
            </w:pPr>
            <w:r>
              <w:rPr>
                <w:color w:val="000000"/>
                <w:sz w:val="24"/>
                <w:szCs w:val="24"/>
              </w:rPr>
              <w:t>Python 3</w:t>
            </w:r>
          </w:p>
        </w:tc>
      </w:tr>
      <w:tr w:rsidR="00FD78B3" w14:paraId="430957E0"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7C42C9F8" w14:textId="77777777" w:rsidR="00FD78B3" w:rsidRDefault="00000000">
            <w:pPr>
              <w:spacing w:line="300" w:lineRule="auto"/>
            </w:pPr>
            <w:r>
              <w:rPr>
                <w:b/>
                <w:bCs/>
                <w:color w:val="000000"/>
                <w:sz w:val="24"/>
                <w:szCs w:val="24"/>
              </w:rPr>
              <w:t>Web Framework / Front End</w:t>
            </w:r>
          </w:p>
        </w:tc>
        <w:tc>
          <w:tcPr>
            <w:tcW w:w="6300" w:type="dxa"/>
            <w:tcMar>
              <w:top w:w="140" w:type="dxa"/>
              <w:left w:w="140" w:type="dxa"/>
              <w:bottom w:w="140" w:type="dxa"/>
              <w:right w:w="140" w:type="dxa"/>
            </w:tcMar>
            <w:vAlign w:val="center"/>
          </w:tcPr>
          <w:p w14:paraId="294B264E" w14:textId="77777777" w:rsidR="00FD78B3" w:rsidRDefault="00000000">
            <w:pPr>
              <w:spacing w:line="300" w:lineRule="auto"/>
            </w:pPr>
            <w:proofErr w:type="spellStart"/>
            <w:r>
              <w:rPr>
                <w:color w:val="000000"/>
                <w:sz w:val="24"/>
                <w:szCs w:val="24"/>
              </w:rPr>
              <w:t>Streamlit</w:t>
            </w:r>
            <w:proofErr w:type="spellEnd"/>
          </w:p>
        </w:tc>
      </w:tr>
      <w:tr w:rsidR="00FD78B3" w14:paraId="2E24DBAB"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587D0889" w14:textId="77777777" w:rsidR="00FD78B3" w:rsidRDefault="00000000">
            <w:pPr>
              <w:spacing w:line="300" w:lineRule="auto"/>
            </w:pPr>
            <w:r>
              <w:rPr>
                <w:b/>
                <w:bCs/>
                <w:color w:val="000000"/>
                <w:sz w:val="24"/>
                <w:szCs w:val="24"/>
              </w:rPr>
              <w:t>Data Processing</w:t>
            </w:r>
          </w:p>
        </w:tc>
        <w:tc>
          <w:tcPr>
            <w:tcW w:w="6300" w:type="dxa"/>
            <w:tcMar>
              <w:top w:w="140" w:type="dxa"/>
              <w:left w:w="140" w:type="dxa"/>
              <w:bottom w:w="140" w:type="dxa"/>
              <w:right w:w="140" w:type="dxa"/>
            </w:tcMar>
            <w:vAlign w:val="center"/>
          </w:tcPr>
          <w:p w14:paraId="4FBD59A4" w14:textId="77777777" w:rsidR="00FD78B3" w:rsidRDefault="00000000">
            <w:pPr>
              <w:spacing w:line="300" w:lineRule="auto"/>
            </w:pPr>
            <w:r>
              <w:rPr>
                <w:color w:val="000000"/>
                <w:sz w:val="24"/>
                <w:szCs w:val="24"/>
              </w:rPr>
              <w:t>pandas, NumPy</w:t>
            </w:r>
          </w:p>
        </w:tc>
      </w:tr>
      <w:tr w:rsidR="00FD78B3" w14:paraId="0E6F3407"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570C08F6" w14:textId="77777777" w:rsidR="00FD78B3" w:rsidRDefault="00000000">
            <w:pPr>
              <w:spacing w:line="300" w:lineRule="auto"/>
            </w:pPr>
            <w:r>
              <w:rPr>
                <w:b/>
                <w:bCs/>
                <w:color w:val="000000"/>
                <w:sz w:val="24"/>
                <w:szCs w:val="24"/>
              </w:rPr>
              <w:t>Machine Learning</w:t>
            </w:r>
          </w:p>
        </w:tc>
        <w:tc>
          <w:tcPr>
            <w:tcW w:w="6300" w:type="dxa"/>
            <w:tcMar>
              <w:top w:w="140" w:type="dxa"/>
              <w:left w:w="140" w:type="dxa"/>
              <w:bottom w:w="140" w:type="dxa"/>
              <w:right w:w="140" w:type="dxa"/>
            </w:tcMar>
            <w:vAlign w:val="center"/>
          </w:tcPr>
          <w:p w14:paraId="03C0970B" w14:textId="77777777" w:rsidR="00FD78B3" w:rsidRDefault="00000000">
            <w:pPr>
              <w:spacing w:line="300" w:lineRule="auto"/>
            </w:pPr>
            <w:r>
              <w:rPr>
                <w:color w:val="000000"/>
                <w:sz w:val="24"/>
                <w:szCs w:val="24"/>
              </w:rPr>
              <w:t>scikit-learn (RandomForestClassifier)</w:t>
            </w:r>
          </w:p>
        </w:tc>
      </w:tr>
      <w:tr w:rsidR="00FD78B3" w14:paraId="5748E8BF"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5B2B9867" w14:textId="77777777" w:rsidR="00FD78B3" w:rsidRDefault="00000000">
            <w:pPr>
              <w:spacing w:line="300" w:lineRule="auto"/>
            </w:pPr>
            <w:r>
              <w:rPr>
                <w:b/>
                <w:bCs/>
                <w:color w:val="000000"/>
                <w:sz w:val="24"/>
                <w:szCs w:val="24"/>
              </w:rPr>
              <w:t>Visualization</w:t>
            </w:r>
          </w:p>
        </w:tc>
        <w:tc>
          <w:tcPr>
            <w:tcW w:w="6300" w:type="dxa"/>
            <w:tcMar>
              <w:top w:w="140" w:type="dxa"/>
              <w:left w:w="140" w:type="dxa"/>
              <w:bottom w:w="140" w:type="dxa"/>
              <w:right w:w="140" w:type="dxa"/>
            </w:tcMar>
            <w:vAlign w:val="center"/>
          </w:tcPr>
          <w:p w14:paraId="32829989" w14:textId="77777777" w:rsidR="00FD78B3" w:rsidRDefault="00000000">
            <w:pPr>
              <w:spacing w:line="300" w:lineRule="auto"/>
            </w:pPr>
            <w:proofErr w:type="spellStart"/>
            <w:r>
              <w:rPr>
                <w:color w:val="000000"/>
                <w:sz w:val="24"/>
                <w:szCs w:val="24"/>
              </w:rPr>
              <w:t>Plotly</w:t>
            </w:r>
            <w:proofErr w:type="spellEnd"/>
            <w:r>
              <w:rPr>
                <w:color w:val="000000"/>
                <w:sz w:val="24"/>
                <w:szCs w:val="24"/>
              </w:rPr>
              <w:t>, Matplotlib, Seaborn</w:t>
            </w:r>
          </w:p>
        </w:tc>
      </w:tr>
      <w:tr w:rsidR="00FD78B3" w14:paraId="3BB1F723"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2315C845" w14:textId="77777777" w:rsidR="00FD78B3" w:rsidRDefault="00000000">
            <w:pPr>
              <w:spacing w:line="300" w:lineRule="auto"/>
            </w:pPr>
            <w:r>
              <w:rPr>
                <w:b/>
                <w:bCs/>
                <w:color w:val="000000"/>
                <w:sz w:val="24"/>
                <w:szCs w:val="24"/>
              </w:rPr>
              <w:t>Data Source</w:t>
            </w:r>
          </w:p>
        </w:tc>
        <w:tc>
          <w:tcPr>
            <w:tcW w:w="6300" w:type="dxa"/>
            <w:tcMar>
              <w:top w:w="140" w:type="dxa"/>
              <w:left w:w="140" w:type="dxa"/>
              <w:bottom w:w="140" w:type="dxa"/>
              <w:right w:w="140" w:type="dxa"/>
            </w:tcMar>
            <w:vAlign w:val="center"/>
          </w:tcPr>
          <w:p w14:paraId="15B0D397" w14:textId="77777777" w:rsidR="00FD78B3" w:rsidRDefault="00000000">
            <w:pPr>
              <w:spacing w:line="300" w:lineRule="auto"/>
            </w:pPr>
            <w:r>
              <w:rPr>
                <w:color w:val="000000"/>
                <w:sz w:val="24"/>
                <w:szCs w:val="24"/>
              </w:rPr>
              <w:t>Kaggle — Top 100 Cryptocurrencies Daily Price Data</w:t>
            </w:r>
          </w:p>
        </w:tc>
      </w:tr>
      <w:tr w:rsidR="00FD78B3" w14:paraId="775F00E7" w14:textId="77777777">
        <w:tblPrEx>
          <w:tblCellMar>
            <w:top w:w="0" w:type="dxa"/>
            <w:bottom w:w="0" w:type="dxa"/>
          </w:tblCellMar>
        </w:tblPrEx>
        <w:tc>
          <w:tcPr>
            <w:tcW w:w="3200" w:type="dxa"/>
            <w:shd w:val="clear" w:color="auto" w:fill="F2F2F2"/>
            <w:tcMar>
              <w:top w:w="140" w:type="dxa"/>
              <w:left w:w="140" w:type="dxa"/>
              <w:bottom w:w="140" w:type="dxa"/>
              <w:right w:w="140" w:type="dxa"/>
            </w:tcMar>
            <w:vAlign w:val="center"/>
          </w:tcPr>
          <w:p w14:paraId="3562C4CB" w14:textId="77777777" w:rsidR="00FD78B3" w:rsidRDefault="00000000">
            <w:pPr>
              <w:spacing w:line="300" w:lineRule="auto"/>
            </w:pPr>
            <w:r>
              <w:rPr>
                <w:b/>
                <w:bCs/>
                <w:color w:val="000000"/>
                <w:sz w:val="24"/>
                <w:szCs w:val="24"/>
              </w:rPr>
              <w:t>Development Environment</w:t>
            </w:r>
          </w:p>
        </w:tc>
        <w:tc>
          <w:tcPr>
            <w:tcW w:w="6300" w:type="dxa"/>
            <w:tcMar>
              <w:top w:w="140" w:type="dxa"/>
              <w:left w:w="140" w:type="dxa"/>
              <w:bottom w:w="140" w:type="dxa"/>
              <w:right w:w="140" w:type="dxa"/>
            </w:tcMar>
            <w:vAlign w:val="center"/>
          </w:tcPr>
          <w:p w14:paraId="292479BD" w14:textId="77777777" w:rsidR="00FD78B3" w:rsidRDefault="00000000">
            <w:pPr>
              <w:spacing w:line="300" w:lineRule="auto"/>
            </w:pPr>
            <w:r>
              <w:rPr>
                <w:color w:val="000000"/>
                <w:sz w:val="24"/>
                <w:szCs w:val="24"/>
              </w:rPr>
              <w:t>Local Python virtual environment</w:t>
            </w:r>
          </w:p>
        </w:tc>
      </w:tr>
    </w:tbl>
    <w:p w14:paraId="12B2956F" w14:textId="77777777" w:rsidR="00FD78B3" w:rsidRDefault="00000000">
      <w:pPr>
        <w:pStyle w:val="Heading1"/>
        <w:pBdr>
          <w:bottom w:val="single" w:sz="8" w:space="4" w:color="2E75B6"/>
        </w:pBdr>
        <w:spacing w:before="480" w:after="260"/>
      </w:pPr>
      <w:r>
        <w:rPr>
          <w:b/>
          <w:bCs/>
          <w:color w:val="1F3864"/>
          <w:sz w:val="34"/>
          <w:szCs w:val="34"/>
        </w:rPr>
        <w:lastRenderedPageBreak/>
        <w:t>5. Methodology</w:t>
      </w:r>
    </w:p>
    <w:p w14:paraId="681B6C02" w14:textId="77777777" w:rsidR="00FD78B3" w:rsidRDefault="00000000">
      <w:pPr>
        <w:pStyle w:val="Heading2"/>
        <w:spacing w:before="360" w:after="180"/>
      </w:pPr>
      <w:r>
        <w:rPr>
          <w:b/>
          <w:bCs/>
          <w:color w:val="1F3864"/>
          <w:sz w:val="28"/>
          <w:szCs w:val="28"/>
        </w:rPr>
        <w:t>5.1 Feature Engineering</w:t>
      </w:r>
    </w:p>
    <w:p w14:paraId="7F0B7AC4" w14:textId="77777777" w:rsidR="00FD78B3" w:rsidRDefault="00000000">
      <w:pPr>
        <w:spacing w:after="220" w:line="380" w:lineRule="auto"/>
        <w:jc w:val="both"/>
      </w:pPr>
      <w:r>
        <w:t>Beyond the raw columns supplied in the dataset, the following derived features are engineered for the prediction model:</w:t>
      </w:r>
    </w:p>
    <w:p w14:paraId="76719C93" w14:textId="77777777" w:rsidR="00FD78B3" w:rsidRDefault="00000000">
      <w:pPr>
        <w:pStyle w:val="ListParagraph"/>
        <w:numPr>
          <w:ilvl w:val="0"/>
          <w:numId w:val="2"/>
        </w:numPr>
        <w:spacing w:after="140" w:line="360" w:lineRule="auto"/>
      </w:pPr>
      <w:proofErr w:type="spellStart"/>
      <w:r>
        <w:t>volume_to_marketcap</w:t>
      </w:r>
      <w:proofErr w:type="spellEnd"/>
      <w:r>
        <w:t xml:space="preserve"> — trading volume expressed as a ratio of market capitalization</w:t>
      </w:r>
    </w:p>
    <w:p w14:paraId="7F90987A" w14:textId="77777777" w:rsidR="00FD78B3" w:rsidRDefault="00000000">
      <w:pPr>
        <w:pStyle w:val="ListParagraph"/>
        <w:numPr>
          <w:ilvl w:val="0"/>
          <w:numId w:val="2"/>
        </w:numPr>
        <w:spacing w:after="140" w:line="360" w:lineRule="auto"/>
      </w:pPr>
      <w:r>
        <w:t>price_vs_ma7 / price_vs_ma30 — percentage deviation of the current price from its 7-day and 30-day moving averages</w:t>
      </w:r>
    </w:p>
    <w:p w14:paraId="693681DF" w14:textId="77777777" w:rsidR="00FD78B3" w:rsidRDefault="00000000">
      <w:pPr>
        <w:pStyle w:val="ListParagraph"/>
        <w:numPr>
          <w:ilvl w:val="0"/>
          <w:numId w:val="2"/>
        </w:numPr>
        <w:spacing w:after="140" w:line="360" w:lineRule="auto"/>
      </w:pPr>
      <w:proofErr w:type="spellStart"/>
      <w:r>
        <w:t>day_of_week</w:t>
      </w:r>
      <w:proofErr w:type="spellEnd"/>
      <w:r>
        <w:t xml:space="preserve">, </w:t>
      </w:r>
      <w:proofErr w:type="spellStart"/>
      <w:r>
        <w:t>day_of_month</w:t>
      </w:r>
      <w:proofErr w:type="spellEnd"/>
      <w:r>
        <w:t xml:space="preserve">, </w:t>
      </w:r>
      <w:proofErr w:type="spellStart"/>
      <w:r>
        <w:t>month_num</w:t>
      </w:r>
      <w:proofErr w:type="spellEnd"/>
      <w:r>
        <w:t xml:space="preserve">, </w:t>
      </w:r>
      <w:proofErr w:type="spellStart"/>
      <w:r>
        <w:t>is_month_end</w:t>
      </w:r>
      <w:proofErr w:type="spellEnd"/>
      <w:r>
        <w:t xml:space="preserve"> — calendar-based features capturing potential seasonal patterns</w:t>
      </w:r>
    </w:p>
    <w:p w14:paraId="6B212419" w14:textId="77777777" w:rsidR="00FD78B3" w:rsidRDefault="00000000">
      <w:pPr>
        <w:spacing w:after="220" w:line="380" w:lineRule="auto"/>
        <w:jc w:val="both"/>
      </w:pPr>
      <w:r>
        <w:t>Missing values in numeric feature columns are imputed using the column median before model training, ensuring a complete, leakage-free feature matrix.</w:t>
      </w:r>
    </w:p>
    <w:p w14:paraId="7172B5FC" w14:textId="77777777" w:rsidR="00FD78B3" w:rsidRDefault="00000000">
      <w:pPr>
        <w:pStyle w:val="Heading2"/>
        <w:spacing w:before="360" w:after="180"/>
      </w:pPr>
      <w:r>
        <w:rPr>
          <w:b/>
          <w:bCs/>
          <w:color w:val="1F3864"/>
          <w:sz w:val="28"/>
          <w:szCs w:val="28"/>
        </w:rPr>
        <w:t>5.2 Target Variable</w:t>
      </w:r>
    </w:p>
    <w:p w14:paraId="58BC7BC2" w14:textId="77777777" w:rsidR="00FD78B3" w:rsidRDefault="00000000">
      <w:pPr>
        <w:spacing w:after="220" w:line="380" w:lineRule="auto"/>
        <w:jc w:val="both"/>
      </w:pPr>
      <w:r>
        <w:t xml:space="preserve">The prediction target is a binary label indicating whether a coin's next-day return is positive. For each coin, the price is shifted forward by one day (grouped by </w:t>
      </w:r>
      <w:proofErr w:type="spellStart"/>
      <w:r>
        <w:t>coin_id</w:t>
      </w:r>
      <w:proofErr w:type="spellEnd"/>
      <w:r>
        <w:t>) to compute the next-day percentage return; the target is set to 1 if this return is greater than zero, and 0 otherwise.</w:t>
      </w:r>
    </w:p>
    <w:p w14:paraId="51E49B04" w14:textId="77777777" w:rsidR="00FD78B3" w:rsidRDefault="00000000">
      <w:pPr>
        <w:pStyle w:val="Heading2"/>
        <w:spacing w:before="360" w:after="180"/>
      </w:pPr>
      <w:r>
        <w:rPr>
          <w:b/>
          <w:bCs/>
          <w:color w:val="1F3864"/>
          <w:sz w:val="28"/>
          <w:szCs w:val="28"/>
        </w:rPr>
        <w:t>5.3 Train / Test Split</w:t>
      </w:r>
    </w:p>
    <w:p w14:paraId="4A1BC49D" w14:textId="77777777" w:rsidR="00FD78B3" w:rsidRDefault="00000000">
      <w:pPr>
        <w:spacing w:after="220" w:line="380" w:lineRule="auto"/>
        <w:jc w:val="both"/>
      </w:pPr>
      <w:r>
        <w:t>To avoid look-ahead bias, the data is split chronologically rather than randomly: the first 80% of dates (across all coins) form the training set, and the most recent 20% form the held-out test set. This ensures the model is evaluated on data strictly after the period it was trained on, closely mirroring a real-world deployment scenario.</w:t>
      </w:r>
    </w:p>
    <w:p w14:paraId="2652A4E9" w14:textId="77777777" w:rsidR="00FD78B3" w:rsidRDefault="00000000">
      <w:pPr>
        <w:pStyle w:val="Heading2"/>
        <w:spacing w:before="360" w:after="180"/>
      </w:pPr>
      <w:r>
        <w:rPr>
          <w:b/>
          <w:bCs/>
          <w:color w:val="1F3864"/>
          <w:sz w:val="28"/>
          <w:szCs w:val="28"/>
        </w:rPr>
        <w:t>5.4 Model</w:t>
      </w:r>
    </w:p>
    <w:p w14:paraId="4B8D4B5F" w14:textId="77777777" w:rsidR="00FD78B3" w:rsidRDefault="00000000">
      <w:pPr>
        <w:spacing w:after="220" w:line="380" w:lineRule="auto"/>
        <w:jc w:val="both"/>
      </w:pPr>
      <w:r>
        <w:t xml:space="preserve">A RandomForestClassifier from scikit-learn is trained with 300 estimators, a minimum of 2 samples per leaf, and </w:t>
      </w:r>
      <w:proofErr w:type="spellStart"/>
      <w:r>
        <w:t>balanced_subsample</w:t>
      </w:r>
      <w:proofErr w:type="spellEnd"/>
      <w:r>
        <w:t xml:space="preserve"> class weighting to counter any class imbalance between “up” and “down” days. Random forests were chosen for their robustness to noisy </w:t>
      </w:r>
      <w:r>
        <w:lastRenderedPageBreak/>
        <w:t>financial data, resistance to overfitting relative to a single decision tree, and their built-in feature-importance ranking, which supports model interpretability.</w:t>
      </w:r>
    </w:p>
    <w:p w14:paraId="0691555B" w14:textId="77777777" w:rsidR="00FD78B3" w:rsidRDefault="00000000">
      <w:pPr>
        <w:pStyle w:val="Heading1"/>
        <w:pBdr>
          <w:bottom w:val="single" w:sz="8" w:space="4" w:color="2E75B6"/>
        </w:pBdr>
        <w:spacing w:before="480" w:after="260"/>
      </w:pPr>
      <w:r>
        <w:rPr>
          <w:b/>
          <w:bCs/>
          <w:color w:val="1F3864"/>
          <w:sz w:val="34"/>
          <w:szCs w:val="34"/>
        </w:rPr>
        <w:t>6. Dashboard Modules</w:t>
      </w:r>
    </w:p>
    <w:p w14:paraId="10842F5F" w14:textId="77777777" w:rsidR="00FD78B3" w:rsidRDefault="00000000">
      <w:pPr>
        <w:spacing w:after="220" w:line="380" w:lineRule="auto"/>
        <w:jc w:val="both"/>
      </w:pPr>
      <w:r>
        <w:t>The application is organised into six navigable pages, summarised below and illustrated with screenshots from the running dashboard.</w:t>
      </w: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300"/>
      </w:tblGrid>
      <w:tr w:rsidR="00FD78B3" w14:paraId="3E92332D" w14:textId="77777777">
        <w:tblPrEx>
          <w:tblCellMar>
            <w:top w:w="0" w:type="dxa"/>
            <w:bottom w:w="0" w:type="dxa"/>
          </w:tblCellMar>
        </w:tblPrEx>
        <w:trPr>
          <w:tblHeader/>
        </w:trPr>
        <w:tc>
          <w:tcPr>
            <w:tcW w:w="2200" w:type="dxa"/>
            <w:shd w:val="clear" w:color="auto" w:fill="1F3864"/>
            <w:tcMar>
              <w:top w:w="140" w:type="dxa"/>
              <w:left w:w="140" w:type="dxa"/>
              <w:bottom w:w="140" w:type="dxa"/>
              <w:right w:w="140" w:type="dxa"/>
            </w:tcMar>
            <w:vAlign w:val="center"/>
          </w:tcPr>
          <w:p w14:paraId="3A1A028A" w14:textId="77777777" w:rsidR="00FD78B3" w:rsidRDefault="00000000">
            <w:pPr>
              <w:spacing w:line="300" w:lineRule="auto"/>
            </w:pPr>
            <w:r>
              <w:rPr>
                <w:b/>
                <w:bCs/>
                <w:color w:val="FFFFFF"/>
                <w:sz w:val="24"/>
                <w:szCs w:val="24"/>
              </w:rPr>
              <w:t>Page</w:t>
            </w:r>
          </w:p>
        </w:tc>
        <w:tc>
          <w:tcPr>
            <w:tcW w:w="7300" w:type="dxa"/>
            <w:shd w:val="clear" w:color="auto" w:fill="1F3864"/>
            <w:tcMar>
              <w:top w:w="140" w:type="dxa"/>
              <w:left w:w="140" w:type="dxa"/>
              <w:bottom w:w="140" w:type="dxa"/>
              <w:right w:w="140" w:type="dxa"/>
            </w:tcMar>
            <w:vAlign w:val="center"/>
          </w:tcPr>
          <w:p w14:paraId="12E0365C" w14:textId="77777777" w:rsidR="00FD78B3" w:rsidRDefault="00000000">
            <w:pPr>
              <w:spacing w:line="300" w:lineRule="auto"/>
            </w:pPr>
            <w:r>
              <w:rPr>
                <w:b/>
                <w:bCs/>
                <w:color w:val="FFFFFF"/>
                <w:sz w:val="24"/>
                <w:szCs w:val="24"/>
              </w:rPr>
              <w:t>Description</w:t>
            </w:r>
          </w:p>
        </w:tc>
      </w:tr>
      <w:tr w:rsidR="00FD78B3" w14:paraId="5432F3CA" w14:textId="77777777">
        <w:tblPrEx>
          <w:tblCellMar>
            <w:top w:w="0" w:type="dxa"/>
            <w:bottom w:w="0" w:type="dxa"/>
          </w:tblCellMar>
        </w:tblPrEx>
        <w:tc>
          <w:tcPr>
            <w:tcW w:w="2200" w:type="dxa"/>
            <w:tcMar>
              <w:top w:w="140" w:type="dxa"/>
              <w:left w:w="140" w:type="dxa"/>
              <w:bottom w:w="140" w:type="dxa"/>
              <w:right w:w="140" w:type="dxa"/>
            </w:tcMar>
            <w:vAlign w:val="center"/>
          </w:tcPr>
          <w:p w14:paraId="09C21154" w14:textId="77777777" w:rsidR="00FD78B3" w:rsidRDefault="00000000">
            <w:pPr>
              <w:spacing w:line="300" w:lineRule="auto"/>
            </w:pPr>
            <w:r>
              <w:rPr>
                <w:b/>
                <w:bCs/>
                <w:color w:val="000000"/>
                <w:sz w:val="24"/>
                <w:szCs w:val="24"/>
              </w:rPr>
              <w:t>Overview</w:t>
            </w:r>
          </w:p>
        </w:tc>
        <w:tc>
          <w:tcPr>
            <w:tcW w:w="7300" w:type="dxa"/>
            <w:tcMar>
              <w:top w:w="140" w:type="dxa"/>
              <w:left w:w="140" w:type="dxa"/>
              <w:bottom w:w="140" w:type="dxa"/>
              <w:right w:w="140" w:type="dxa"/>
            </w:tcMar>
            <w:vAlign w:val="center"/>
          </w:tcPr>
          <w:p w14:paraId="751F7E08" w14:textId="77777777" w:rsidR="00FD78B3" w:rsidRDefault="00000000">
            <w:pPr>
              <w:spacing w:line="300" w:lineRule="auto"/>
            </w:pPr>
            <w:r>
              <w:rPr>
                <w:color w:val="000000"/>
                <w:sz w:val="24"/>
                <w:szCs w:val="24"/>
              </w:rPr>
              <w:t>Market summary with coin counts, date range, average daily return, and top cumulative performers</w:t>
            </w:r>
          </w:p>
        </w:tc>
      </w:tr>
      <w:tr w:rsidR="00FD78B3" w14:paraId="05B3BAC1" w14:textId="77777777">
        <w:tblPrEx>
          <w:tblCellMar>
            <w:top w:w="0" w:type="dxa"/>
            <w:bottom w:w="0" w:type="dxa"/>
          </w:tblCellMar>
        </w:tblPrEx>
        <w:tc>
          <w:tcPr>
            <w:tcW w:w="2200" w:type="dxa"/>
            <w:tcMar>
              <w:top w:w="140" w:type="dxa"/>
              <w:left w:w="140" w:type="dxa"/>
              <w:bottom w:w="140" w:type="dxa"/>
              <w:right w:w="140" w:type="dxa"/>
            </w:tcMar>
            <w:vAlign w:val="center"/>
          </w:tcPr>
          <w:p w14:paraId="41BF6207" w14:textId="77777777" w:rsidR="00FD78B3" w:rsidRDefault="00000000">
            <w:pPr>
              <w:spacing w:line="300" w:lineRule="auto"/>
            </w:pPr>
            <w:r>
              <w:rPr>
                <w:b/>
                <w:bCs/>
                <w:color w:val="000000"/>
                <w:sz w:val="24"/>
                <w:szCs w:val="24"/>
              </w:rPr>
              <w:t>EDA</w:t>
            </w:r>
          </w:p>
        </w:tc>
        <w:tc>
          <w:tcPr>
            <w:tcW w:w="7300" w:type="dxa"/>
            <w:tcMar>
              <w:top w:w="140" w:type="dxa"/>
              <w:left w:w="140" w:type="dxa"/>
              <w:bottom w:w="140" w:type="dxa"/>
              <w:right w:w="140" w:type="dxa"/>
            </w:tcMar>
            <w:vAlign w:val="center"/>
          </w:tcPr>
          <w:p w14:paraId="6620719E" w14:textId="77777777" w:rsidR="00FD78B3" w:rsidRDefault="00000000">
            <w:pPr>
              <w:spacing w:line="300" w:lineRule="auto"/>
            </w:pPr>
            <w:r>
              <w:rPr>
                <w:color w:val="000000"/>
                <w:sz w:val="24"/>
                <w:szCs w:val="24"/>
              </w:rPr>
              <w:t>Explore price history, daily returns, return distributions, and numerical correlations for a selected coin</w:t>
            </w:r>
          </w:p>
        </w:tc>
      </w:tr>
      <w:tr w:rsidR="00FD78B3" w14:paraId="67FED103" w14:textId="77777777">
        <w:tblPrEx>
          <w:tblCellMar>
            <w:top w:w="0" w:type="dxa"/>
            <w:bottom w:w="0" w:type="dxa"/>
          </w:tblCellMar>
        </w:tblPrEx>
        <w:tc>
          <w:tcPr>
            <w:tcW w:w="2200" w:type="dxa"/>
            <w:tcMar>
              <w:top w:w="140" w:type="dxa"/>
              <w:left w:w="140" w:type="dxa"/>
              <w:bottom w:w="140" w:type="dxa"/>
              <w:right w:w="140" w:type="dxa"/>
            </w:tcMar>
            <w:vAlign w:val="center"/>
          </w:tcPr>
          <w:p w14:paraId="5B10375B" w14:textId="77777777" w:rsidR="00FD78B3" w:rsidRDefault="00000000">
            <w:pPr>
              <w:spacing w:line="300" w:lineRule="auto"/>
            </w:pPr>
            <w:r>
              <w:rPr>
                <w:b/>
                <w:bCs/>
                <w:color w:val="000000"/>
                <w:sz w:val="24"/>
                <w:szCs w:val="24"/>
              </w:rPr>
              <w:t>Comparison</w:t>
            </w:r>
          </w:p>
        </w:tc>
        <w:tc>
          <w:tcPr>
            <w:tcW w:w="7300" w:type="dxa"/>
            <w:tcMar>
              <w:top w:w="140" w:type="dxa"/>
              <w:left w:w="140" w:type="dxa"/>
              <w:bottom w:w="140" w:type="dxa"/>
              <w:right w:w="140" w:type="dxa"/>
            </w:tcMar>
            <w:vAlign w:val="center"/>
          </w:tcPr>
          <w:p w14:paraId="18289592" w14:textId="77777777" w:rsidR="00FD78B3" w:rsidRDefault="00000000">
            <w:pPr>
              <w:spacing w:line="300" w:lineRule="auto"/>
            </w:pPr>
            <w:r>
              <w:rPr>
                <w:color w:val="000000"/>
                <w:sz w:val="24"/>
                <w:szCs w:val="24"/>
              </w:rPr>
              <w:t>Compare coins by average return, volatility, market capitalization, or total return</w:t>
            </w:r>
          </w:p>
        </w:tc>
      </w:tr>
      <w:tr w:rsidR="00FD78B3" w14:paraId="6228E197" w14:textId="77777777">
        <w:tblPrEx>
          <w:tblCellMar>
            <w:top w:w="0" w:type="dxa"/>
            <w:bottom w:w="0" w:type="dxa"/>
          </w:tblCellMar>
        </w:tblPrEx>
        <w:tc>
          <w:tcPr>
            <w:tcW w:w="2200" w:type="dxa"/>
            <w:tcMar>
              <w:top w:w="140" w:type="dxa"/>
              <w:left w:w="140" w:type="dxa"/>
              <w:bottom w:w="140" w:type="dxa"/>
              <w:right w:w="140" w:type="dxa"/>
            </w:tcMar>
            <w:vAlign w:val="center"/>
          </w:tcPr>
          <w:p w14:paraId="35A54B2A" w14:textId="77777777" w:rsidR="00FD78B3" w:rsidRDefault="00000000">
            <w:pPr>
              <w:spacing w:line="300" w:lineRule="auto"/>
            </w:pPr>
            <w:r>
              <w:rPr>
                <w:b/>
                <w:bCs/>
                <w:color w:val="000000"/>
                <w:sz w:val="24"/>
                <w:szCs w:val="24"/>
              </w:rPr>
              <w:t>AI Prediction</w:t>
            </w:r>
          </w:p>
        </w:tc>
        <w:tc>
          <w:tcPr>
            <w:tcW w:w="7300" w:type="dxa"/>
            <w:tcMar>
              <w:top w:w="140" w:type="dxa"/>
              <w:left w:w="140" w:type="dxa"/>
              <w:bottom w:w="140" w:type="dxa"/>
              <w:right w:w="140" w:type="dxa"/>
            </w:tcMar>
            <w:vAlign w:val="center"/>
          </w:tcPr>
          <w:p w14:paraId="21415364" w14:textId="77777777" w:rsidR="00FD78B3" w:rsidRDefault="00000000">
            <w:pPr>
              <w:spacing w:line="300" w:lineRule="auto"/>
            </w:pPr>
            <w:r>
              <w:rPr>
                <w:color w:val="000000"/>
                <w:sz w:val="24"/>
                <w:szCs w:val="24"/>
              </w:rPr>
              <w:t>Predict whether a coin's next-day price movement is likely to be up or down, with model probability</w:t>
            </w:r>
          </w:p>
        </w:tc>
      </w:tr>
      <w:tr w:rsidR="00FD78B3" w14:paraId="37817AD3" w14:textId="77777777">
        <w:tblPrEx>
          <w:tblCellMar>
            <w:top w:w="0" w:type="dxa"/>
            <w:bottom w:w="0" w:type="dxa"/>
          </w:tblCellMar>
        </w:tblPrEx>
        <w:tc>
          <w:tcPr>
            <w:tcW w:w="2200" w:type="dxa"/>
            <w:tcMar>
              <w:top w:w="140" w:type="dxa"/>
              <w:left w:w="140" w:type="dxa"/>
              <w:bottom w:w="140" w:type="dxa"/>
              <w:right w:w="140" w:type="dxa"/>
            </w:tcMar>
            <w:vAlign w:val="center"/>
          </w:tcPr>
          <w:p w14:paraId="55635BE2" w14:textId="77777777" w:rsidR="00FD78B3" w:rsidRDefault="00000000">
            <w:pPr>
              <w:spacing w:line="300" w:lineRule="auto"/>
            </w:pPr>
            <w:r>
              <w:rPr>
                <w:b/>
                <w:bCs/>
                <w:color w:val="000000"/>
                <w:sz w:val="24"/>
                <w:szCs w:val="24"/>
              </w:rPr>
              <w:t>Model Evaluation</w:t>
            </w:r>
          </w:p>
        </w:tc>
        <w:tc>
          <w:tcPr>
            <w:tcW w:w="7300" w:type="dxa"/>
            <w:tcMar>
              <w:top w:w="140" w:type="dxa"/>
              <w:left w:w="140" w:type="dxa"/>
              <w:bottom w:w="140" w:type="dxa"/>
              <w:right w:w="140" w:type="dxa"/>
            </w:tcMar>
            <w:vAlign w:val="center"/>
          </w:tcPr>
          <w:p w14:paraId="5FC8DADF" w14:textId="77777777" w:rsidR="00FD78B3" w:rsidRDefault="00000000">
            <w:pPr>
              <w:spacing w:line="300" w:lineRule="auto"/>
            </w:pPr>
            <w:r>
              <w:rPr>
                <w:color w:val="000000"/>
                <w:sz w:val="24"/>
                <w:szCs w:val="24"/>
              </w:rPr>
              <w:t>Review accuracy, precision, recall, F1, ROC AUC, confusion matrix, and feature importance</w:t>
            </w:r>
          </w:p>
        </w:tc>
      </w:tr>
      <w:tr w:rsidR="00FD78B3" w14:paraId="6D0978C1" w14:textId="77777777">
        <w:tblPrEx>
          <w:tblCellMar>
            <w:top w:w="0" w:type="dxa"/>
            <w:bottom w:w="0" w:type="dxa"/>
          </w:tblCellMar>
        </w:tblPrEx>
        <w:tc>
          <w:tcPr>
            <w:tcW w:w="2200" w:type="dxa"/>
            <w:tcMar>
              <w:top w:w="140" w:type="dxa"/>
              <w:left w:w="140" w:type="dxa"/>
              <w:bottom w:w="140" w:type="dxa"/>
              <w:right w:w="140" w:type="dxa"/>
            </w:tcMar>
            <w:vAlign w:val="center"/>
          </w:tcPr>
          <w:p w14:paraId="7D51B402" w14:textId="77777777" w:rsidR="00FD78B3" w:rsidRDefault="00000000">
            <w:pPr>
              <w:spacing w:line="300" w:lineRule="auto"/>
            </w:pPr>
            <w:r>
              <w:rPr>
                <w:b/>
                <w:bCs/>
                <w:color w:val="000000"/>
                <w:sz w:val="24"/>
                <w:szCs w:val="24"/>
              </w:rPr>
              <w:t>Data Quality</w:t>
            </w:r>
          </w:p>
        </w:tc>
        <w:tc>
          <w:tcPr>
            <w:tcW w:w="7300" w:type="dxa"/>
            <w:tcMar>
              <w:top w:w="140" w:type="dxa"/>
              <w:left w:w="140" w:type="dxa"/>
              <w:bottom w:w="140" w:type="dxa"/>
              <w:right w:w="140" w:type="dxa"/>
            </w:tcMar>
            <w:vAlign w:val="center"/>
          </w:tcPr>
          <w:p w14:paraId="4273BC3E" w14:textId="77777777" w:rsidR="00FD78B3" w:rsidRDefault="00000000">
            <w:pPr>
              <w:spacing w:line="300" w:lineRule="auto"/>
            </w:pPr>
            <w:r>
              <w:rPr>
                <w:color w:val="000000"/>
                <w:sz w:val="24"/>
                <w:szCs w:val="24"/>
              </w:rPr>
              <w:t>Inspect missing values, duplicate rows, invalid dates, constant columns, and null patterns</w:t>
            </w:r>
          </w:p>
        </w:tc>
      </w:tr>
    </w:tbl>
    <w:p w14:paraId="1F6A62FA" w14:textId="77777777" w:rsidR="00FD78B3" w:rsidRDefault="00000000">
      <w:pPr>
        <w:pStyle w:val="Heading2"/>
        <w:spacing w:before="360" w:after="180"/>
      </w:pPr>
      <w:r>
        <w:rPr>
          <w:b/>
          <w:bCs/>
          <w:color w:val="1F3864"/>
          <w:sz w:val="28"/>
          <w:szCs w:val="28"/>
        </w:rPr>
        <w:t>6.1 Overview</w:t>
      </w:r>
    </w:p>
    <w:p w14:paraId="4F63C2CC" w14:textId="77777777" w:rsidR="00FD78B3" w:rsidRDefault="00000000">
      <w:pPr>
        <w:spacing w:after="220" w:line="380" w:lineRule="auto"/>
        <w:jc w:val="both"/>
      </w:pPr>
      <w:r>
        <w:t>The Overview page presents headline statistics for the entire dataset — total number of coins tracked, the date range covered, the average daily return across all coins, and the top cumulative-return performer. It also lists and charts the ten best-performing assets by cumulative return.</w:t>
      </w:r>
    </w:p>
    <w:p w14:paraId="4134EBDE" w14:textId="77777777" w:rsidR="00FD78B3" w:rsidRDefault="00000000">
      <w:pPr>
        <w:spacing w:before="200" w:after="80"/>
        <w:jc w:val="center"/>
      </w:pPr>
      <w:r>
        <w:rPr>
          <w:noProof/>
        </w:rPr>
        <w:lastRenderedPageBreak/>
        <w:drawing>
          <wp:inline distT="0" distB="0" distL="0" distR="0" wp14:anchorId="72DA04D0" wp14:editId="30F7A190">
            <wp:extent cx="5943600" cy="2871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71140"/>
                    </a:xfrm>
                    <a:prstGeom prst="rect">
                      <a:avLst/>
                    </a:prstGeom>
                  </pic:spPr>
                </pic:pic>
              </a:graphicData>
            </a:graphic>
          </wp:inline>
        </w:drawing>
      </w:r>
    </w:p>
    <w:p w14:paraId="264982BC" w14:textId="77777777" w:rsidR="00FD78B3" w:rsidRDefault="00000000">
      <w:pPr>
        <w:spacing w:after="320"/>
        <w:jc w:val="center"/>
      </w:pPr>
      <w:r>
        <w:rPr>
          <w:i/>
          <w:iCs/>
          <w:color w:val="555555"/>
          <w:sz w:val="23"/>
          <w:szCs w:val="23"/>
        </w:rPr>
        <w:t>Figure 6.1 — Overview page: dataset summary and top cumulative-return performers</w:t>
      </w:r>
    </w:p>
    <w:p w14:paraId="6D292D07" w14:textId="77777777" w:rsidR="00FD78B3" w:rsidRDefault="00000000">
      <w:pPr>
        <w:pStyle w:val="Heading2"/>
        <w:spacing w:before="360" w:after="180"/>
      </w:pPr>
      <w:r>
        <w:rPr>
          <w:b/>
          <w:bCs/>
          <w:color w:val="1F3864"/>
          <w:sz w:val="28"/>
          <w:szCs w:val="28"/>
        </w:rPr>
        <w:t>6.2 Exploratory Data Analysis (EDA)</w:t>
      </w:r>
    </w:p>
    <w:p w14:paraId="5FB1515D" w14:textId="77777777" w:rsidR="00FD78B3" w:rsidRDefault="00000000">
      <w:pPr>
        <w:spacing w:after="220" w:line="380" w:lineRule="auto"/>
        <w:jc w:val="both"/>
      </w:pPr>
      <w:r>
        <w:t>The EDA page allows the user to select any individual coin and inspect its full price history and daily-return series over the past year, side by side.</w:t>
      </w:r>
    </w:p>
    <w:p w14:paraId="308B4550" w14:textId="77777777" w:rsidR="00FD78B3" w:rsidRDefault="00000000">
      <w:pPr>
        <w:spacing w:before="200" w:after="80"/>
        <w:jc w:val="center"/>
      </w:pPr>
      <w:r>
        <w:rPr>
          <w:noProof/>
        </w:rPr>
        <w:drawing>
          <wp:inline distT="0" distB="0" distL="0" distR="0" wp14:anchorId="26FDF0D9" wp14:editId="770D7F02">
            <wp:extent cx="5943600" cy="2849459"/>
            <wp:effectExtent l="0" t="0" r="0" b="0"/>
            <wp:docPr id="336136453" name="Picture 33613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49459"/>
                    </a:xfrm>
                    <a:prstGeom prst="rect">
                      <a:avLst/>
                    </a:prstGeom>
                  </pic:spPr>
                </pic:pic>
              </a:graphicData>
            </a:graphic>
          </wp:inline>
        </w:drawing>
      </w:r>
    </w:p>
    <w:p w14:paraId="69EED072" w14:textId="77777777" w:rsidR="00FD78B3" w:rsidRDefault="00000000">
      <w:pPr>
        <w:spacing w:after="320"/>
        <w:jc w:val="center"/>
      </w:pPr>
      <w:r>
        <w:rPr>
          <w:i/>
          <w:iCs/>
          <w:color w:val="555555"/>
          <w:sz w:val="23"/>
          <w:szCs w:val="23"/>
        </w:rPr>
        <w:t>Figure 6.2 — EDA page: price history and daily returns for “</w:t>
      </w:r>
      <w:proofErr w:type="spellStart"/>
      <w:r>
        <w:rPr>
          <w:i/>
          <w:iCs/>
          <w:color w:val="555555"/>
          <w:sz w:val="23"/>
          <w:szCs w:val="23"/>
        </w:rPr>
        <w:t>aave</w:t>
      </w:r>
      <w:proofErr w:type="spellEnd"/>
      <w:r>
        <w:rPr>
          <w:i/>
          <w:iCs/>
          <w:color w:val="555555"/>
          <w:sz w:val="23"/>
          <w:szCs w:val="23"/>
        </w:rPr>
        <w:t>”</w:t>
      </w:r>
    </w:p>
    <w:p w14:paraId="09BFA313" w14:textId="77777777" w:rsidR="00FD78B3" w:rsidRDefault="00000000">
      <w:pPr>
        <w:spacing w:after="220" w:line="380" w:lineRule="auto"/>
        <w:jc w:val="both"/>
      </w:pPr>
      <w:r>
        <w:t>Below the time-series charts, a return-distribution histogram (with a kernel density overlay) shows how daily returns are spread around zero, and a correlation heatmap highlights relationships between price, market cap, volume, moving averages, volatility, and cumulative return for the selected coin.</w:t>
      </w:r>
    </w:p>
    <w:p w14:paraId="17DFB478" w14:textId="77777777" w:rsidR="00FD78B3" w:rsidRDefault="00000000">
      <w:pPr>
        <w:spacing w:before="200" w:after="80"/>
        <w:jc w:val="center"/>
      </w:pPr>
      <w:r>
        <w:rPr>
          <w:noProof/>
        </w:rPr>
        <w:lastRenderedPageBreak/>
        <w:drawing>
          <wp:inline distT="0" distB="0" distL="0" distR="0" wp14:anchorId="5BCE692F" wp14:editId="18A61ADA">
            <wp:extent cx="5486400" cy="3123410"/>
            <wp:effectExtent l="0" t="0" r="0" b="0"/>
            <wp:docPr id="1878302448" name="Picture 187830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123410"/>
                    </a:xfrm>
                    <a:prstGeom prst="rect">
                      <a:avLst/>
                    </a:prstGeom>
                  </pic:spPr>
                </pic:pic>
              </a:graphicData>
            </a:graphic>
          </wp:inline>
        </w:drawing>
      </w:r>
    </w:p>
    <w:p w14:paraId="7C1B2BA5" w14:textId="77777777" w:rsidR="00FD78B3" w:rsidRDefault="00000000">
      <w:pPr>
        <w:spacing w:after="320"/>
        <w:jc w:val="center"/>
      </w:pPr>
      <w:r>
        <w:rPr>
          <w:i/>
          <w:iCs/>
          <w:color w:val="555555"/>
          <w:sz w:val="23"/>
          <w:szCs w:val="23"/>
        </w:rPr>
        <w:t>Figure 6.3 — Daily-return distribution for “</w:t>
      </w:r>
      <w:proofErr w:type="spellStart"/>
      <w:r>
        <w:rPr>
          <w:i/>
          <w:iCs/>
          <w:color w:val="555555"/>
          <w:sz w:val="23"/>
          <w:szCs w:val="23"/>
        </w:rPr>
        <w:t>aave</w:t>
      </w:r>
      <w:proofErr w:type="spellEnd"/>
      <w:r>
        <w:rPr>
          <w:i/>
          <w:iCs/>
          <w:color w:val="555555"/>
          <w:sz w:val="23"/>
          <w:szCs w:val="23"/>
        </w:rPr>
        <w:t>”</w:t>
      </w:r>
    </w:p>
    <w:p w14:paraId="396640CB" w14:textId="77777777" w:rsidR="00FD78B3" w:rsidRDefault="00000000">
      <w:pPr>
        <w:spacing w:before="200" w:after="80"/>
        <w:jc w:val="center"/>
      </w:pPr>
      <w:r>
        <w:rPr>
          <w:noProof/>
        </w:rPr>
        <w:drawing>
          <wp:inline distT="0" distB="0" distL="0" distR="0" wp14:anchorId="3760CA74" wp14:editId="174392E5">
            <wp:extent cx="5486400" cy="3099781"/>
            <wp:effectExtent l="0" t="0" r="0" b="0"/>
            <wp:docPr id="1425222530" name="Picture 142522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99781"/>
                    </a:xfrm>
                    <a:prstGeom prst="rect">
                      <a:avLst/>
                    </a:prstGeom>
                  </pic:spPr>
                </pic:pic>
              </a:graphicData>
            </a:graphic>
          </wp:inline>
        </w:drawing>
      </w:r>
    </w:p>
    <w:p w14:paraId="22D07C4C" w14:textId="77777777" w:rsidR="00FD78B3" w:rsidRDefault="00000000">
      <w:pPr>
        <w:spacing w:after="320"/>
        <w:jc w:val="center"/>
      </w:pPr>
      <w:r>
        <w:rPr>
          <w:i/>
          <w:iCs/>
          <w:color w:val="555555"/>
          <w:sz w:val="23"/>
          <w:szCs w:val="23"/>
        </w:rPr>
        <w:t>Figure 6.4 — Correlation heatmap of key numerical features</w:t>
      </w:r>
    </w:p>
    <w:p w14:paraId="333D2D34" w14:textId="77777777" w:rsidR="00FD78B3" w:rsidRDefault="00000000">
      <w:pPr>
        <w:pStyle w:val="Heading2"/>
        <w:spacing w:before="360" w:after="180"/>
      </w:pPr>
      <w:r>
        <w:rPr>
          <w:b/>
          <w:bCs/>
          <w:color w:val="1F3864"/>
          <w:sz w:val="28"/>
          <w:szCs w:val="28"/>
        </w:rPr>
        <w:t>6.3 Comparison</w:t>
      </w:r>
    </w:p>
    <w:p w14:paraId="4CFBE334" w14:textId="77777777" w:rsidR="00FD78B3" w:rsidRDefault="00000000">
      <w:pPr>
        <w:spacing w:after="220" w:line="380" w:lineRule="auto"/>
        <w:jc w:val="both"/>
      </w:pPr>
      <w:r>
        <w:t>The Comparison page lets the user rank and compare coins by average return, average volatility, average market capitalization, or total return, with an adjustable “Top N” slider (5 to 20 coins).</w:t>
      </w:r>
    </w:p>
    <w:p w14:paraId="76482E62" w14:textId="77777777" w:rsidR="00FD78B3" w:rsidRDefault="00000000">
      <w:pPr>
        <w:spacing w:before="200" w:after="80"/>
        <w:jc w:val="center"/>
      </w:pPr>
      <w:r>
        <w:rPr>
          <w:noProof/>
        </w:rPr>
        <w:lastRenderedPageBreak/>
        <w:drawing>
          <wp:inline distT="0" distB="0" distL="0" distR="0" wp14:anchorId="16670B00" wp14:editId="0A1DAE22">
            <wp:extent cx="5943600" cy="3245468"/>
            <wp:effectExtent l="0" t="0" r="0" b="0"/>
            <wp:docPr id="805884719" name="Picture 80588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45468"/>
                    </a:xfrm>
                    <a:prstGeom prst="rect">
                      <a:avLst/>
                    </a:prstGeom>
                  </pic:spPr>
                </pic:pic>
              </a:graphicData>
            </a:graphic>
          </wp:inline>
        </w:drawing>
      </w:r>
    </w:p>
    <w:p w14:paraId="4A286667" w14:textId="77777777" w:rsidR="00FD78B3" w:rsidRDefault="00000000">
      <w:pPr>
        <w:spacing w:after="320"/>
        <w:jc w:val="center"/>
      </w:pPr>
      <w:r>
        <w:rPr>
          <w:i/>
          <w:iCs/>
          <w:color w:val="555555"/>
          <w:sz w:val="23"/>
          <w:szCs w:val="23"/>
        </w:rPr>
        <w:t>Figure 6.5 — Comparison page: top 10 coins ranked by average return</w:t>
      </w:r>
    </w:p>
    <w:p w14:paraId="0AED608D" w14:textId="77777777" w:rsidR="00FD78B3" w:rsidRDefault="00000000">
      <w:pPr>
        <w:pStyle w:val="Heading2"/>
        <w:spacing w:before="360" w:after="180"/>
      </w:pPr>
      <w:r>
        <w:rPr>
          <w:b/>
          <w:bCs/>
          <w:color w:val="1F3864"/>
          <w:sz w:val="28"/>
          <w:szCs w:val="28"/>
        </w:rPr>
        <w:t>6.4 AI Prediction</w:t>
      </w:r>
    </w:p>
    <w:p w14:paraId="4F9DC09D" w14:textId="77777777" w:rsidR="00FD78B3" w:rsidRDefault="00000000">
      <w:pPr>
        <w:spacing w:after="220" w:line="380" w:lineRule="auto"/>
        <w:jc w:val="both"/>
      </w:pPr>
      <w:r>
        <w:t>The AI Prediction page applies the trained Random Forest model to the most recent available data for a selected coin and reports the model's estimated probability of a next-day price increase, along with a clear UP / DOWN prediction label. The page also displays the exact feature values used for the forecast and a note clarifying that the dataset is historical rather than real-time.</w:t>
      </w:r>
    </w:p>
    <w:p w14:paraId="71F31422" w14:textId="77777777" w:rsidR="00FD78B3" w:rsidRDefault="00000000">
      <w:pPr>
        <w:spacing w:before="200" w:after="80"/>
        <w:jc w:val="center"/>
      </w:pPr>
      <w:r>
        <w:rPr>
          <w:noProof/>
        </w:rPr>
        <w:drawing>
          <wp:inline distT="0" distB="0" distL="0" distR="0" wp14:anchorId="2FAE0B7F" wp14:editId="42FBC301">
            <wp:extent cx="5943600" cy="2936794"/>
            <wp:effectExtent l="0" t="0" r="0" b="0"/>
            <wp:docPr id="182744598" name="Picture 18274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36794"/>
                    </a:xfrm>
                    <a:prstGeom prst="rect">
                      <a:avLst/>
                    </a:prstGeom>
                  </pic:spPr>
                </pic:pic>
              </a:graphicData>
            </a:graphic>
          </wp:inline>
        </w:drawing>
      </w:r>
    </w:p>
    <w:p w14:paraId="15585909" w14:textId="77777777" w:rsidR="00FD78B3" w:rsidRDefault="00000000">
      <w:pPr>
        <w:spacing w:after="320"/>
        <w:jc w:val="center"/>
      </w:pPr>
      <w:r>
        <w:rPr>
          <w:i/>
          <w:iCs/>
          <w:color w:val="555555"/>
          <w:sz w:val="23"/>
          <w:szCs w:val="23"/>
        </w:rPr>
        <w:t>Figure 6.6 — AI Prediction page: next-day forecast for “</w:t>
      </w:r>
      <w:proofErr w:type="spellStart"/>
      <w:r>
        <w:rPr>
          <w:i/>
          <w:iCs/>
          <w:color w:val="555555"/>
          <w:sz w:val="23"/>
          <w:szCs w:val="23"/>
        </w:rPr>
        <w:t>aave</w:t>
      </w:r>
      <w:proofErr w:type="spellEnd"/>
      <w:r>
        <w:rPr>
          <w:i/>
          <w:iCs/>
          <w:color w:val="555555"/>
          <w:sz w:val="23"/>
          <w:szCs w:val="23"/>
        </w:rPr>
        <w:t>”</w:t>
      </w:r>
    </w:p>
    <w:p w14:paraId="795C6B55" w14:textId="77777777" w:rsidR="00FD78B3" w:rsidRDefault="00000000">
      <w:pPr>
        <w:pStyle w:val="Heading2"/>
        <w:spacing w:before="360" w:after="180"/>
      </w:pPr>
      <w:r>
        <w:rPr>
          <w:b/>
          <w:bCs/>
          <w:color w:val="1F3864"/>
          <w:sz w:val="28"/>
          <w:szCs w:val="28"/>
        </w:rPr>
        <w:t>6.5 Model Evaluation</w:t>
      </w:r>
    </w:p>
    <w:p w14:paraId="698E9D81" w14:textId="77777777" w:rsidR="00FD78B3" w:rsidRDefault="00000000">
      <w:pPr>
        <w:spacing w:after="220" w:line="380" w:lineRule="auto"/>
        <w:jc w:val="both"/>
      </w:pPr>
      <w:r>
        <w:lastRenderedPageBreak/>
        <w:t>The Model Evaluation page reports the classifier's performance on the chronological test split — accuracy, precision, recall, F1-score, and ROC-AUC — together with a confusion matrix and a feature-importance chart ranking which engineered features contribute most to the model's predictions.</w:t>
      </w:r>
    </w:p>
    <w:p w14:paraId="1F3D40FF" w14:textId="77777777" w:rsidR="00FD78B3" w:rsidRDefault="00000000">
      <w:pPr>
        <w:spacing w:before="200" w:after="80"/>
        <w:jc w:val="center"/>
      </w:pPr>
      <w:r>
        <w:rPr>
          <w:noProof/>
        </w:rPr>
        <w:drawing>
          <wp:inline distT="0" distB="0" distL="0" distR="0" wp14:anchorId="4F74DC39" wp14:editId="51314EE6">
            <wp:extent cx="5943600" cy="2873829"/>
            <wp:effectExtent l="0" t="0" r="0" b="0"/>
            <wp:docPr id="817178516" name="Picture 81717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873829"/>
                    </a:xfrm>
                    <a:prstGeom prst="rect">
                      <a:avLst/>
                    </a:prstGeom>
                  </pic:spPr>
                </pic:pic>
              </a:graphicData>
            </a:graphic>
          </wp:inline>
        </w:drawing>
      </w:r>
    </w:p>
    <w:p w14:paraId="0BF33608" w14:textId="77777777" w:rsidR="00FD78B3" w:rsidRDefault="00000000">
      <w:pPr>
        <w:spacing w:after="320"/>
        <w:jc w:val="center"/>
      </w:pPr>
      <w:r>
        <w:rPr>
          <w:i/>
          <w:iCs/>
          <w:color w:val="555555"/>
          <w:sz w:val="23"/>
          <w:szCs w:val="23"/>
        </w:rPr>
        <w:t>Figure 6.7 — Model Evaluation page: top 10 features by importance</w:t>
      </w:r>
    </w:p>
    <w:p w14:paraId="0C6C77A6" w14:textId="77777777" w:rsidR="00FD78B3" w:rsidRDefault="00000000">
      <w:pPr>
        <w:spacing w:after="220" w:line="380" w:lineRule="auto"/>
        <w:jc w:val="both"/>
      </w:pPr>
      <w:r>
        <w:t xml:space="preserve">As shown above, calendar-based and price-deviation features such as price_ma30, price_ma7, </w:t>
      </w:r>
      <w:proofErr w:type="spellStart"/>
      <w:r>
        <w:t>day_of_week</w:t>
      </w:r>
      <w:proofErr w:type="spellEnd"/>
      <w:r>
        <w:t xml:space="preserve">, </w:t>
      </w:r>
      <w:proofErr w:type="spellStart"/>
      <w:r>
        <w:t>cumulative_return</w:t>
      </w:r>
      <w:proofErr w:type="spellEnd"/>
      <w:r>
        <w:t>, and volatility_7d rank among the most influential predictors, alongside the coin's raw price.</w:t>
      </w:r>
    </w:p>
    <w:p w14:paraId="3836CB42" w14:textId="77777777" w:rsidR="00FD78B3" w:rsidRDefault="00000000">
      <w:pPr>
        <w:pStyle w:val="Heading2"/>
        <w:spacing w:before="360" w:after="180"/>
      </w:pPr>
      <w:r>
        <w:rPr>
          <w:b/>
          <w:bCs/>
          <w:color w:val="1F3864"/>
          <w:sz w:val="28"/>
          <w:szCs w:val="28"/>
        </w:rPr>
        <w:t>6.6 Data Quality</w:t>
      </w:r>
    </w:p>
    <w:p w14:paraId="29208668" w14:textId="77777777" w:rsidR="00FD78B3" w:rsidRDefault="00000000">
      <w:pPr>
        <w:spacing w:after="220" w:line="380" w:lineRule="auto"/>
        <w:jc w:val="both"/>
      </w:pPr>
      <w:r>
        <w:t>The Data Quality page performs automated checks on the loaded dataset — counting duplicate rows, invalid/null dates, and constant columns — and visualises missing values per column as both a table and a heatmap, helping to quickly identify any gaps that could affect downstream analysis.</w:t>
      </w:r>
    </w:p>
    <w:p w14:paraId="5FD11F0B" w14:textId="77777777" w:rsidR="00FD78B3" w:rsidRDefault="00000000">
      <w:pPr>
        <w:spacing w:before="200" w:after="80"/>
        <w:jc w:val="center"/>
      </w:pPr>
      <w:r>
        <w:rPr>
          <w:noProof/>
        </w:rPr>
        <w:lastRenderedPageBreak/>
        <w:drawing>
          <wp:inline distT="0" distB="0" distL="0" distR="0" wp14:anchorId="6BAC9F60" wp14:editId="586B0D33">
            <wp:extent cx="5943600" cy="3353805"/>
            <wp:effectExtent l="0" t="0" r="0" b="0"/>
            <wp:docPr id="1706815688" name="Picture 17068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353805"/>
                    </a:xfrm>
                    <a:prstGeom prst="rect">
                      <a:avLst/>
                    </a:prstGeom>
                  </pic:spPr>
                </pic:pic>
              </a:graphicData>
            </a:graphic>
          </wp:inline>
        </w:drawing>
      </w:r>
    </w:p>
    <w:p w14:paraId="74A0CBF9" w14:textId="77777777" w:rsidR="00FD78B3" w:rsidRDefault="00000000">
      <w:pPr>
        <w:spacing w:after="320"/>
        <w:jc w:val="center"/>
      </w:pPr>
      <w:r>
        <w:rPr>
          <w:i/>
          <w:iCs/>
          <w:color w:val="555555"/>
          <w:sz w:val="23"/>
          <w:szCs w:val="23"/>
        </w:rPr>
        <w:t>Figure 6.8 — Data Quality page: missing-value summary and null-value heatmap</w:t>
      </w:r>
    </w:p>
    <w:p w14:paraId="57BE0DA3" w14:textId="77777777" w:rsidR="00FD78B3" w:rsidRDefault="00000000">
      <w:pPr>
        <w:pStyle w:val="Heading1"/>
        <w:pBdr>
          <w:bottom w:val="single" w:sz="8" w:space="4" w:color="2E75B6"/>
        </w:pBdr>
        <w:spacing w:before="480" w:after="260"/>
      </w:pPr>
      <w:r>
        <w:rPr>
          <w:b/>
          <w:bCs/>
          <w:color w:val="1F3864"/>
          <w:sz w:val="34"/>
          <w:szCs w:val="34"/>
        </w:rPr>
        <w:t>7. Results &amp; Model Evaluation</w:t>
      </w:r>
    </w:p>
    <w:p w14:paraId="311DFB8F" w14:textId="77777777" w:rsidR="00FD78B3" w:rsidRDefault="00000000">
      <w:pPr>
        <w:spacing w:after="220" w:line="380" w:lineRule="auto"/>
        <w:jc w:val="both"/>
      </w:pPr>
      <w:r>
        <w:t>The Random Forest model is evaluated on the chronological hold-out test set (the most recent 20% of dates). The dashboard computes the following metrics live, at run time, from the actual test predictions — no values are hardcoded:</w:t>
      </w: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4300"/>
        <w:gridCol w:w="2600"/>
      </w:tblGrid>
      <w:tr w:rsidR="00FD78B3" w14:paraId="16E581FE" w14:textId="77777777">
        <w:tblPrEx>
          <w:tblCellMar>
            <w:top w:w="0" w:type="dxa"/>
            <w:bottom w:w="0" w:type="dxa"/>
          </w:tblCellMar>
        </w:tblPrEx>
        <w:trPr>
          <w:tblHeader/>
        </w:trPr>
        <w:tc>
          <w:tcPr>
            <w:tcW w:w="2600" w:type="dxa"/>
            <w:shd w:val="clear" w:color="auto" w:fill="1F3864"/>
            <w:tcMar>
              <w:top w:w="140" w:type="dxa"/>
              <w:left w:w="140" w:type="dxa"/>
              <w:bottom w:w="140" w:type="dxa"/>
              <w:right w:w="140" w:type="dxa"/>
            </w:tcMar>
            <w:vAlign w:val="center"/>
          </w:tcPr>
          <w:p w14:paraId="66487284" w14:textId="77777777" w:rsidR="00FD78B3" w:rsidRDefault="00000000">
            <w:pPr>
              <w:spacing w:line="300" w:lineRule="auto"/>
              <w:jc w:val="center"/>
            </w:pPr>
            <w:r>
              <w:rPr>
                <w:b/>
                <w:bCs/>
                <w:color w:val="FFFFFF"/>
                <w:sz w:val="24"/>
                <w:szCs w:val="24"/>
              </w:rPr>
              <w:t>Metric</w:t>
            </w:r>
          </w:p>
        </w:tc>
        <w:tc>
          <w:tcPr>
            <w:tcW w:w="4300" w:type="dxa"/>
            <w:shd w:val="clear" w:color="auto" w:fill="1F3864"/>
            <w:tcMar>
              <w:top w:w="140" w:type="dxa"/>
              <w:left w:w="140" w:type="dxa"/>
              <w:bottom w:w="140" w:type="dxa"/>
              <w:right w:w="140" w:type="dxa"/>
            </w:tcMar>
            <w:vAlign w:val="center"/>
          </w:tcPr>
          <w:p w14:paraId="045E1C6E" w14:textId="77777777" w:rsidR="00FD78B3" w:rsidRDefault="00000000">
            <w:pPr>
              <w:spacing w:line="300" w:lineRule="auto"/>
              <w:jc w:val="center"/>
            </w:pPr>
            <w:r>
              <w:rPr>
                <w:b/>
                <w:bCs/>
                <w:color w:val="FFFFFF"/>
                <w:sz w:val="24"/>
                <w:szCs w:val="24"/>
              </w:rPr>
              <w:t>Description</w:t>
            </w:r>
          </w:p>
        </w:tc>
        <w:tc>
          <w:tcPr>
            <w:tcW w:w="2600" w:type="dxa"/>
            <w:shd w:val="clear" w:color="auto" w:fill="1F3864"/>
            <w:tcMar>
              <w:top w:w="140" w:type="dxa"/>
              <w:left w:w="140" w:type="dxa"/>
              <w:bottom w:w="140" w:type="dxa"/>
              <w:right w:w="140" w:type="dxa"/>
            </w:tcMar>
            <w:vAlign w:val="center"/>
          </w:tcPr>
          <w:p w14:paraId="29755FB6" w14:textId="77777777" w:rsidR="00FD78B3" w:rsidRDefault="00000000">
            <w:pPr>
              <w:spacing w:line="300" w:lineRule="auto"/>
              <w:jc w:val="center"/>
            </w:pPr>
            <w:r>
              <w:rPr>
                <w:b/>
                <w:bCs/>
                <w:color w:val="FFFFFF"/>
                <w:sz w:val="24"/>
                <w:szCs w:val="24"/>
              </w:rPr>
              <w:t>Value (test split)</w:t>
            </w:r>
          </w:p>
        </w:tc>
      </w:tr>
      <w:tr w:rsidR="00FD78B3" w14:paraId="230FA13B" w14:textId="77777777">
        <w:tblPrEx>
          <w:tblCellMar>
            <w:top w:w="0" w:type="dxa"/>
            <w:bottom w:w="0" w:type="dxa"/>
          </w:tblCellMar>
        </w:tblPrEx>
        <w:tc>
          <w:tcPr>
            <w:tcW w:w="2600" w:type="dxa"/>
            <w:tcMar>
              <w:top w:w="140" w:type="dxa"/>
              <w:left w:w="140" w:type="dxa"/>
              <w:bottom w:w="140" w:type="dxa"/>
              <w:right w:w="140" w:type="dxa"/>
            </w:tcMar>
            <w:vAlign w:val="center"/>
          </w:tcPr>
          <w:p w14:paraId="7DB89B93" w14:textId="77777777" w:rsidR="00FD78B3" w:rsidRDefault="00000000">
            <w:pPr>
              <w:spacing w:line="300" w:lineRule="auto"/>
            </w:pPr>
            <w:r>
              <w:rPr>
                <w:b/>
                <w:bCs/>
                <w:color w:val="000000"/>
                <w:sz w:val="24"/>
                <w:szCs w:val="24"/>
              </w:rPr>
              <w:t>Accuracy</w:t>
            </w:r>
          </w:p>
        </w:tc>
        <w:tc>
          <w:tcPr>
            <w:tcW w:w="4300" w:type="dxa"/>
            <w:tcMar>
              <w:top w:w="140" w:type="dxa"/>
              <w:left w:w="140" w:type="dxa"/>
              <w:bottom w:w="140" w:type="dxa"/>
              <w:right w:w="140" w:type="dxa"/>
            </w:tcMar>
            <w:vAlign w:val="center"/>
          </w:tcPr>
          <w:p w14:paraId="2E356059" w14:textId="77777777" w:rsidR="00FD78B3" w:rsidRDefault="00000000">
            <w:pPr>
              <w:spacing w:line="300" w:lineRule="auto"/>
            </w:pPr>
            <w:r>
              <w:rPr>
                <w:color w:val="000000"/>
                <w:sz w:val="24"/>
                <w:szCs w:val="24"/>
              </w:rPr>
              <w:t>Overall proportion of correct up/down predictions</w:t>
            </w:r>
          </w:p>
        </w:tc>
        <w:tc>
          <w:tcPr>
            <w:tcW w:w="2600" w:type="dxa"/>
            <w:tcMar>
              <w:top w:w="140" w:type="dxa"/>
              <w:left w:w="140" w:type="dxa"/>
              <w:bottom w:w="140" w:type="dxa"/>
              <w:right w:w="140" w:type="dxa"/>
            </w:tcMar>
            <w:vAlign w:val="center"/>
          </w:tcPr>
          <w:p w14:paraId="50BDF93E" w14:textId="77777777" w:rsidR="00FD78B3" w:rsidRDefault="00000000">
            <w:pPr>
              <w:spacing w:line="300" w:lineRule="auto"/>
              <w:jc w:val="center"/>
            </w:pPr>
            <w:r>
              <w:rPr>
                <w:color w:val="000000"/>
                <w:sz w:val="24"/>
                <w:szCs w:val="24"/>
              </w:rPr>
              <w:t>See Model Evaluation page</w:t>
            </w:r>
          </w:p>
        </w:tc>
      </w:tr>
      <w:tr w:rsidR="00FD78B3" w14:paraId="50DD445E" w14:textId="77777777">
        <w:tblPrEx>
          <w:tblCellMar>
            <w:top w:w="0" w:type="dxa"/>
            <w:bottom w:w="0" w:type="dxa"/>
          </w:tblCellMar>
        </w:tblPrEx>
        <w:tc>
          <w:tcPr>
            <w:tcW w:w="2600" w:type="dxa"/>
            <w:tcMar>
              <w:top w:w="140" w:type="dxa"/>
              <w:left w:w="140" w:type="dxa"/>
              <w:bottom w:w="140" w:type="dxa"/>
              <w:right w:w="140" w:type="dxa"/>
            </w:tcMar>
            <w:vAlign w:val="center"/>
          </w:tcPr>
          <w:p w14:paraId="29A928E1" w14:textId="77777777" w:rsidR="00FD78B3" w:rsidRDefault="00000000">
            <w:pPr>
              <w:spacing w:line="300" w:lineRule="auto"/>
            </w:pPr>
            <w:r>
              <w:rPr>
                <w:b/>
                <w:bCs/>
                <w:color w:val="000000"/>
                <w:sz w:val="24"/>
                <w:szCs w:val="24"/>
              </w:rPr>
              <w:t>Precision</w:t>
            </w:r>
          </w:p>
        </w:tc>
        <w:tc>
          <w:tcPr>
            <w:tcW w:w="4300" w:type="dxa"/>
            <w:tcMar>
              <w:top w:w="140" w:type="dxa"/>
              <w:left w:w="140" w:type="dxa"/>
              <w:bottom w:w="140" w:type="dxa"/>
              <w:right w:w="140" w:type="dxa"/>
            </w:tcMar>
            <w:vAlign w:val="center"/>
          </w:tcPr>
          <w:p w14:paraId="59920E69" w14:textId="77777777" w:rsidR="00FD78B3" w:rsidRDefault="00000000">
            <w:pPr>
              <w:spacing w:line="300" w:lineRule="auto"/>
            </w:pPr>
            <w:r>
              <w:rPr>
                <w:color w:val="000000"/>
                <w:sz w:val="24"/>
                <w:szCs w:val="24"/>
              </w:rPr>
              <w:t>Proportion of predicted upward movements that were correct</w:t>
            </w:r>
          </w:p>
        </w:tc>
        <w:tc>
          <w:tcPr>
            <w:tcW w:w="2600" w:type="dxa"/>
            <w:tcMar>
              <w:top w:w="140" w:type="dxa"/>
              <w:left w:w="140" w:type="dxa"/>
              <w:bottom w:w="140" w:type="dxa"/>
              <w:right w:w="140" w:type="dxa"/>
            </w:tcMar>
            <w:vAlign w:val="center"/>
          </w:tcPr>
          <w:p w14:paraId="533FC7B5" w14:textId="77777777" w:rsidR="00FD78B3" w:rsidRDefault="00000000">
            <w:pPr>
              <w:spacing w:line="300" w:lineRule="auto"/>
              <w:jc w:val="center"/>
            </w:pPr>
            <w:r>
              <w:rPr>
                <w:color w:val="000000"/>
                <w:sz w:val="24"/>
                <w:szCs w:val="24"/>
              </w:rPr>
              <w:t>See Model Evaluation page</w:t>
            </w:r>
          </w:p>
        </w:tc>
      </w:tr>
      <w:tr w:rsidR="00FD78B3" w14:paraId="36AFF0AF" w14:textId="77777777">
        <w:tblPrEx>
          <w:tblCellMar>
            <w:top w:w="0" w:type="dxa"/>
            <w:bottom w:w="0" w:type="dxa"/>
          </w:tblCellMar>
        </w:tblPrEx>
        <w:tc>
          <w:tcPr>
            <w:tcW w:w="2600" w:type="dxa"/>
            <w:tcMar>
              <w:top w:w="140" w:type="dxa"/>
              <w:left w:w="140" w:type="dxa"/>
              <w:bottom w:w="140" w:type="dxa"/>
              <w:right w:w="140" w:type="dxa"/>
            </w:tcMar>
            <w:vAlign w:val="center"/>
          </w:tcPr>
          <w:p w14:paraId="5394AD47" w14:textId="77777777" w:rsidR="00FD78B3" w:rsidRDefault="00000000">
            <w:pPr>
              <w:spacing w:line="300" w:lineRule="auto"/>
            </w:pPr>
            <w:r>
              <w:rPr>
                <w:b/>
                <w:bCs/>
                <w:color w:val="000000"/>
                <w:sz w:val="24"/>
                <w:szCs w:val="24"/>
              </w:rPr>
              <w:t>Recall</w:t>
            </w:r>
          </w:p>
        </w:tc>
        <w:tc>
          <w:tcPr>
            <w:tcW w:w="4300" w:type="dxa"/>
            <w:tcMar>
              <w:top w:w="140" w:type="dxa"/>
              <w:left w:w="140" w:type="dxa"/>
              <w:bottom w:w="140" w:type="dxa"/>
              <w:right w:w="140" w:type="dxa"/>
            </w:tcMar>
            <w:vAlign w:val="center"/>
          </w:tcPr>
          <w:p w14:paraId="09C8628D" w14:textId="77777777" w:rsidR="00FD78B3" w:rsidRDefault="00000000">
            <w:pPr>
              <w:spacing w:line="300" w:lineRule="auto"/>
            </w:pPr>
            <w:r>
              <w:rPr>
                <w:color w:val="000000"/>
                <w:sz w:val="24"/>
                <w:szCs w:val="24"/>
              </w:rPr>
              <w:t>Proportion of actual upward movements identified by the model</w:t>
            </w:r>
          </w:p>
        </w:tc>
        <w:tc>
          <w:tcPr>
            <w:tcW w:w="2600" w:type="dxa"/>
            <w:tcMar>
              <w:top w:w="140" w:type="dxa"/>
              <w:left w:w="140" w:type="dxa"/>
              <w:bottom w:w="140" w:type="dxa"/>
              <w:right w:w="140" w:type="dxa"/>
            </w:tcMar>
            <w:vAlign w:val="center"/>
          </w:tcPr>
          <w:p w14:paraId="677961F5" w14:textId="77777777" w:rsidR="00FD78B3" w:rsidRDefault="00000000">
            <w:pPr>
              <w:spacing w:line="300" w:lineRule="auto"/>
              <w:jc w:val="center"/>
            </w:pPr>
            <w:r>
              <w:rPr>
                <w:color w:val="000000"/>
                <w:sz w:val="24"/>
                <w:szCs w:val="24"/>
              </w:rPr>
              <w:t>See Model Evaluation page</w:t>
            </w:r>
          </w:p>
        </w:tc>
      </w:tr>
      <w:tr w:rsidR="00FD78B3" w14:paraId="72D4769F" w14:textId="77777777">
        <w:tblPrEx>
          <w:tblCellMar>
            <w:top w:w="0" w:type="dxa"/>
            <w:bottom w:w="0" w:type="dxa"/>
          </w:tblCellMar>
        </w:tblPrEx>
        <w:tc>
          <w:tcPr>
            <w:tcW w:w="2600" w:type="dxa"/>
            <w:tcMar>
              <w:top w:w="140" w:type="dxa"/>
              <w:left w:w="140" w:type="dxa"/>
              <w:bottom w:w="140" w:type="dxa"/>
              <w:right w:w="140" w:type="dxa"/>
            </w:tcMar>
            <w:vAlign w:val="center"/>
          </w:tcPr>
          <w:p w14:paraId="16B14D02" w14:textId="77777777" w:rsidR="00FD78B3" w:rsidRDefault="00000000">
            <w:pPr>
              <w:spacing w:line="300" w:lineRule="auto"/>
            </w:pPr>
            <w:r>
              <w:rPr>
                <w:b/>
                <w:bCs/>
                <w:color w:val="000000"/>
                <w:sz w:val="24"/>
                <w:szCs w:val="24"/>
              </w:rPr>
              <w:t>F1-Score</w:t>
            </w:r>
          </w:p>
        </w:tc>
        <w:tc>
          <w:tcPr>
            <w:tcW w:w="4300" w:type="dxa"/>
            <w:tcMar>
              <w:top w:w="140" w:type="dxa"/>
              <w:left w:w="140" w:type="dxa"/>
              <w:bottom w:w="140" w:type="dxa"/>
              <w:right w:w="140" w:type="dxa"/>
            </w:tcMar>
            <w:vAlign w:val="center"/>
          </w:tcPr>
          <w:p w14:paraId="2AE3FAA1" w14:textId="77777777" w:rsidR="00FD78B3" w:rsidRDefault="00000000">
            <w:pPr>
              <w:spacing w:line="300" w:lineRule="auto"/>
            </w:pPr>
            <w:r>
              <w:rPr>
                <w:color w:val="000000"/>
                <w:sz w:val="24"/>
                <w:szCs w:val="24"/>
              </w:rPr>
              <w:t>Harmonic mean of precision and recall</w:t>
            </w:r>
          </w:p>
        </w:tc>
        <w:tc>
          <w:tcPr>
            <w:tcW w:w="2600" w:type="dxa"/>
            <w:tcMar>
              <w:top w:w="140" w:type="dxa"/>
              <w:left w:w="140" w:type="dxa"/>
              <w:bottom w:w="140" w:type="dxa"/>
              <w:right w:w="140" w:type="dxa"/>
            </w:tcMar>
            <w:vAlign w:val="center"/>
          </w:tcPr>
          <w:p w14:paraId="0712AF1C" w14:textId="77777777" w:rsidR="00FD78B3" w:rsidRDefault="00000000">
            <w:pPr>
              <w:spacing w:line="300" w:lineRule="auto"/>
              <w:jc w:val="center"/>
            </w:pPr>
            <w:r>
              <w:rPr>
                <w:color w:val="000000"/>
                <w:sz w:val="24"/>
                <w:szCs w:val="24"/>
              </w:rPr>
              <w:t>See Model Evaluation page</w:t>
            </w:r>
          </w:p>
        </w:tc>
      </w:tr>
      <w:tr w:rsidR="00FD78B3" w14:paraId="0F654B4D" w14:textId="77777777">
        <w:tblPrEx>
          <w:tblCellMar>
            <w:top w:w="0" w:type="dxa"/>
            <w:bottom w:w="0" w:type="dxa"/>
          </w:tblCellMar>
        </w:tblPrEx>
        <w:tc>
          <w:tcPr>
            <w:tcW w:w="2600" w:type="dxa"/>
            <w:tcMar>
              <w:top w:w="140" w:type="dxa"/>
              <w:left w:w="140" w:type="dxa"/>
              <w:bottom w:w="140" w:type="dxa"/>
              <w:right w:w="140" w:type="dxa"/>
            </w:tcMar>
            <w:vAlign w:val="center"/>
          </w:tcPr>
          <w:p w14:paraId="5BD7AD78" w14:textId="77777777" w:rsidR="00FD78B3" w:rsidRDefault="00000000">
            <w:pPr>
              <w:spacing w:line="300" w:lineRule="auto"/>
            </w:pPr>
            <w:r>
              <w:rPr>
                <w:b/>
                <w:bCs/>
                <w:color w:val="000000"/>
                <w:sz w:val="24"/>
                <w:szCs w:val="24"/>
              </w:rPr>
              <w:t>ROC AUC</w:t>
            </w:r>
          </w:p>
        </w:tc>
        <w:tc>
          <w:tcPr>
            <w:tcW w:w="4300" w:type="dxa"/>
            <w:tcMar>
              <w:top w:w="140" w:type="dxa"/>
              <w:left w:w="140" w:type="dxa"/>
              <w:bottom w:w="140" w:type="dxa"/>
              <w:right w:w="140" w:type="dxa"/>
            </w:tcMar>
            <w:vAlign w:val="center"/>
          </w:tcPr>
          <w:p w14:paraId="7C26AA3C" w14:textId="77777777" w:rsidR="00FD78B3" w:rsidRDefault="00000000">
            <w:pPr>
              <w:spacing w:line="300" w:lineRule="auto"/>
            </w:pPr>
            <w:r>
              <w:rPr>
                <w:color w:val="000000"/>
                <w:sz w:val="24"/>
                <w:szCs w:val="24"/>
              </w:rPr>
              <w:t>Ranking quality for the probability of an upward movement</w:t>
            </w:r>
          </w:p>
        </w:tc>
        <w:tc>
          <w:tcPr>
            <w:tcW w:w="2600" w:type="dxa"/>
            <w:tcMar>
              <w:top w:w="140" w:type="dxa"/>
              <w:left w:w="140" w:type="dxa"/>
              <w:bottom w:w="140" w:type="dxa"/>
              <w:right w:w="140" w:type="dxa"/>
            </w:tcMar>
            <w:vAlign w:val="center"/>
          </w:tcPr>
          <w:p w14:paraId="725DB13C" w14:textId="77777777" w:rsidR="00FD78B3" w:rsidRDefault="00000000">
            <w:pPr>
              <w:spacing w:line="300" w:lineRule="auto"/>
              <w:jc w:val="center"/>
            </w:pPr>
            <w:r>
              <w:rPr>
                <w:color w:val="000000"/>
                <w:sz w:val="24"/>
                <w:szCs w:val="24"/>
              </w:rPr>
              <w:t>See Model Evaluation page</w:t>
            </w:r>
          </w:p>
        </w:tc>
      </w:tr>
    </w:tbl>
    <w:p w14:paraId="3C06903B" w14:textId="77777777" w:rsidR="00FD78B3" w:rsidRDefault="00000000">
      <w:pPr>
        <w:spacing w:after="220" w:line="380" w:lineRule="auto"/>
        <w:jc w:val="both"/>
      </w:pPr>
      <w:r>
        <w:lastRenderedPageBreak/>
        <w:t>The confusion matrix (visible on the Model Evaluation page) breaks predictions down into true/false positives and negatives for the “Up” and “Down” classes, giving a clear picture of where the model performs well and where it tends to err. Feature-importance analysis (Figure 6.7) confirms that moving-average and volatility-based features carry the most predictive signal, which is consistent with the technical-analysis intuition that short-term trend and dispersion measures help anticipate near-term price direction.</w:t>
      </w:r>
    </w:p>
    <w:p w14:paraId="62D7F74E" w14:textId="77777777" w:rsidR="00FD78B3" w:rsidRDefault="00000000">
      <w:pPr>
        <w:spacing w:after="220" w:line="380" w:lineRule="auto"/>
        <w:jc w:val="both"/>
      </w:pPr>
      <w:r>
        <w:t>It is important to note that next-day cryptocurrency price direction is inherently difficult to predict due to high market volatility and the influence of external, non-price factors (news, sentiment, regulation). The model and dashboard are therefore intended as an educational and exploratory analytics tool rather than a source of financial advice.</w:t>
      </w:r>
    </w:p>
    <w:p w14:paraId="12375D4E" w14:textId="77777777" w:rsidR="00FD78B3" w:rsidRDefault="00000000">
      <w:pPr>
        <w:pStyle w:val="Heading1"/>
        <w:pBdr>
          <w:bottom w:val="single" w:sz="8" w:space="4" w:color="2E75B6"/>
        </w:pBdr>
        <w:spacing w:before="480" w:after="260"/>
      </w:pPr>
      <w:r>
        <w:rPr>
          <w:b/>
          <w:bCs/>
          <w:color w:val="1F3864"/>
          <w:sz w:val="34"/>
          <w:szCs w:val="34"/>
        </w:rPr>
        <w:t>8. Data Quality Assessment</w:t>
      </w:r>
    </w:p>
    <w:p w14:paraId="71033760" w14:textId="77777777" w:rsidR="00FD78B3" w:rsidRDefault="00000000">
      <w:pPr>
        <w:spacing w:after="220" w:line="380" w:lineRule="auto"/>
        <w:jc w:val="both"/>
      </w:pPr>
      <w:r>
        <w:t xml:space="preserve">An automated data-quality check was run on the full 33,365-row dataset. No duplicate rows or invalid dates were found, and no columns were found to be constant across the dataset. Some missing values are present in the derived columns volatility_7d, </w:t>
      </w:r>
      <w:proofErr w:type="spellStart"/>
      <w:r>
        <w:t>daily_return</w:t>
      </w:r>
      <w:proofErr w:type="spellEnd"/>
      <w:r>
        <w:t xml:space="preserve">, and </w:t>
      </w:r>
      <w:proofErr w:type="spellStart"/>
      <w:r>
        <w:t>cumulative_return</w:t>
      </w:r>
      <w:proofErr w:type="spellEnd"/>
      <w:r>
        <w:t xml:space="preserve"> — this is expected, since these metrics require a preceding window of history (e.g. a 7-day volatility figure cannot be computed for a coin's very first week of records) and are handled through median imputation during model preparation.</w:t>
      </w:r>
    </w:p>
    <w:p w14:paraId="23704700" w14:textId="77777777" w:rsidR="00FD78B3" w:rsidRDefault="00000000">
      <w:pPr>
        <w:pStyle w:val="Heading1"/>
        <w:pBdr>
          <w:bottom w:val="single" w:sz="8" w:space="4" w:color="2E75B6"/>
        </w:pBdr>
        <w:spacing w:before="480" w:after="260"/>
      </w:pPr>
      <w:r>
        <w:rPr>
          <w:b/>
          <w:bCs/>
          <w:color w:val="1F3864"/>
          <w:sz w:val="34"/>
          <w:szCs w:val="34"/>
        </w:rPr>
        <w:t>9. Conclusion</w:t>
      </w:r>
    </w:p>
    <w:p w14:paraId="25609ED9" w14:textId="77777777" w:rsidR="00FD78B3" w:rsidRDefault="00000000">
      <w:pPr>
        <w:spacing w:after="220" w:line="380" w:lineRule="auto"/>
        <w:jc w:val="both"/>
      </w:pPr>
      <w:proofErr w:type="spellStart"/>
      <w:r>
        <w:t>CryptoInsight</w:t>
      </w:r>
      <w:proofErr w:type="spellEnd"/>
      <w:r>
        <w:t xml:space="preserve"> AI successfully demonstrates a complete data-analytics-with-AI workflow: ingesting and cleaning real-world time-series market data, performing rich exploratory analysis, engineering meaningful technical features, training and rigorously evaluating a machine-learning classifier with a leakage-free chronological split, and presenting all of this through an interactive, multi-page </w:t>
      </w:r>
      <w:proofErr w:type="spellStart"/>
      <w:r>
        <w:t>Streamlit</w:t>
      </w:r>
      <w:proofErr w:type="spellEnd"/>
      <w:r>
        <w:t xml:space="preserve"> dashboard. The project reinforced practical skills in Python-based data analytics, feature engineering, model evaluation, and dashboard design — directly aligned with the learning objectives of the AICTE | IBM </w:t>
      </w:r>
      <w:proofErr w:type="spellStart"/>
      <w:r>
        <w:t>SkillsBuild</w:t>
      </w:r>
      <w:proofErr w:type="spellEnd"/>
      <w:r>
        <w:t xml:space="preserve"> Academic Internship on Data Analytics with AI, conducted with </w:t>
      </w:r>
      <w:proofErr w:type="spellStart"/>
      <w:r>
        <w:t>BharatCares</w:t>
      </w:r>
      <w:proofErr w:type="spellEnd"/>
      <w:r>
        <w:t>.</w:t>
      </w:r>
    </w:p>
    <w:p w14:paraId="06BAA821" w14:textId="77777777" w:rsidR="00FD78B3" w:rsidRDefault="00000000">
      <w:pPr>
        <w:pStyle w:val="Heading1"/>
        <w:pBdr>
          <w:bottom w:val="single" w:sz="8" w:space="4" w:color="2E75B6"/>
        </w:pBdr>
        <w:spacing w:before="480" w:after="260"/>
      </w:pPr>
      <w:r>
        <w:rPr>
          <w:b/>
          <w:bCs/>
          <w:color w:val="1F3864"/>
          <w:sz w:val="34"/>
          <w:szCs w:val="34"/>
        </w:rPr>
        <w:lastRenderedPageBreak/>
        <w:t>10. Future Scope</w:t>
      </w:r>
    </w:p>
    <w:p w14:paraId="41D09D6E" w14:textId="77777777" w:rsidR="00FD78B3" w:rsidRDefault="00000000">
      <w:pPr>
        <w:pStyle w:val="ListParagraph"/>
        <w:numPr>
          <w:ilvl w:val="0"/>
          <w:numId w:val="2"/>
        </w:numPr>
        <w:spacing w:after="140" w:line="360" w:lineRule="auto"/>
      </w:pPr>
      <w:r>
        <w:t>Integrate a live cryptocurrency price API to move from historical to real-time predictions.</w:t>
      </w:r>
    </w:p>
    <w:p w14:paraId="7B345B93" w14:textId="77777777" w:rsidR="00FD78B3" w:rsidRDefault="00000000">
      <w:pPr>
        <w:pStyle w:val="ListParagraph"/>
        <w:numPr>
          <w:ilvl w:val="0"/>
          <w:numId w:val="2"/>
        </w:numPr>
        <w:spacing w:after="140" w:line="360" w:lineRule="auto"/>
      </w:pPr>
      <w:r>
        <w:t>Experiment with additional models (e.g. gradient boosting, LSTM/time-series neural networks) and compare performance against the Random Forest baseline.</w:t>
      </w:r>
    </w:p>
    <w:p w14:paraId="22AA15B5" w14:textId="77777777" w:rsidR="00FD78B3" w:rsidRDefault="00000000">
      <w:pPr>
        <w:pStyle w:val="ListParagraph"/>
        <w:numPr>
          <w:ilvl w:val="0"/>
          <w:numId w:val="2"/>
        </w:numPr>
        <w:spacing w:after="140" w:line="360" w:lineRule="auto"/>
      </w:pPr>
      <w:r>
        <w:t>Incorporate sentiment data from news and social media as additional predictive features.</w:t>
      </w:r>
    </w:p>
    <w:p w14:paraId="720F8B9B" w14:textId="77777777" w:rsidR="00FD78B3" w:rsidRDefault="00000000">
      <w:pPr>
        <w:pStyle w:val="ListParagraph"/>
        <w:numPr>
          <w:ilvl w:val="0"/>
          <w:numId w:val="2"/>
        </w:numPr>
        <w:spacing w:after="140" w:line="360" w:lineRule="auto"/>
      </w:pPr>
      <w:r>
        <w:t>Add portfolio-level analytics, such as risk-adjusted return and correlation-based diversification suggestions.</w:t>
      </w:r>
    </w:p>
    <w:p w14:paraId="596BA4C1" w14:textId="77777777" w:rsidR="00FD78B3" w:rsidRDefault="00000000">
      <w:pPr>
        <w:pStyle w:val="ListParagraph"/>
        <w:numPr>
          <w:ilvl w:val="0"/>
          <w:numId w:val="2"/>
        </w:numPr>
        <w:spacing w:after="140" w:line="360" w:lineRule="auto"/>
      </w:pPr>
      <w:r>
        <w:t>Deploy the dashboard to a cloud platform for public access and scheduled automatic data refresh.</w:t>
      </w:r>
    </w:p>
    <w:p w14:paraId="119C6C3D" w14:textId="77777777" w:rsidR="00FD78B3" w:rsidRDefault="00000000">
      <w:pPr>
        <w:pStyle w:val="Heading1"/>
        <w:pBdr>
          <w:bottom w:val="single" w:sz="8" w:space="4" w:color="2E75B6"/>
        </w:pBdr>
        <w:spacing w:before="480" w:after="260"/>
      </w:pPr>
      <w:r>
        <w:rPr>
          <w:b/>
          <w:bCs/>
          <w:color w:val="1F3864"/>
          <w:sz w:val="34"/>
          <w:szCs w:val="34"/>
        </w:rPr>
        <w:t>11. References</w:t>
      </w:r>
    </w:p>
    <w:p w14:paraId="38F117C2" w14:textId="77777777" w:rsidR="00FD78B3" w:rsidRDefault="00000000">
      <w:pPr>
        <w:spacing w:after="220" w:line="380" w:lineRule="auto"/>
        <w:jc w:val="both"/>
      </w:pPr>
      <w:r>
        <w:t>1. Dataset — Top 100 Cryptocurrencies Daily Price Data (2025), Kaggle: https://www.kaggle.com/datasets/mihikaajayjadhav/top-100-cryptocurrencies-daily-price-data-2025</w:t>
      </w:r>
    </w:p>
    <w:p w14:paraId="14293EC7" w14:textId="77777777" w:rsidR="00FD78B3" w:rsidRDefault="00000000">
      <w:pPr>
        <w:spacing w:after="220" w:line="380" w:lineRule="auto"/>
        <w:jc w:val="both"/>
      </w:pPr>
      <w:r>
        <w:t xml:space="preserve">2. </w:t>
      </w:r>
      <w:proofErr w:type="spellStart"/>
      <w:r>
        <w:t>Streamlit</w:t>
      </w:r>
      <w:proofErr w:type="spellEnd"/>
      <w:r>
        <w:t xml:space="preserve"> Documentation — https://docs.streamlit.io</w:t>
      </w:r>
    </w:p>
    <w:p w14:paraId="0D5A0ED8" w14:textId="77777777" w:rsidR="00FD78B3" w:rsidRDefault="00000000">
      <w:pPr>
        <w:spacing w:after="220" w:line="380" w:lineRule="auto"/>
        <w:jc w:val="both"/>
      </w:pPr>
      <w:r>
        <w:t>3. scikit-learn Documentation — https://scikit-learn.org</w:t>
      </w:r>
    </w:p>
    <w:p w14:paraId="52F830EF" w14:textId="77777777" w:rsidR="00FD78B3" w:rsidRDefault="00000000">
      <w:pPr>
        <w:spacing w:after="220" w:line="380" w:lineRule="auto"/>
        <w:jc w:val="both"/>
      </w:pPr>
      <w:r>
        <w:t xml:space="preserve">4. </w:t>
      </w:r>
      <w:proofErr w:type="spellStart"/>
      <w:r>
        <w:t>Plotly</w:t>
      </w:r>
      <w:proofErr w:type="spellEnd"/>
      <w:r>
        <w:t xml:space="preserve"> Python Graphing Library — https://plotly.com/python/</w:t>
      </w:r>
    </w:p>
    <w:p w14:paraId="167A3112" w14:textId="77777777" w:rsidR="00FD78B3" w:rsidRPr="0068344F" w:rsidRDefault="00000000">
      <w:pPr>
        <w:spacing w:after="220" w:line="380" w:lineRule="auto"/>
        <w:jc w:val="both"/>
        <w:rPr>
          <w:lang w:val="nl-NL"/>
        </w:rPr>
      </w:pPr>
      <w:r w:rsidRPr="0068344F">
        <w:rPr>
          <w:lang w:val="nl-NL"/>
        </w:rPr>
        <w:t>5. pandas Documentation — https://pandas.pydata.org</w:t>
      </w:r>
    </w:p>
    <w:p w14:paraId="68B936C2" w14:textId="77777777" w:rsidR="00FD78B3" w:rsidRDefault="00000000">
      <w:pPr>
        <w:pStyle w:val="Heading1"/>
        <w:pBdr>
          <w:bottom w:val="single" w:sz="8" w:space="4" w:color="2E75B6"/>
        </w:pBdr>
        <w:spacing w:before="480" w:after="260"/>
      </w:pPr>
      <w:r>
        <w:rPr>
          <w:b/>
          <w:bCs/>
          <w:color w:val="1F3864"/>
          <w:sz w:val="34"/>
          <w:szCs w:val="34"/>
        </w:rPr>
        <w:t>12. Acknowledgement</w:t>
      </w:r>
    </w:p>
    <w:p w14:paraId="2476ABA9" w14:textId="77777777" w:rsidR="00FD78B3" w:rsidRDefault="00000000">
      <w:pPr>
        <w:spacing w:after="220" w:line="380" w:lineRule="auto"/>
        <w:jc w:val="both"/>
      </w:pPr>
      <w:r>
        <w:t xml:space="preserve">I would like to express my sincere gratitude to AICTE and IBM </w:t>
      </w:r>
      <w:proofErr w:type="spellStart"/>
      <w:r>
        <w:t>SkillsBuild</w:t>
      </w:r>
      <w:proofErr w:type="spellEnd"/>
      <w:r>
        <w:t xml:space="preserve"> for providing the opportunity to undertake this Academic Internship on Data Analytics with AI, and to </w:t>
      </w:r>
      <w:proofErr w:type="spellStart"/>
      <w:r>
        <w:t>BharatCares</w:t>
      </w:r>
      <w:proofErr w:type="spellEnd"/>
      <w:r>
        <w:t xml:space="preserve"> for facilitating and coordinating the program. I am thankful to my mentors and faculty at Vivekananda Global University, Jaipur, for their continuous guidance and support throughout the internship. This project has been an invaluable learning experience, allowing </w:t>
      </w:r>
      <w:r>
        <w:lastRenderedPageBreak/>
        <w:t>me to apply classroom knowledge to a real-world dataset and strengthen my practical skills in data analytics, feature engineering, and machine learning.</w:t>
      </w:r>
    </w:p>
    <w:p w14:paraId="77A43D8B" w14:textId="77777777" w:rsidR="00FD78B3" w:rsidRDefault="00000000">
      <w:pPr>
        <w:spacing w:after="220" w:line="380" w:lineRule="auto"/>
        <w:jc w:val="both"/>
      </w:pPr>
      <w:r>
        <w:t xml:space="preserve">I also acknowledge the creators of the open-source dataset used in this project, made available on Kaggle, as well as the developers of the open-source Python libraries — </w:t>
      </w:r>
      <w:proofErr w:type="spellStart"/>
      <w:r>
        <w:t>Streamlit</w:t>
      </w:r>
      <w:proofErr w:type="spellEnd"/>
      <w:r>
        <w:t xml:space="preserve">, pandas, NumPy, scikit-learn, </w:t>
      </w:r>
      <w:proofErr w:type="spellStart"/>
      <w:r>
        <w:t>Plotly</w:t>
      </w:r>
      <w:proofErr w:type="spellEnd"/>
      <w:r>
        <w:t>, Matplotlib, and Seaborn — that made this project possible.</w:t>
      </w:r>
    </w:p>
    <w:sectPr w:rsidR="00FD78B3">
      <w:headerReference w:type="default" r:id="rId15"/>
      <w:footerReference w:type="default" r:id="rId16"/>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5DCF6" w14:textId="77777777" w:rsidR="0079189E" w:rsidRDefault="0079189E">
      <w:r>
        <w:separator/>
      </w:r>
    </w:p>
  </w:endnote>
  <w:endnote w:type="continuationSeparator" w:id="0">
    <w:p w14:paraId="0F180CB9" w14:textId="77777777" w:rsidR="0079189E" w:rsidRDefault="00791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3B77" w14:textId="1544B648" w:rsidR="00FD78B3" w:rsidRDefault="00000000">
    <w:pPr>
      <w:jc w:val="center"/>
    </w:pPr>
    <w:r>
      <w:rPr>
        <w:sz w:val="18"/>
        <w:szCs w:val="18"/>
      </w:rPr>
      <w:fldChar w:fldCharType="begin"/>
    </w:r>
    <w:r>
      <w:rPr>
        <w:sz w:val="18"/>
        <w:szCs w:val="18"/>
      </w:rPr>
      <w:instrText>PAGE</w:instrText>
    </w:r>
    <w:r>
      <w:rPr>
        <w:sz w:val="18"/>
        <w:szCs w:val="18"/>
      </w:rPr>
      <w:fldChar w:fldCharType="separate"/>
    </w:r>
    <w:r w:rsidR="0068344F">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7ED5" w14:textId="77777777" w:rsidR="0079189E" w:rsidRDefault="0079189E">
      <w:r>
        <w:separator/>
      </w:r>
    </w:p>
  </w:footnote>
  <w:footnote w:type="continuationSeparator" w:id="0">
    <w:p w14:paraId="59DEADB7" w14:textId="77777777" w:rsidR="0079189E" w:rsidRDefault="00791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AE7C" w14:textId="77777777" w:rsidR="00FD78B3" w:rsidRDefault="00000000">
    <w:pPr>
      <w:jc w:val="right"/>
    </w:pPr>
    <w:proofErr w:type="spellStart"/>
    <w:r>
      <w:rPr>
        <w:color w:val="888888"/>
        <w:sz w:val="16"/>
        <w:szCs w:val="16"/>
      </w:rPr>
      <w:t>CryptoInsight</w:t>
    </w:r>
    <w:proofErr w:type="spellEnd"/>
    <w:r>
      <w:rPr>
        <w:color w:val="888888"/>
        <w:sz w:val="16"/>
        <w:szCs w:val="16"/>
      </w:rPr>
      <w:t xml:space="preserve">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45F8"/>
    <w:multiLevelType w:val="hybridMultilevel"/>
    <w:tmpl w:val="F68E43C4"/>
    <w:lvl w:ilvl="0" w:tplc="0CC441B4">
      <w:start w:val="1"/>
      <w:numFmt w:val="bullet"/>
      <w:lvlText w:val="●"/>
      <w:lvlJc w:val="left"/>
      <w:pPr>
        <w:ind w:left="720" w:hanging="360"/>
      </w:pPr>
    </w:lvl>
    <w:lvl w:ilvl="1" w:tplc="E304BAA4">
      <w:start w:val="1"/>
      <w:numFmt w:val="bullet"/>
      <w:lvlText w:val="○"/>
      <w:lvlJc w:val="left"/>
      <w:pPr>
        <w:ind w:left="1440" w:hanging="360"/>
      </w:pPr>
    </w:lvl>
    <w:lvl w:ilvl="2" w:tplc="DE9EFADE">
      <w:start w:val="1"/>
      <w:numFmt w:val="bullet"/>
      <w:lvlText w:val="■"/>
      <w:lvlJc w:val="left"/>
      <w:pPr>
        <w:ind w:left="2160" w:hanging="360"/>
      </w:pPr>
    </w:lvl>
    <w:lvl w:ilvl="3" w:tplc="DD0CC43A">
      <w:start w:val="1"/>
      <w:numFmt w:val="bullet"/>
      <w:lvlText w:val="●"/>
      <w:lvlJc w:val="left"/>
      <w:pPr>
        <w:ind w:left="2880" w:hanging="360"/>
      </w:pPr>
    </w:lvl>
    <w:lvl w:ilvl="4" w:tplc="A26A2356">
      <w:start w:val="1"/>
      <w:numFmt w:val="bullet"/>
      <w:lvlText w:val="○"/>
      <w:lvlJc w:val="left"/>
      <w:pPr>
        <w:ind w:left="3600" w:hanging="360"/>
      </w:pPr>
    </w:lvl>
    <w:lvl w:ilvl="5" w:tplc="0E9E3730">
      <w:start w:val="1"/>
      <w:numFmt w:val="bullet"/>
      <w:lvlText w:val="■"/>
      <w:lvlJc w:val="left"/>
      <w:pPr>
        <w:ind w:left="4320" w:hanging="360"/>
      </w:pPr>
    </w:lvl>
    <w:lvl w:ilvl="6" w:tplc="B4584B9C">
      <w:start w:val="1"/>
      <w:numFmt w:val="bullet"/>
      <w:lvlText w:val="●"/>
      <w:lvlJc w:val="left"/>
      <w:pPr>
        <w:ind w:left="5040" w:hanging="360"/>
      </w:pPr>
    </w:lvl>
    <w:lvl w:ilvl="7" w:tplc="ECECC20A">
      <w:start w:val="1"/>
      <w:numFmt w:val="bullet"/>
      <w:lvlText w:val="●"/>
      <w:lvlJc w:val="left"/>
      <w:pPr>
        <w:ind w:left="5760" w:hanging="360"/>
      </w:pPr>
    </w:lvl>
    <w:lvl w:ilvl="8" w:tplc="8976ECB2">
      <w:start w:val="1"/>
      <w:numFmt w:val="bullet"/>
      <w:lvlText w:val="●"/>
      <w:lvlJc w:val="left"/>
      <w:pPr>
        <w:ind w:left="6480" w:hanging="360"/>
      </w:pPr>
    </w:lvl>
  </w:abstractNum>
  <w:abstractNum w:abstractNumId="1" w15:restartNumberingAfterBreak="0">
    <w:nsid w:val="610557E5"/>
    <w:multiLevelType w:val="hybridMultilevel"/>
    <w:tmpl w:val="70BC5E38"/>
    <w:lvl w:ilvl="0" w:tplc="236A0760">
      <w:start w:val="1"/>
      <w:numFmt w:val="bullet"/>
      <w:lvlText w:val="•"/>
      <w:lvlJc w:val="left"/>
      <w:pPr>
        <w:ind w:left="480" w:hanging="260"/>
      </w:pPr>
    </w:lvl>
    <w:lvl w:ilvl="1" w:tplc="59A6C1C6">
      <w:numFmt w:val="decimal"/>
      <w:lvlText w:val=""/>
      <w:lvlJc w:val="left"/>
    </w:lvl>
    <w:lvl w:ilvl="2" w:tplc="520CF236">
      <w:numFmt w:val="decimal"/>
      <w:lvlText w:val=""/>
      <w:lvlJc w:val="left"/>
    </w:lvl>
    <w:lvl w:ilvl="3" w:tplc="8B2221FE">
      <w:numFmt w:val="decimal"/>
      <w:lvlText w:val=""/>
      <w:lvlJc w:val="left"/>
    </w:lvl>
    <w:lvl w:ilvl="4" w:tplc="7DA0FD7E">
      <w:numFmt w:val="decimal"/>
      <w:lvlText w:val=""/>
      <w:lvlJc w:val="left"/>
    </w:lvl>
    <w:lvl w:ilvl="5" w:tplc="9752D224">
      <w:numFmt w:val="decimal"/>
      <w:lvlText w:val=""/>
      <w:lvlJc w:val="left"/>
    </w:lvl>
    <w:lvl w:ilvl="6" w:tplc="704A67B0">
      <w:numFmt w:val="decimal"/>
      <w:lvlText w:val=""/>
      <w:lvlJc w:val="left"/>
    </w:lvl>
    <w:lvl w:ilvl="7" w:tplc="6212D21E">
      <w:numFmt w:val="decimal"/>
      <w:lvlText w:val=""/>
      <w:lvlJc w:val="left"/>
    </w:lvl>
    <w:lvl w:ilvl="8" w:tplc="3F4CABF8">
      <w:numFmt w:val="decimal"/>
      <w:lvlText w:val=""/>
      <w:lvlJc w:val="left"/>
    </w:lvl>
  </w:abstractNum>
  <w:num w:numId="1" w16cid:durableId="1116944818">
    <w:abstractNumId w:val="0"/>
    <w:lvlOverride w:ilvl="0">
      <w:startOverride w:val="1"/>
    </w:lvlOverride>
  </w:num>
  <w:num w:numId="2" w16cid:durableId="315037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8B3"/>
    <w:rsid w:val="0068344F"/>
    <w:rsid w:val="00744697"/>
    <w:rsid w:val="0079189E"/>
    <w:rsid w:val="00FD78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3D55"/>
  <w15:docId w15:val="{FF9BE490-B0A4-429E-A6AF-512F8BAE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5"/>
        <w:szCs w:val="25"/>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2332</Words>
  <Characters>13293</Characters>
  <Application>Microsoft Office Word</Application>
  <DocSecurity>0</DocSecurity>
  <Lines>110</Lines>
  <Paragraphs>31</Paragraphs>
  <ScaleCrop>false</ScaleCrop>
  <Company/>
  <LinksUpToDate>false</LinksUpToDate>
  <CharactersWithSpaces>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Kumar</cp:lastModifiedBy>
  <cp:revision>2</cp:revision>
  <dcterms:created xsi:type="dcterms:W3CDTF">2026-09-17T05:51:00Z</dcterms:created>
  <dcterms:modified xsi:type="dcterms:W3CDTF">2026-09-19T08:55:00Z</dcterms:modified>
</cp:coreProperties>
</file>