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Layout w:type="fixed"/>
        <w:tblLook w:firstColumn="1" w:firstRow="1" w:lastColumn="0" w:lastRow="0" w:noHBand="0" w:noVBand="1" w:val="04A0"/>
      </w:tblPr>
      <w:tblGrid>
        <w:gridCol w:w="1474"/>
        <w:gridCol w:w="8957"/>
      </w:tblGrid>
      <w:tr>
        <w:tc>
          <w:tcPr>
            <w:tcW w:type="dxa" w:w="1474"/>
            <w:tcMar>
              <w:top w:w="0" w:type="dxa"/>
              <w:start w:w="0" w:type="dxa"/>
              <w:bottom w:w="0" w:type="dxa"/>
              <w:end w:w="0" w:type="dxa"/>
            </w:tcMar>
          </w:tcPr>
          <w:p>
            <w:pPr>
              <w:bidi/>
              <w:spacing w:before="0" w:after="0" w:line="240" w:lineRule="auto"/>
            </w:pPr>
            <w:r>
              <w:drawing>
                <wp:inline xmlns:a="http://schemas.openxmlformats.org/drawingml/2006/main" xmlns:pic="http://schemas.openxmlformats.org/drawingml/2006/picture">
                  <wp:extent cx="864000" cy="71778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864000" cy="717785"/>
                          </a:xfrm>
                          <a:prstGeom prst="rect"/>
                        </pic:spPr>
                      </pic:pic>
                    </a:graphicData>
                  </a:graphic>
                </wp:inline>
              </w:drawing>
            </w:r>
          </w:p>
        </w:tc>
        <w:tc>
          <w:tcPr>
            <w:tcW w:type="dxa" w:w="8957"/>
            <w:tcMar>
              <w:top w:w="0" w:type="dxa"/>
              <w:start w:w="0" w:type="dxa"/>
              <w:bottom w:w="0" w:type="dxa"/>
              <w:end w:w="0" w:type="dxa"/>
            </w:tcMar>
          </w:tcPr>
          <w:p>
            <w:pPr>
              <w:bidi/>
              <w:spacing w:before="0" w:after="0" w:line="240" w:lineRule="auto"/>
            </w:pPr>
            <w:r>
              <w:rPr>
                <w:rFonts w:ascii="Calibri" w:hAnsi="Calibri" w:cs="David"/>
                <w:b w:val="0"/>
                <w:color w:val="707A87"/>
                <w:sz w:val="18"/>
                <w:szCs w:val="18"/>
                <w:rtl/>
              </w:rPr>
              <w:t>סוכן אוסינט | ענף מבצעים חמ״ץ</w:t>
            </w:r>
          </w:p>
          <w:p>
            <w:pPr>
              <w:bidi/>
              <w:spacing w:before="0" w:after="20" w:line="240" w:lineRule="auto"/>
            </w:pPr>
            <w:r>
              <w:rPr>
                <w:rFonts w:ascii="Calibri" w:hAnsi="Calibri" w:cs="David"/>
                <w:b/>
                <w:color w:val="111822"/>
                <w:sz w:val="38"/>
                <w:szCs w:val="38"/>
                <w:bCs/>
                <w:rtl/>
              </w:rPr>
              <w:t>דו״ח אג״מי - עיקרי האירועים</w:t>
            </w:r>
          </w:p>
          <w:p>
            <w:pPr>
              <w:bidi/>
              <w:spacing w:before="0" w:after="0" w:line="240" w:lineRule="auto"/>
            </w:pPr>
            <w:r>
              <w:rPr>
                <w:rFonts w:ascii="Calibri" w:hAnsi="Calibri" w:cs="David"/>
                <w:b w:val="0"/>
                <w:color w:val="707A87"/>
                <w:sz w:val="20"/>
                <w:szCs w:val="20"/>
                <w:rtl/>
              </w:rPr>
              <w:t>תמונת מצב 24 שעות · 28 באוקטובר 2026</w:t>
            </w:r>
          </w:p>
        </w:tc>
      </w:tr>
    </w:tbl>
    <w:p>
      <w:pPr>
        <w:pBdr>
          <w:bottom w:val="single" w:sz="10" w:space="1" w:color="0B5FA5"/>
        </w:pBdr>
        <w:bidi/>
        <w:spacing w:before="40" w:after="100" w:line="240" w:lineRule="auto"/>
      </w:pP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AFC6E0"/>
              <w:left w:val="single" w:sz="24" w:space="0" w:color="0B5FA5"/>
              <w:bottom w:val="single" w:sz="4" w:space="0" w:color="AFC6E0"/>
              <w:right w:val="single" w:sz="4" w:space="0" w:color="AFC6E0"/>
            </w:tcBorders>
            <w:shd w:val="clear" w:color="auto" w:fill="EEF4FB"/>
            <w:tcMar>
              <w:top w:w="80" w:type="dxa"/>
              <w:start w:w="140" w:type="dxa"/>
              <w:bottom w:w="80" w:type="dxa"/>
              <w:end w:w="110" w:type="dxa"/>
            </w:tcMar>
          </w:tcPr>
          <w:p>
            <w:pPr>
              <w:bidi/>
              <w:spacing w:before="0" w:after="0" w:line="240" w:lineRule="auto"/>
            </w:pPr>
            <w:r>
              <w:rPr>
                <w:rFonts w:ascii="Calibri" w:hAnsi="Calibri" w:cs="David"/>
                <w:b/>
                <w:color w:val="0B5FA5"/>
                <w:sz w:val="21"/>
                <w:szCs w:val="21"/>
                <w:bCs/>
                <w:rtl/>
              </w:rPr>
              <w:t xml:space="preserve">עיקר   </w:t>
            </w:r>
            <w:r>
              <w:rPr>
                <w:rFonts w:ascii="Calibri" w:hAnsi="Calibri" w:cs="David"/>
                <w:b/>
                <w:color w:val="111822"/>
                <w:sz w:val="25"/>
                <w:szCs w:val="25"/>
                <w:bCs/>
                <w:rtl/>
              </w:rPr>
              <w:t>הבוקר (28.10) תקף קטין בשתי סכינים שוטר ז׳נדרמריה שאבטח את שגרירות ישראל בבלגרד. השוטר נפצע קל והרג את התוקף. לפי שר הפנים הסרבי, שירותי הביטחון הכירו את התוקף כמזוהה עם דאע״ש.</w:t>
            </w:r>
          </w:p>
        </w:tc>
      </w:tr>
    </w:tbl>
    <w:p>
      <w:pPr>
        <w:bidi/>
        <w:spacing w:before="0" w:after="0" w:line="240" w:lineRule="auto"/>
      </w:pPr>
      <w:r>
        <w:rPr>
          <w:rFonts w:ascii="Calibri" w:hAnsi="Calibri" w:cs="David"/>
          <w:b w:val="0"/>
          <w:sz w:val="14"/>
          <w:szCs w:val="1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80" w:type="dxa"/>
              <w:start w:w="140" w:type="dxa"/>
              <w:bottom w:w="80" w:type="dxa"/>
              <w:end w:w="110" w:type="dxa"/>
            </w:tcMar>
          </w:tcPr>
          <w:p>
            <w:pPr>
              <w:bidi/>
              <w:spacing w:before="0" w:after="40" w:line="240" w:lineRule="auto"/>
            </w:pPr>
            <w:r>
              <w:rPr>
                <w:rFonts w:ascii="Calibri" w:hAnsi="Calibri" w:cs="David"/>
                <w:b/>
                <w:color w:val="A66300"/>
                <w:sz w:val="28"/>
                <w:szCs w:val="28"/>
                <w:bCs/>
                <w:rtl/>
              </w:rPr>
              <w:t>זירת מעג״ש</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3 אירועים</w:t>
            </w:r>
          </w:p>
          <w:p>
            <w:pPr>
              <w:bidi/>
              <w:spacing w:before="60" w:after="20" w:line="283" w:lineRule="auto"/>
            </w:pPr>
            <w:r>
              <w:rPr>
                <w:rFonts w:ascii="Calibri" w:hAnsi="Calibri" w:cs="David"/>
                <w:b/>
                <w:color w:val="A66300"/>
                <w:sz w:val="25"/>
                <w:szCs w:val="25"/>
                <w:bCs/>
                <w:rtl/>
              </w:rPr>
              <w:t>איראן</w:t>
            </w:r>
          </w:p>
          <w:p>
            <w:pPr>
              <w:bidi/>
              <w:spacing w:before="0" w:after="80" w:line="283" w:lineRule="auto"/>
              <w:ind w:left="539" w:hanging="227"/>
            </w:pPr>
            <w:r>
              <w:rPr>
                <w:rFonts w:ascii="Calibri" w:hAnsi="Calibri" w:cs="David"/>
                <w:b w:val="0"/>
                <w:color w:val="A66300"/>
                <w:sz w:val="24"/>
                <w:szCs w:val="24"/>
                <w:rtl/>
              </w:rPr>
              <w:t xml:space="preserve">•  </w:t>
            </w:r>
            <w:r>
              <w:rPr>
                <w:rFonts w:ascii="Calibri" w:hAnsi="Calibri" w:cs="David"/>
                <w:b w:val="0"/>
                <w:color w:val="111822"/>
                <w:sz w:val="24"/>
                <w:szCs w:val="24"/>
                <w:rtl/>
              </w:rPr>
              <w:t>מחמ״ד האמריקני שינה את הסגל בנציגויות ארה״ב במזה״ת, אחרי אזהרה מודיעינית שאיראן מגבירה ניסיונות לפגוע באנשי ארה״ב באזור.</w:t>
            </w:r>
            <w:r>
              <w:rPr>
                <w:rFonts w:ascii="Calibri" w:hAnsi="Calibri" w:cs="David"/>
                <w:b w:val="0"/>
                <w:color w:val="707A87"/>
                <w:sz w:val="16"/>
                <w:szCs w:val="16"/>
                <w:rtl/>
              </w:rPr>
              <w:t>‏  בי-בי-סי‏</w:t>
            </w:r>
          </w:p>
          <w:p>
            <w:pPr>
              <w:bidi/>
              <w:spacing w:before="0" w:after="80" w:line="283" w:lineRule="auto"/>
              <w:ind w:left="539" w:hanging="227"/>
            </w:pPr>
            <w:r>
              <w:rPr>
                <w:rFonts w:ascii="Calibri" w:hAnsi="Calibri" w:cs="David"/>
                <w:b w:val="0"/>
                <w:color w:val="A66300"/>
                <w:sz w:val="24"/>
                <w:szCs w:val="24"/>
                <w:rtl/>
              </w:rPr>
              <w:t xml:space="preserve">•  </w:t>
            </w:r>
            <w:r>
              <w:rPr>
                <w:rFonts w:ascii="Calibri" w:hAnsi="Calibri" w:cs="David"/>
                <w:b w:val="0"/>
                <w:color w:val="111822"/>
                <w:sz w:val="24"/>
                <w:szCs w:val="24"/>
                <w:rtl/>
              </w:rPr>
              <w:t>סי-בי-אס: מתווכים מקטאר העבירו לאיראן הצעה חדשה לסיום המלחמה. בכיר איראני לרויטרס: קטאר לא הציעה הצעה חדשה, והרעיונות שלה אינם מקובלים על טהרן</w:t>
            </w:r>
          </w:p>
          <w:p>
            <w:pPr>
              <w:bidi/>
              <w:spacing w:before="0" w:after="80" w:line="283" w:lineRule="auto"/>
              <w:ind w:left="539" w:hanging="227"/>
            </w:pPr>
            <w:r>
              <w:rPr>
                <w:rFonts w:ascii="Calibri" w:hAnsi="Calibri" w:cs="David"/>
                <w:b w:val="0"/>
                <w:color w:val="A66300"/>
                <w:sz w:val="24"/>
                <w:szCs w:val="24"/>
                <w:rtl/>
              </w:rPr>
              <w:t xml:space="preserve">•  </w:t>
            </w:r>
            <w:r>
              <w:rPr>
                <w:rFonts w:ascii="Calibri" w:hAnsi="Calibri" w:cs="David"/>
                <w:b w:val="0"/>
                <w:color w:val="111822"/>
                <w:sz w:val="24"/>
                <w:szCs w:val="24"/>
                <w:rtl/>
              </w:rPr>
              <w:t>ראש סבא״א (הסוכנות הבינלאומית לאנרגיה אטומית) גרוסי במועצת הביטחון: אין סימן שאיראן ניסתה לשקם את מתקני הגרעין שהותקפו, אבל היא עדיין מונעת מהפקחים להגיע אליהם</w:t>
            </w:r>
          </w:p>
        </w:tc>
      </w:tr>
    </w:tbl>
    <w:p>
      <w:pPr>
        <w:bidi/>
        <w:spacing w:before="0" w:after="0" w:line="240" w:lineRule="auto"/>
      </w:pPr>
      <w:r>
        <w:rPr>
          <w:rFonts w:ascii="Calibri" w:hAnsi="Calibri" w:cs="David"/>
          <w:b w:val="0"/>
          <w:sz w:val="12"/>
          <w:szCs w:val="12"/>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80" w:type="dxa"/>
              <w:start w:w="140" w:type="dxa"/>
              <w:bottom w:w="80" w:type="dxa"/>
              <w:end w:w="110" w:type="dxa"/>
            </w:tcMar>
          </w:tcPr>
          <w:p>
            <w:pPr>
              <w:bidi/>
              <w:spacing w:before="0" w:after="40" w:line="240" w:lineRule="auto"/>
            </w:pPr>
            <w:r>
              <w:rPr>
                <w:rFonts w:ascii="Calibri" w:hAnsi="Calibri" w:cs="David"/>
                <w:b/>
                <w:color w:val="A66300"/>
                <w:sz w:val="28"/>
                <w:szCs w:val="28"/>
                <w:bCs/>
                <w:rtl/>
              </w:rPr>
              <w:t>זירת מרכז</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אירוע אחד</w:t>
            </w:r>
          </w:p>
          <w:p>
            <w:pPr>
              <w:bidi/>
              <w:spacing w:before="60" w:after="20" w:line="283" w:lineRule="auto"/>
            </w:pPr>
            <w:r>
              <w:rPr>
                <w:rFonts w:ascii="Calibri" w:hAnsi="Calibri" w:cs="David"/>
                <w:b/>
                <w:color w:val="A66300"/>
                <w:sz w:val="25"/>
                <w:szCs w:val="25"/>
                <w:bCs/>
                <w:rtl/>
              </w:rPr>
              <w:t>איו״ש</w:t>
            </w:r>
          </w:p>
          <w:p>
            <w:pPr>
              <w:bidi/>
              <w:spacing w:before="0" w:after="80" w:line="283" w:lineRule="auto"/>
              <w:ind w:left="539" w:hanging="227"/>
            </w:pPr>
            <w:r>
              <w:rPr>
                <w:rFonts w:ascii="Calibri" w:hAnsi="Calibri" w:cs="David"/>
                <w:b w:val="0"/>
                <w:color w:val="A66300"/>
                <w:sz w:val="24"/>
                <w:szCs w:val="24"/>
                <w:rtl/>
              </w:rPr>
              <w:t xml:space="preserve">•  </w:t>
            </w:r>
            <w:r>
              <w:rPr>
                <w:rFonts w:ascii="Calibri" w:hAnsi="Calibri" w:cs="David"/>
                <w:b w:val="0"/>
                <w:color w:val="111822"/>
                <w:sz w:val="24"/>
                <w:szCs w:val="24"/>
                <w:rtl/>
              </w:rPr>
              <w:t>שוטרי תחנת חברון וכוחות צה״ל עצרו ב-27.10 בערב ביטא (דרום הר חברון, חטיבת יהודה) תושב בשנות ה-50 לחייו, בחשד שאמר שבכוונתו לבצע פיגוע נגד אזרחים ישראלים</w:t>
            </w:r>
          </w:p>
        </w:tc>
      </w:tr>
    </w:tbl>
    <w:p>
      <w:pPr>
        <w:bidi/>
        <w:spacing w:before="0" w:after="0" w:line="240" w:lineRule="auto"/>
      </w:pPr>
      <w:r>
        <w:rPr>
          <w:rFonts w:ascii="Calibri" w:hAnsi="Calibri" w:cs="David"/>
          <w:b w:val="0"/>
          <w:sz w:val="12"/>
          <w:szCs w:val="12"/>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9AA6B4"/>
              <w:bottom w:val="single" w:sz="4" w:space="0" w:color="DDE4EC"/>
              <w:right w:val="single" w:sz="4" w:space="0" w:color="DDE4EC"/>
            </w:tcBorders>
            <w:shd w:val="clear" w:color="auto" w:fill="FAFBFD"/>
            <w:tcMar>
              <w:top w:w="80" w:type="dxa"/>
              <w:start w:w="140" w:type="dxa"/>
              <w:bottom w:w="80" w:type="dxa"/>
              <w:end w:w="110" w:type="dxa"/>
            </w:tcMar>
          </w:tcPr>
          <w:p>
            <w:pPr>
              <w:bidi/>
              <w:spacing w:before="0" w:after="40" w:line="240" w:lineRule="auto"/>
            </w:pPr>
            <w:r>
              <w:rPr>
                <w:rFonts w:ascii="Calibri" w:hAnsi="Calibri" w:cs="David"/>
                <w:b/>
                <w:color w:val="707A87"/>
                <w:sz w:val="28"/>
                <w:szCs w:val="28"/>
                <w:bCs/>
                <w:rtl/>
              </w:rPr>
              <w:t>זירת דרום</w:t>
            </w:r>
            <w:r>
              <w:rPr>
                <w:rFonts w:ascii="Calibri" w:hAnsi="Calibri" w:cs="David"/>
                <w:b w:val="0"/>
                <w:color w:val="707A87"/>
                <w:sz w:val="18"/>
                <w:szCs w:val="18"/>
                <w:rtl/>
              </w:rPr>
              <w:t xml:space="preserve">   מעקב</w:t>
            </w:r>
          </w:p>
          <w:p>
            <w:pPr>
              <w:bidi/>
              <w:spacing w:before="0" w:after="80" w:line="283" w:lineRule="auto"/>
              <w:ind w:left="312" w:hanging="227"/>
            </w:pPr>
            <w:r>
              <w:rPr>
                <w:rFonts w:ascii="Calibri" w:hAnsi="Calibri" w:cs="David"/>
                <w:b w:val="0"/>
                <w:color w:val="707A87"/>
                <w:sz w:val="24"/>
                <w:szCs w:val="24"/>
                <w:rtl/>
              </w:rPr>
              <w:t xml:space="preserve">•  </w:t>
            </w:r>
            <w:r>
              <w:rPr>
                <w:rFonts w:ascii="Calibri" w:hAnsi="Calibri" w:cs="David"/>
                <w:b w:val="0"/>
                <w:color w:val="707A87"/>
                <w:sz w:val="24"/>
                <w:szCs w:val="24"/>
                <w:rtl/>
              </w:rPr>
              <w:t>ללא אירוע חדש ב-24 השעות האחרונות</w:t>
            </w:r>
          </w:p>
        </w:tc>
      </w:tr>
    </w:tbl>
    <w:p>
      <w:pPr>
        <w:bidi/>
        <w:spacing w:before="0" w:after="0" w:line="240" w:lineRule="auto"/>
      </w:pPr>
      <w:r>
        <w:rPr>
          <w:rFonts w:ascii="Calibri" w:hAnsi="Calibri" w:cs="David"/>
          <w:b w:val="0"/>
          <w:sz w:val="12"/>
          <w:szCs w:val="12"/>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80" w:type="dxa"/>
              <w:start w:w="140" w:type="dxa"/>
              <w:bottom w:w="80" w:type="dxa"/>
              <w:end w:w="110" w:type="dxa"/>
            </w:tcMar>
          </w:tcPr>
          <w:p>
            <w:pPr>
              <w:bidi/>
              <w:spacing w:before="0" w:after="40" w:line="240" w:lineRule="auto"/>
            </w:pPr>
            <w:r>
              <w:rPr>
                <w:rFonts w:ascii="Calibri" w:hAnsi="Calibri" w:cs="David"/>
                <w:b/>
                <w:color w:val="C41E3A"/>
                <w:sz w:val="28"/>
                <w:szCs w:val="28"/>
                <w:bCs/>
                <w:rtl/>
              </w:rPr>
              <w:t>בינ״ל ביטחוני</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3 אירועים</w:t>
            </w:r>
          </w:p>
          <w:p>
            <w:pPr>
              <w:bidi/>
              <w:spacing w:before="0" w:after="80" w:line="283" w:lineRule="auto"/>
              <w:ind w:left="312" w:hanging="227"/>
            </w:pPr>
            <w:r>
              <w:rPr>
                <w:rFonts w:ascii="Calibri" w:hAnsi="Calibri" w:cs="David"/>
                <w:b w:val="0"/>
                <w:color w:val="C41E3A"/>
                <w:sz w:val="24"/>
                <w:szCs w:val="24"/>
                <w:rtl/>
              </w:rPr>
              <w:t xml:space="preserve">•  </w:t>
            </w:r>
            <w:r>
              <w:rPr>
                <w:rFonts w:ascii="Calibri" w:hAnsi="Calibri" w:cs="David"/>
                <w:b w:val="0"/>
                <w:color w:val="111822"/>
                <w:sz w:val="24"/>
                <w:szCs w:val="24"/>
                <w:rtl/>
              </w:rPr>
              <w:t>סרביה: הבוקר (28.10) תקף קטין בשתי סכינים שוטר ז׳נדרמריה שאבטח את שגרירות ישראל בבלגרד, וצעק ״אללה אכבר״. השוטר נפצע קל, ירה בתוקף והרג אותו.</w:t>
            </w:r>
            <w:r>
              <w:rPr>
                <w:rFonts w:ascii="Calibri" w:hAnsi="Calibri" w:cs="David"/>
                <w:b w:val="0"/>
                <w:color w:val="707A87"/>
                <w:sz w:val="16"/>
                <w:szCs w:val="16"/>
                <w:rtl/>
              </w:rPr>
              <w:t>‏  ynet‏</w:t>
            </w:r>
          </w:p>
          <w:p>
            <w:pPr>
              <w:bidi/>
              <w:spacing w:before="0" w:after="80" w:line="283" w:lineRule="auto"/>
              <w:ind w:left="312" w:hanging="227"/>
            </w:pPr>
            <w:r>
              <w:rPr>
                <w:rFonts w:ascii="Calibri" w:hAnsi="Calibri" w:cs="David"/>
                <w:b w:val="0"/>
                <w:color w:val="C41E3A"/>
                <w:sz w:val="24"/>
                <w:szCs w:val="24"/>
                <w:rtl/>
              </w:rPr>
              <w:t xml:space="preserve">•  </w:t>
            </w:r>
            <w:r>
              <w:rPr>
                <w:rFonts w:ascii="Calibri" w:hAnsi="Calibri" w:cs="David"/>
                <w:b w:val="0"/>
                <w:color w:val="111822"/>
                <w:sz w:val="24"/>
                <w:szCs w:val="24"/>
                <w:rtl/>
              </w:rPr>
              <w:t>שר הפנים הסרבי איביצה דאצ׳יץ׳: שירותי הביטחון הכירו את תוקף שגרירות ישראל בבלגרד כמזוהה עם דאע״ש, ועקבו אחריו עוד לפני הפיגוע. ynet: בחשבון האינסטגרם של התוקף הופיע דגל דאע״ש</w:t>
            </w:r>
          </w:p>
          <w:p>
            <w:pPr>
              <w:bidi/>
              <w:spacing w:before="0" w:after="80" w:line="283" w:lineRule="auto"/>
              <w:ind w:left="312" w:hanging="227"/>
            </w:pPr>
            <w:r>
              <w:rPr>
                <w:rFonts w:ascii="Calibri" w:hAnsi="Calibri" w:cs="David"/>
                <w:b w:val="0"/>
                <w:color w:val="C41E3A"/>
                <w:sz w:val="24"/>
                <w:szCs w:val="24"/>
                <w:rtl/>
              </w:rPr>
              <w:t xml:space="preserve">•  </w:t>
            </w:r>
            <w:r>
              <w:rPr>
                <w:rFonts w:ascii="Calibri" w:hAnsi="Calibri" w:cs="David"/>
                <w:b w:val="0"/>
                <w:color w:val="111822"/>
                <w:sz w:val="24"/>
                <w:szCs w:val="24"/>
                <w:rtl/>
              </w:rPr>
              <w:t>סרביה הגדירה את התקיפה בשגרירות ישראל בבלגרד פיגוע טרור, והעלתה את רמת הכוננות מפני טרור לדרגה הגבוהה ביותר</w:t>
            </w:r>
          </w:p>
        </w:tc>
      </w:tr>
    </w:tbl>
    <w:p>
      <w:pPr>
        <w:bidi/>
        <w:spacing w:before="0" w:after="0" w:line="240" w:lineRule="auto"/>
      </w:pPr>
      <w:r>
        <w:rPr>
          <w:rFonts w:ascii="Calibri" w:hAnsi="Calibri" w:cs="David"/>
          <w:b w:val="0"/>
          <w:sz w:val="12"/>
          <w:szCs w:val="12"/>
          <w:rtl/>
        </w:rPr>
      </w:r>
    </w:p>
    <w:p>
      <w:pPr>
        <w:pBdr>
          <w:bottom w:val="single" w:sz="6" w:space="1" w:color="D5DDE8"/>
        </w:pBdr>
        <w:bidi/>
        <w:spacing w:before="200" w:after="0" w:line="240" w:lineRule="auto"/>
      </w:pPr>
    </w:p>
    <w:p>
      <w:pPr>
        <w:bidi/>
        <w:spacing w:before="60" w:after="0" w:line="240" w:lineRule="auto"/>
      </w:pPr>
      <w:r>
        <w:rPr>
          <w:rFonts w:ascii="Calibri" w:hAnsi="Calibri" w:cs="David"/>
          <w:b w:val="0"/>
          <w:color w:val="707A87"/>
          <w:sz w:val="15"/>
          <w:szCs w:val="15"/>
          <w:rtl/>
        </w:rPr>
        <w:t>לא מסווג · לשימוש פנימי · המידע נכון לשעת הסקירה</w:t>
      </w:r>
    </w:p>
    <w:sectPr w:rsidR="00FC693F" w:rsidRPr="0006063C" w:rsidSect="00034616">
      <w:pgSz w:w="11906" w:h="16838"/>
      <w:pgMar w:top="624" w:right="737" w:bottom="567" w:left="73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libri" w:hAnsi="Calibri"/>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