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Layout w:type="fixed"/>
        <w:tblLook w:firstColumn="1" w:firstRow="1" w:lastColumn="0" w:lastRow="0" w:noHBand="0" w:noVBand="1" w:val="04A0"/>
      </w:tblPr>
      <w:tblGrid>
        <w:gridCol w:w="1474"/>
        <w:gridCol w:w="8957"/>
      </w:tblGrid>
      <w:tr>
        <w:tc>
          <w:tcPr>
            <w:tcW w:type="dxa" w:w="1474"/>
            <w:tcMar>
              <w:top w:w="0" w:type="dxa"/>
              <w:start w:w="0" w:type="dxa"/>
              <w:bottom w:w="0" w:type="dxa"/>
              <w:end w:w="0" w:type="dxa"/>
            </w:tcMar>
          </w:tcPr>
          <w:p>
            <w:pPr>
              <w:bidi/>
              <w:spacing w:before="0" w:after="0" w:line="240" w:lineRule="auto"/>
            </w:pPr>
            <w:r>
              <w:drawing>
                <wp:inline xmlns:a="http://schemas.openxmlformats.org/drawingml/2006/main" xmlns:pic="http://schemas.openxmlformats.org/drawingml/2006/picture">
                  <wp:extent cx="827999" cy="687876"/>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827999" cy="687876"/>
                          </a:xfrm>
                          <a:prstGeom prst="rect"/>
                        </pic:spPr>
                      </pic:pic>
                    </a:graphicData>
                  </a:graphic>
                </wp:inline>
              </w:drawing>
            </w:r>
          </w:p>
        </w:tc>
        <w:tc>
          <w:tcPr>
            <w:tcW w:type="dxa" w:w="8957"/>
            <w:tcMar>
              <w:top w:w="0" w:type="dxa"/>
              <w:start w:w="0" w:type="dxa"/>
              <w:bottom w:w="0" w:type="dxa"/>
              <w:end w:w="0" w:type="dxa"/>
            </w:tcMar>
          </w:tcPr>
          <w:p>
            <w:pPr>
              <w:bidi/>
              <w:spacing w:before="0" w:after="0" w:line="240" w:lineRule="auto"/>
            </w:pPr>
            <w:r>
              <w:rPr>
                <w:rFonts w:ascii="Calibri" w:hAnsi="Calibri" w:cs="David"/>
                <w:b w:val="0"/>
                <w:color w:val="707A87"/>
                <w:sz w:val="18"/>
                <w:szCs w:val="18"/>
                <w:rtl/>
              </w:rPr>
              <w:t>סוכן אוסינט | ענף מבצעים חמ״ץ</w:t>
            </w:r>
          </w:p>
          <w:p>
            <w:pPr>
              <w:bidi/>
              <w:spacing w:before="0" w:after="20" w:line="240" w:lineRule="auto"/>
            </w:pPr>
            <w:r>
              <w:rPr>
                <w:rFonts w:ascii="Calibri" w:hAnsi="Calibri" w:cs="David"/>
                <w:b/>
                <w:color w:val="111822"/>
                <w:sz w:val="36"/>
                <w:szCs w:val="36"/>
                <w:bCs/>
                <w:rtl/>
              </w:rPr>
              <w:t>דו״ח אג״מי - עיקרי האירועים</w:t>
            </w:r>
          </w:p>
          <w:p>
            <w:pPr>
              <w:bidi/>
              <w:spacing w:before="0" w:after="0" w:line="240" w:lineRule="auto"/>
            </w:pPr>
            <w:r>
              <w:rPr>
                <w:rFonts w:ascii="Calibri" w:hAnsi="Calibri" w:cs="David"/>
                <w:b w:val="0"/>
                <w:color w:val="707A87"/>
                <w:sz w:val="20"/>
                <w:szCs w:val="20"/>
                <w:rtl/>
              </w:rPr>
              <w:t>תמונת מצב 24 שעות · 29 באוקטובר 2026</w:t>
            </w:r>
          </w:p>
        </w:tc>
      </w:tr>
    </w:tbl>
    <w:p>
      <w:pPr>
        <w:pBdr>
          <w:bottom w:val="single" w:sz="10" w:space="1" w:color="0B5FA5"/>
        </w:pBdr>
        <w:bidi/>
        <w:spacing w:before="40" w:after="100" w:line="240" w:lineRule="auto"/>
      </w:pP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AFC6E0"/>
              <w:left w:val="single" w:sz="24" w:space="0" w:color="0B5FA5"/>
              <w:bottom w:val="single" w:sz="4" w:space="0" w:color="AFC6E0"/>
              <w:right w:val="single" w:sz="4" w:space="0" w:color="AFC6E0"/>
            </w:tcBorders>
            <w:shd w:val="clear" w:color="auto" w:fill="EEF4FB"/>
            <w:tcMar>
              <w:top w:w="64" w:type="dxa"/>
              <w:start w:w="140" w:type="dxa"/>
              <w:bottom w:w="64" w:type="dxa"/>
              <w:end w:w="110" w:type="dxa"/>
            </w:tcMar>
          </w:tcPr>
          <w:p>
            <w:pPr>
              <w:bidi/>
              <w:spacing w:before="0" w:after="0" w:line="240" w:lineRule="auto"/>
            </w:pPr>
            <w:r>
              <w:rPr>
                <w:rFonts w:ascii="Calibri" w:hAnsi="Calibri" w:cs="David"/>
                <w:b/>
                <w:color w:val="0B5FA5"/>
                <w:sz w:val="21"/>
                <w:szCs w:val="21"/>
                <w:bCs/>
                <w:rtl/>
              </w:rPr>
              <w:t xml:space="preserve">עיקר   </w:t>
            </w:r>
            <w:r>
              <w:rPr>
                <w:rFonts w:ascii="Calibri" w:hAnsi="Calibri" w:cs="David"/>
                <w:b/>
                <w:color w:val="111822"/>
                <w:sz w:val="24"/>
                <w:szCs w:val="24"/>
                <w:bCs/>
                <w:rtl/>
              </w:rPr>
              <w:t>השב״כ פתח בחקירה בחשד שגורמי חוץ מימנו קמפיין להעלאת ההצבעה בחברה הערבית כדי להטות את הבחירות לכנסת. יו״ר ועדת הבחירות, השופט סולברג, הורה על החקירה אחרי שראש השב״כ זיני הציג לו מידע מודיעיני.</w:t>
            </w:r>
          </w:p>
        </w:tc>
      </w:tr>
    </w:tbl>
    <w:p>
      <w:pPr>
        <w:bidi/>
        <w:spacing w:before="0" w:after="0" w:line="240" w:lineRule="auto"/>
      </w:pPr>
      <w:r>
        <w:rPr>
          <w:rFonts w:ascii="Calibri" w:hAnsi="Calibri" w:cs="David"/>
          <w:b w:val="0"/>
          <w:sz w:val="12"/>
          <w:szCs w:val="12"/>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64" w:type="dxa"/>
              <w:start w:w="140" w:type="dxa"/>
              <w:bottom w:w="64" w:type="dxa"/>
              <w:end w:w="110" w:type="dxa"/>
            </w:tcMar>
          </w:tcPr>
          <w:p>
            <w:pPr>
              <w:bidi/>
              <w:spacing w:before="0" w:after="40" w:line="240" w:lineRule="auto"/>
            </w:pPr>
            <w:r>
              <w:rPr>
                <w:rFonts w:ascii="Calibri" w:hAnsi="Calibri" w:cs="David"/>
                <w:b/>
                <w:color w:val="A66300"/>
                <w:sz w:val="27"/>
                <w:szCs w:val="27"/>
                <w:bCs/>
                <w:rtl/>
              </w:rPr>
              <w:t>זירת מעג״ש</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4 אירועים</w:t>
            </w:r>
          </w:p>
          <w:p>
            <w:pPr>
              <w:bidi/>
              <w:spacing w:before="60" w:after="20" w:line="269" w:lineRule="auto"/>
            </w:pPr>
            <w:r>
              <w:rPr>
                <w:rFonts w:ascii="Calibri" w:hAnsi="Calibri" w:cs="David"/>
                <w:b/>
                <w:color w:val="A66300"/>
                <w:sz w:val="24"/>
                <w:szCs w:val="24"/>
                <w:bCs/>
                <w:rtl/>
              </w:rPr>
              <w:t>איראן</w:t>
            </w:r>
          </w:p>
          <w:p>
            <w:pPr>
              <w:bidi/>
              <w:spacing w:before="0" w:after="60" w:line="269" w:lineRule="auto"/>
              <w:ind w:left="539" w:hanging="227"/>
            </w:pPr>
            <w:r>
              <w:rPr>
                <w:rFonts w:ascii="Calibri" w:hAnsi="Calibri" w:cs="David"/>
                <w:b w:val="0"/>
                <w:color w:val="A66300"/>
                <w:sz w:val="23"/>
                <w:szCs w:val="23"/>
                <w:rtl/>
              </w:rPr>
              <w:t xml:space="preserve">•  </w:t>
            </w:r>
            <w:r>
              <w:rPr>
                <w:rFonts w:ascii="Calibri" w:hAnsi="Calibri" w:cs="David"/>
                <w:b w:val="0"/>
                <w:color w:val="111822"/>
                <w:sz w:val="23"/>
                <w:szCs w:val="23"/>
                <w:rtl/>
              </w:rPr>
              <w:t>UKMTO (מרכז הסחר הימי הבריטי): ספינה הותקפה הבוקר במצר הורמוז מול עומאן. משמרות המהפכה: 3 מכליות עלו על מוקשים ועלו באש</w:t>
            </w:r>
          </w:p>
          <w:p>
            <w:pPr>
              <w:bidi/>
              <w:spacing w:before="0" w:after="60" w:line="269" w:lineRule="auto"/>
              <w:ind w:left="539" w:hanging="227"/>
            </w:pPr>
            <w:r>
              <w:rPr>
                <w:rFonts w:ascii="Calibri" w:hAnsi="Calibri" w:cs="David"/>
                <w:b w:val="0"/>
                <w:color w:val="A66300"/>
                <w:sz w:val="23"/>
                <w:szCs w:val="23"/>
                <w:rtl/>
              </w:rPr>
              <w:t xml:space="preserve">•  </w:t>
            </w:r>
            <w:r>
              <w:rPr>
                <w:rFonts w:ascii="Calibri" w:hAnsi="Calibri" w:cs="David"/>
                <w:b w:val="0"/>
                <w:color w:val="111822"/>
                <w:sz w:val="23"/>
                <w:szCs w:val="23"/>
                <w:rtl/>
              </w:rPr>
              <w:t>סגן נשיא ארה״ב ונס שלח בהוראת טראמפ מכתב לבכיר האיראני מוחסן רזאעי, והציע לחדש מיד את השיחות, כולל על הגרעין.</w:t>
            </w:r>
            <w:r>
              <w:rPr>
                <w:rFonts w:ascii="Calibri" w:hAnsi="Calibri" w:cs="David"/>
                <w:b w:val="0"/>
                <w:color w:val="707A87"/>
                <w:sz w:val="16"/>
                <w:szCs w:val="16"/>
                <w:rtl/>
              </w:rPr>
              <w:t>‏  וול סטריט ג׳ורנל, ניו יורק טיימס‏</w:t>
            </w:r>
          </w:p>
          <w:p>
            <w:pPr>
              <w:bidi/>
              <w:spacing w:before="0" w:after="60" w:line="269" w:lineRule="auto"/>
              <w:ind w:left="539" w:hanging="227"/>
            </w:pPr>
            <w:r>
              <w:rPr>
                <w:rFonts w:ascii="Calibri" w:hAnsi="Calibri" w:cs="David"/>
                <w:b w:val="0"/>
                <w:color w:val="A66300"/>
                <w:sz w:val="23"/>
                <w:szCs w:val="23"/>
                <w:rtl/>
              </w:rPr>
              <w:t xml:space="preserve">•  </w:t>
            </w:r>
            <w:r>
              <w:rPr>
                <w:rFonts w:ascii="Calibri" w:hAnsi="Calibri" w:cs="David"/>
                <w:b w:val="0"/>
                <w:color w:val="111822"/>
                <w:sz w:val="23"/>
                <w:szCs w:val="23"/>
                <w:rtl/>
              </w:rPr>
              <w:t>קטאר העבירה לאיראן טיוטת הסכם לסיום המלחמה. בכיר איראני לרויטרס: הטיוטה ״בלתי קבילה״, ואין גמישות בנושא הגרעין</w:t>
            </w:r>
          </w:p>
          <w:p>
            <w:pPr>
              <w:bidi/>
              <w:spacing w:before="60" w:after="20" w:line="269" w:lineRule="auto"/>
            </w:pPr>
            <w:r>
              <w:rPr>
                <w:rFonts w:ascii="Calibri" w:hAnsi="Calibri" w:cs="David"/>
                <w:b/>
                <w:color w:val="A66300"/>
                <w:sz w:val="24"/>
                <w:szCs w:val="24"/>
                <w:bCs/>
                <w:rtl/>
              </w:rPr>
              <w:t>תימן</w:t>
            </w:r>
          </w:p>
          <w:p>
            <w:pPr>
              <w:bidi/>
              <w:spacing w:before="0" w:after="60" w:line="269" w:lineRule="auto"/>
              <w:ind w:left="539" w:hanging="227"/>
            </w:pPr>
            <w:r>
              <w:rPr>
                <w:rFonts w:ascii="Calibri" w:hAnsi="Calibri" w:cs="David"/>
                <w:b w:val="0"/>
                <w:color w:val="A66300"/>
                <w:sz w:val="23"/>
                <w:szCs w:val="23"/>
                <w:rtl/>
              </w:rPr>
              <w:t xml:space="preserve">•  </w:t>
            </w:r>
            <w:r>
              <w:rPr>
                <w:rFonts w:ascii="Calibri" w:hAnsi="Calibri" w:cs="David"/>
                <w:b w:val="0"/>
                <w:color w:val="111822"/>
                <w:sz w:val="23"/>
                <w:szCs w:val="23"/>
                <w:rtl/>
              </w:rPr>
              <w:t>המורדים החות׳ים והקואליציה הסעודית ממשיכים בחילופי מהלומות: סעודיה יירטה טיל בליסטי, ולפי החות׳ים 14 נהרגו בשוק בצפון תימן.</w:t>
            </w:r>
            <w:r>
              <w:rPr>
                <w:rFonts w:ascii="Calibri" w:hAnsi="Calibri" w:cs="David"/>
                <w:b w:val="0"/>
                <w:color w:val="707A87"/>
                <w:sz w:val="16"/>
                <w:szCs w:val="16"/>
                <w:rtl/>
              </w:rPr>
              <w:t>‏  אסושייטד פרס‏</w:t>
            </w:r>
          </w:p>
        </w:tc>
      </w:tr>
    </w:tbl>
    <w:p>
      <w:pPr>
        <w:bidi/>
        <w:spacing w:before="0" w:after="0" w:line="240" w:lineRule="auto"/>
      </w:pPr>
      <w:r>
        <w:rPr>
          <w:rFonts w:ascii="Calibri" w:hAnsi="Calibri" w:cs="David"/>
          <w:b w:val="0"/>
          <w:sz w:val="10"/>
          <w:szCs w:val="10"/>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64" w:type="dxa"/>
              <w:start w:w="140" w:type="dxa"/>
              <w:bottom w:w="64" w:type="dxa"/>
              <w:end w:w="110" w:type="dxa"/>
            </w:tcMar>
          </w:tcPr>
          <w:p>
            <w:pPr>
              <w:bidi/>
              <w:spacing w:before="0" w:after="40" w:line="240" w:lineRule="auto"/>
            </w:pPr>
            <w:r>
              <w:rPr>
                <w:rFonts w:ascii="Calibri" w:hAnsi="Calibri" w:cs="David"/>
                <w:b/>
                <w:color w:val="A66300"/>
                <w:sz w:val="27"/>
                <w:szCs w:val="27"/>
                <w:bCs/>
                <w:rtl/>
              </w:rPr>
              <w:t>זירת פצ״ן</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3 אירועים</w:t>
            </w:r>
          </w:p>
          <w:p>
            <w:pPr>
              <w:bidi/>
              <w:spacing w:before="60" w:after="20" w:line="269" w:lineRule="auto"/>
            </w:pPr>
            <w:r>
              <w:rPr>
                <w:rFonts w:ascii="Calibri" w:hAnsi="Calibri" w:cs="David"/>
                <w:b/>
                <w:color w:val="A66300"/>
                <w:sz w:val="24"/>
                <w:szCs w:val="24"/>
                <w:bCs/>
                <w:rtl/>
              </w:rPr>
              <w:t>לבנון</w:t>
            </w:r>
          </w:p>
          <w:p>
            <w:pPr>
              <w:bidi/>
              <w:spacing w:before="0" w:after="60" w:line="269" w:lineRule="auto"/>
              <w:ind w:left="539" w:hanging="227"/>
            </w:pPr>
            <w:r>
              <w:rPr>
                <w:rFonts w:ascii="Calibri" w:hAnsi="Calibri" w:cs="David"/>
                <w:b w:val="0"/>
                <w:color w:val="A66300"/>
                <w:sz w:val="23"/>
                <w:szCs w:val="23"/>
                <w:rtl/>
              </w:rPr>
              <w:t xml:space="preserve">•  </w:t>
            </w:r>
            <w:r>
              <w:rPr>
                <w:rFonts w:ascii="Calibri" w:hAnsi="Calibri" w:cs="David"/>
                <w:b w:val="0"/>
                <w:color w:val="111822"/>
                <w:sz w:val="23"/>
                <w:szCs w:val="23"/>
                <w:rtl/>
              </w:rPr>
              <w:t>דיווח: צה״ל תקף ב-28.10 בכ-21:30 בדרום לבנון. פיקוד הצפון הודיע על כך מראש לתושבי הגליל והגולן</w:t>
            </w:r>
          </w:p>
          <w:p>
            <w:pPr>
              <w:bidi/>
              <w:spacing w:before="0" w:after="60" w:line="269" w:lineRule="auto"/>
              <w:ind w:left="539" w:hanging="227"/>
            </w:pPr>
            <w:r>
              <w:rPr>
                <w:rFonts w:ascii="Calibri" w:hAnsi="Calibri" w:cs="David"/>
                <w:b w:val="0"/>
                <w:color w:val="A66300"/>
                <w:sz w:val="23"/>
                <w:szCs w:val="23"/>
                <w:rtl/>
              </w:rPr>
              <w:t xml:space="preserve">•  </w:t>
            </w:r>
            <w:r>
              <w:rPr>
                <w:rFonts w:ascii="Calibri" w:hAnsi="Calibri" w:cs="David"/>
                <w:b w:val="0"/>
                <w:color w:val="111822"/>
                <w:sz w:val="23"/>
                <w:szCs w:val="23"/>
                <w:rtl/>
              </w:rPr>
              <w:t>מזכ״ל חיזבאללה נעים קאסם: חיזבאללה לא יפרק את נשקו, ״ואין מקום לדיון על כך״</w:t>
            </w:r>
          </w:p>
          <w:p>
            <w:pPr>
              <w:bidi/>
              <w:spacing w:before="60" w:after="20" w:line="269" w:lineRule="auto"/>
            </w:pPr>
            <w:r>
              <w:rPr>
                <w:rFonts w:ascii="Calibri" w:hAnsi="Calibri" w:cs="David"/>
                <w:b/>
                <w:color w:val="A66300"/>
                <w:sz w:val="24"/>
                <w:szCs w:val="24"/>
                <w:bCs/>
                <w:rtl/>
              </w:rPr>
              <w:t>סוריה</w:t>
            </w:r>
          </w:p>
          <w:p>
            <w:pPr>
              <w:bidi/>
              <w:spacing w:before="0" w:after="60" w:line="269" w:lineRule="auto"/>
              <w:ind w:left="539" w:hanging="227"/>
            </w:pPr>
            <w:r>
              <w:rPr>
                <w:rFonts w:ascii="Calibri" w:hAnsi="Calibri" w:cs="David"/>
                <w:b w:val="0"/>
                <w:color w:val="A66300"/>
                <w:sz w:val="23"/>
                <w:szCs w:val="23"/>
                <w:rtl/>
              </w:rPr>
              <w:t xml:space="preserve">•  </w:t>
            </w:r>
            <w:r>
              <w:rPr>
                <w:rFonts w:ascii="Calibri" w:hAnsi="Calibri" w:cs="David"/>
                <w:b w:val="0"/>
                <w:color w:val="111822"/>
                <w:sz w:val="23"/>
                <w:szCs w:val="23"/>
                <w:rtl/>
              </w:rPr>
              <w:t>לפחות 4 בני אדם נהרגו בפיצוץ במחסן בצפון-מערב סוריה.</w:t>
            </w:r>
            <w:r>
              <w:rPr>
                <w:rFonts w:ascii="Calibri" w:hAnsi="Calibri" w:cs="David"/>
                <w:b w:val="0"/>
                <w:color w:val="707A87"/>
                <w:sz w:val="16"/>
                <w:szCs w:val="16"/>
                <w:rtl/>
              </w:rPr>
              <w:t>‏  אסושייטד פרס‏</w:t>
            </w:r>
          </w:p>
        </w:tc>
      </w:tr>
    </w:tbl>
    <w:p>
      <w:pPr>
        <w:bidi/>
        <w:spacing w:before="0" w:after="0" w:line="240" w:lineRule="auto"/>
      </w:pPr>
      <w:r>
        <w:rPr>
          <w:rFonts w:ascii="Calibri" w:hAnsi="Calibri" w:cs="David"/>
          <w:b w:val="0"/>
          <w:sz w:val="10"/>
          <w:szCs w:val="10"/>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64" w:type="dxa"/>
              <w:start w:w="140" w:type="dxa"/>
              <w:bottom w:w="64" w:type="dxa"/>
              <w:end w:w="110" w:type="dxa"/>
            </w:tcMar>
          </w:tcPr>
          <w:p>
            <w:pPr>
              <w:bidi/>
              <w:spacing w:before="0" w:after="40" w:line="240" w:lineRule="auto"/>
            </w:pPr>
            <w:r>
              <w:rPr>
                <w:rFonts w:ascii="Calibri" w:hAnsi="Calibri" w:cs="David"/>
                <w:b/>
                <w:color w:val="A66300"/>
                <w:sz w:val="27"/>
                <w:szCs w:val="27"/>
                <w:bCs/>
                <w:rtl/>
              </w:rPr>
              <w:t>זירת מרכז</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3 אירועים</w:t>
            </w:r>
          </w:p>
          <w:p>
            <w:pPr>
              <w:bidi/>
              <w:spacing w:before="60" w:after="20" w:line="269" w:lineRule="auto"/>
            </w:pPr>
            <w:r>
              <w:rPr>
                <w:rFonts w:ascii="Calibri" w:hAnsi="Calibri" w:cs="David"/>
                <w:b/>
                <w:color w:val="A66300"/>
                <w:sz w:val="24"/>
                <w:szCs w:val="24"/>
                <w:bCs/>
                <w:rtl/>
              </w:rPr>
              <w:t>איו״ש</w:t>
            </w:r>
          </w:p>
          <w:p>
            <w:pPr>
              <w:bidi/>
              <w:spacing w:before="0" w:after="60" w:line="269" w:lineRule="auto"/>
              <w:ind w:left="539" w:hanging="227"/>
            </w:pPr>
            <w:r>
              <w:rPr>
                <w:rFonts w:ascii="Calibri" w:hAnsi="Calibri" w:cs="David"/>
                <w:b w:val="0"/>
                <w:color w:val="A66300"/>
                <w:sz w:val="23"/>
                <w:szCs w:val="23"/>
                <w:rtl/>
              </w:rPr>
              <w:t xml:space="preserve">•  </w:t>
            </w:r>
            <w:r>
              <w:rPr>
                <w:rFonts w:ascii="Calibri" w:hAnsi="Calibri" w:cs="David"/>
                <w:b w:val="0"/>
                <w:color w:val="111822"/>
                <w:sz w:val="23"/>
                <w:szCs w:val="23"/>
                <w:rtl/>
              </w:rPr>
              <w:t>שוטרים ולוחמי מג״ב תפסו 2 אקדחים, תחמושת וסמים בשועפאט ובבית חנינא (מרחב ירושלים)</w:t>
            </w:r>
          </w:p>
          <w:p>
            <w:pPr>
              <w:bidi/>
              <w:spacing w:before="0" w:after="60" w:line="269" w:lineRule="auto"/>
              <w:ind w:left="312" w:hanging="227"/>
            </w:pPr>
            <w:r>
              <w:rPr>
                <w:rFonts w:ascii="Calibri" w:hAnsi="Calibri" w:cs="David"/>
                <w:b w:val="0"/>
                <w:color w:val="A66300"/>
                <w:sz w:val="23"/>
                <w:szCs w:val="23"/>
                <w:rtl/>
              </w:rPr>
              <w:t xml:space="preserve">•  </w:t>
            </w:r>
            <w:r>
              <w:rPr>
                <w:rFonts w:ascii="Calibri" w:hAnsi="Calibri" w:cs="David"/>
                <w:b w:val="0"/>
                <w:color w:val="111822"/>
                <w:sz w:val="23"/>
                <w:szCs w:val="23"/>
                <w:rtl/>
              </w:rPr>
              <w:t>ישראל: יו״ר ועדת הבחירות השופט סולברג הורה לראש השב״כ זיני לחקור חשד לשוחד בחירות בידי גורמים זרים. השב״כ אישר שנפתחה חקירה, וממצאים נדרשים תוך שבוע</w:t>
            </w:r>
          </w:p>
          <w:p>
            <w:pPr>
              <w:bidi/>
              <w:spacing w:before="0" w:after="60" w:line="269" w:lineRule="auto"/>
              <w:ind w:left="312" w:hanging="227"/>
            </w:pPr>
            <w:r>
              <w:rPr>
                <w:rFonts w:ascii="Calibri" w:hAnsi="Calibri" w:cs="David"/>
                <w:b w:val="0"/>
                <w:color w:val="A66300"/>
                <w:sz w:val="23"/>
                <w:szCs w:val="23"/>
                <w:rtl/>
              </w:rPr>
              <w:t xml:space="preserve">•  </w:t>
            </w:r>
            <w:r>
              <w:rPr>
                <w:rFonts w:ascii="Calibri" w:hAnsi="Calibri" w:cs="David"/>
                <w:b w:val="0"/>
                <w:color w:val="111822"/>
                <w:sz w:val="23"/>
                <w:szCs w:val="23"/>
                <w:rtl/>
              </w:rPr>
              <w:t>ישראל: דיווח (ynet): השב״כ בודק העברת כספים מקטאר ומטורקיה לגופים שעודדו הצבעה בחברה הערבית, בנתיבים ששימשו בעבר להעברת כספי טרור</w:t>
            </w:r>
          </w:p>
        </w:tc>
      </w:tr>
    </w:tbl>
    <w:p>
      <w:pPr>
        <w:bidi/>
        <w:spacing w:before="0" w:after="0" w:line="240" w:lineRule="auto"/>
      </w:pPr>
      <w:r>
        <w:rPr>
          <w:rFonts w:ascii="Calibri" w:hAnsi="Calibri" w:cs="David"/>
          <w:b w:val="0"/>
          <w:sz w:val="10"/>
          <w:szCs w:val="10"/>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9AA6B4"/>
              <w:bottom w:val="single" w:sz="4" w:space="0" w:color="DDE4EC"/>
              <w:right w:val="single" w:sz="4" w:space="0" w:color="DDE4EC"/>
            </w:tcBorders>
            <w:shd w:val="clear" w:color="auto" w:fill="FAFBFD"/>
            <w:tcMar>
              <w:top w:w="64" w:type="dxa"/>
              <w:start w:w="140" w:type="dxa"/>
              <w:bottom w:w="64" w:type="dxa"/>
              <w:end w:w="110" w:type="dxa"/>
            </w:tcMar>
          </w:tcPr>
          <w:p>
            <w:pPr>
              <w:bidi/>
              <w:spacing w:before="0" w:after="40" w:line="240" w:lineRule="auto"/>
            </w:pPr>
            <w:r>
              <w:rPr>
                <w:rFonts w:ascii="Calibri" w:hAnsi="Calibri" w:cs="David"/>
                <w:b/>
                <w:color w:val="707A87"/>
                <w:sz w:val="27"/>
                <w:szCs w:val="27"/>
                <w:bCs/>
                <w:rtl/>
              </w:rPr>
              <w:t>זירת דרום</w:t>
            </w:r>
            <w:r>
              <w:rPr>
                <w:rFonts w:ascii="Calibri" w:hAnsi="Calibri" w:cs="David"/>
                <w:b w:val="0"/>
                <w:color w:val="707A87"/>
                <w:sz w:val="18"/>
                <w:szCs w:val="18"/>
                <w:rtl/>
              </w:rPr>
              <w:t xml:space="preserve">   מעקב</w:t>
            </w:r>
          </w:p>
          <w:p>
            <w:pPr>
              <w:bidi/>
              <w:spacing w:before="0" w:after="60" w:line="269" w:lineRule="auto"/>
              <w:ind w:left="312" w:hanging="227"/>
            </w:pPr>
            <w:r>
              <w:rPr>
                <w:rFonts w:ascii="Calibri" w:hAnsi="Calibri" w:cs="David"/>
                <w:b w:val="0"/>
                <w:color w:val="707A87"/>
                <w:sz w:val="23"/>
                <w:szCs w:val="23"/>
                <w:rtl/>
              </w:rPr>
              <w:t xml:space="preserve">•  </w:t>
            </w:r>
            <w:r>
              <w:rPr>
                <w:rFonts w:ascii="Calibri" w:hAnsi="Calibri" w:cs="David"/>
                <w:b w:val="0"/>
                <w:color w:val="707A87"/>
                <w:sz w:val="23"/>
                <w:szCs w:val="23"/>
                <w:rtl/>
              </w:rPr>
              <w:t>ללא אירוע חדש ב-24 השעות האחרונות</w:t>
            </w:r>
          </w:p>
        </w:tc>
      </w:tr>
    </w:tbl>
    <w:p>
      <w:pPr>
        <w:bidi/>
        <w:spacing w:before="0" w:after="0" w:line="240" w:lineRule="auto"/>
      </w:pPr>
      <w:r>
        <w:rPr>
          <w:rFonts w:ascii="Calibri" w:hAnsi="Calibri" w:cs="David"/>
          <w:b w:val="0"/>
          <w:sz w:val="10"/>
          <w:szCs w:val="10"/>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64" w:type="dxa"/>
              <w:start w:w="140" w:type="dxa"/>
              <w:bottom w:w="64" w:type="dxa"/>
              <w:end w:w="110" w:type="dxa"/>
            </w:tcMar>
          </w:tcPr>
          <w:p>
            <w:pPr>
              <w:bidi/>
              <w:spacing w:before="0" w:after="40" w:line="240" w:lineRule="auto"/>
            </w:pPr>
            <w:r>
              <w:rPr>
                <w:rFonts w:ascii="Calibri" w:hAnsi="Calibri" w:cs="David"/>
                <w:b/>
                <w:color w:val="A66300"/>
                <w:sz w:val="27"/>
                <w:szCs w:val="27"/>
                <w:bCs/>
                <w:rtl/>
              </w:rPr>
              <w:t>בינ״ל ביטחוני</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3 אירועים</w:t>
            </w:r>
          </w:p>
          <w:p>
            <w:pPr>
              <w:bidi/>
              <w:spacing w:before="0" w:after="60" w:line="269" w:lineRule="auto"/>
              <w:ind w:left="312" w:hanging="227"/>
            </w:pPr>
            <w:r>
              <w:rPr>
                <w:rFonts w:ascii="Calibri" w:hAnsi="Calibri" w:cs="David"/>
                <w:b w:val="0"/>
                <w:color w:val="A66300"/>
                <w:sz w:val="23"/>
                <w:szCs w:val="23"/>
                <w:rtl/>
              </w:rPr>
              <w:t xml:space="preserve">•  </w:t>
            </w:r>
            <w:r>
              <w:rPr>
                <w:rFonts w:ascii="Calibri" w:hAnsi="Calibri" w:cs="David"/>
                <w:b w:val="0"/>
                <w:color w:val="111822"/>
                <w:sz w:val="23"/>
                <w:szCs w:val="23"/>
                <w:rtl/>
              </w:rPr>
              <w:t>אתיופיה: איש עסקים ישראלי בן 48 נמצא מת בשירותים של מסעדה באדיס אבבה. המשטרה המקומית עצרה חשודים בהרעלתו, וישראל פועלת להשיב את גופתו ארצה.</w:t>
            </w:r>
            <w:r>
              <w:rPr>
                <w:rFonts w:ascii="Calibri" w:hAnsi="Calibri" w:cs="David"/>
                <w:b w:val="0"/>
                <w:color w:val="707A87"/>
                <w:sz w:val="16"/>
                <w:szCs w:val="16"/>
                <w:rtl/>
              </w:rPr>
              <w:t>‏  ynet‏</w:t>
            </w:r>
          </w:p>
          <w:p>
            <w:pPr>
              <w:bidi/>
              <w:spacing w:before="0" w:after="60" w:line="269" w:lineRule="auto"/>
              <w:ind w:left="312" w:hanging="227"/>
            </w:pPr>
            <w:r>
              <w:rPr>
                <w:rFonts w:ascii="Calibri" w:hAnsi="Calibri" w:cs="David"/>
                <w:b w:val="0"/>
                <w:color w:val="A66300"/>
                <w:sz w:val="23"/>
                <w:szCs w:val="23"/>
                <w:rtl/>
              </w:rPr>
              <w:t xml:space="preserve">•  </w:t>
            </w:r>
            <w:r>
              <w:rPr>
                <w:rFonts w:ascii="Calibri" w:hAnsi="Calibri" w:cs="David"/>
                <w:b w:val="0"/>
                <w:color w:val="111822"/>
                <w:sz w:val="23"/>
                <w:szCs w:val="23"/>
                <w:rtl/>
              </w:rPr>
              <w:t>ארה״ב: אישה הואשמה בעבירות שנאה פדרליות אחרי שדקרה במזרק 2 גברים יהודים במנהטן</w:t>
            </w:r>
          </w:p>
          <w:p>
            <w:pPr>
              <w:bidi/>
              <w:spacing w:before="0" w:after="60" w:line="269" w:lineRule="auto"/>
              <w:ind w:left="312" w:hanging="227"/>
            </w:pPr>
            <w:r>
              <w:rPr>
                <w:rFonts w:ascii="Calibri" w:hAnsi="Calibri" w:cs="David"/>
                <w:b w:val="0"/>
                <w:color w:val="A66300"/>
                <w:sz w:val="23"/>
                <w:szCs w:val="23"/>
                <w:rtl/>
              </w:rPr>
              <w:t xml:space="preserve">•  </w:t>
            </w:r>
            <w:r>
              <w:rPr>
                <w:rFonts w:ascii="Calibri" w:hAnsi="Calibri" w:cs="David"/>
                <w:b w:val="0"/>
                <w:color w:val="111822"/>
                <w:sz w:val="23"/>
                <w:szCs w:val="23"/>
                <w:rtl/>
              </w:rPr>
              <w:t>צפון קוריאה שיגרה כתריסר טילים בליסטיים לטווח קצר לים יפן (משרד הביטחון של דרום קוריאה)</w:t>
            </w:r>
          </w:p>
        </w:tc>
      </w:tr>
    </w:tbl>
    <w:p>
      <w:pPr>
        <w:bidi/>
        <w:spacing w:before="0" w:after="0" w:line="240" w:lineRule="auto"/>
      </w:pPr>
      <w:r>
        <w:rPr>
          <w:rFonts w:ascii="Calibri" w:hAnsi="Calibri" w:cs="David"/>
          <w:b w:val="0"/>
          <w:sz w:val="10"/>
          <w:szCs w:val="10"/>
          <w:rtl/>
        </w:rPr>
      </w:r>
    </w:p>
    <w:p>
      <w:pPr>
        <w:pBdr>
          <w:bottom w:val="single" w:sz="6" w:space="1" w:color="D5DDE8"/>
        </w:pBdr>
        <w:bidi/>
        <w:spacing w:before="200" w:after="0" w:line="240" w:lineRule="auto"/>
      </w:pPr>
    </w:p>
    <w:p>
      <w:pPr>
        <w:bidi/>
        <w:spacing w:before="60" w:after="0" w:line="240" w:lineRule="auto"/>
      </w:pPr>
      <w:r>
        <w:rPr>
          <w:rFonts w:ascii="Calibri" w:hAnsi="Calibri" w:cs="David"/>
          <w:b w:val="0"/>
          <w:color w:val="707A87"/>
          <w:sz w:val="15"/>
          <w:szCs w:val="15"/>
          <w:rtl/>
        </w:rPr>
        <w:t>לא מסווג · לשימוש פנימי · המידע נכון לשעת הסקירה</w:t>
      </w:r>
    </w:p>
    <w:sectPr w:rsidR="00FC693F" w:rsidRPr="0006063C" w:rsidSect="00034616">
      <w:pgSz w:w="11906" w:h="16838"/>
      <w:pgMar w:top="624" w:right="737" w:bottom="567" w:left="73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Calibri" w:hAnsi="Calibri"/>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