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DFAC" w14:textId="6D6C18DE" w:rsidR="00C22511" w:rsidRPr="0059183A" w:rsidRDefault="00616460" w:rsidP="00C22511">
      <w:pPr>
        <w:rPr>
          <w:rFonts w:cstheme="minorHAnsi"/>
          <w:b/>
          <w:sz w:val="40"/>
          <w:szCs w:val="40"/>
          <w:lang w:val="en-US"/>
        </w:rPr>
      </w:pPr>
      <w:r w:rsidRPr="0059183A">
        <w:rPr>
          <w:noProof/>
          <w:sz w:val="40"/>
          <w:szCs w:val="40"/>
          <w14:ligatures w14:val="standardContextual"/>
        </w:rPr>
        <w:drawing>
          <wp:anchor distT="0" distB="0" distL="114300" distR="114300" simplePos="0" relativeHeight="251665408" behindDoc="1" locked="0" layoutInCell="1" allowOverlap="1" wp14:anchorId="0B039187" wp14:editId="01EBD28D">
            <wp:simplePos x="0" y="0"/>
            <wp:positionH relativeFrom="column">
              <wp:posOffset>3512820</wp:posOffset>
            </wp:positionH>
            <wp:positionV relativeFrom="paragraph">
              <wp:posOffset>117475</wp:posOffset>
            </wp:positionV>
            <wp:extent cx="2552700" cy="967740"/>
            <wp:effectExtent l="0" t="0" r="0" b="3810"/>
            <wp:wrapTight wrapText="bothSides">
              <wp:wrapPolygon edited="0">
                <wp:start x="0" y="0"/>
                <wp:lineTo x="0" y="21260"/>
                <wp:lineTo x="21439" y="21260"/>
                <wp:lineTo x="21439" y="0"/>
                <wp:lineTo x="0" y="0"/>
              </wp:wrapPolygon>
            </wp:wrapTight>
            <wp:docPr id="1218836313" name="Picture 121883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sidRPr="0059183A">
        <w:rPr>
          <w:noProof/>
          <w:sz w:val="40"/>
          <w:szCs w:val="40"/>
          <w14:ligatures w14:val="standardContextual"/>
        </w:rPr>
        <w:drawing>
          <wp:anchor distT="0" distB="0" distL="114300" distR="114300" simplePos="0" relativeHeight="251663360" behindDoc="1" locked="0" layoutInCell="1" allowOverlap="1" wp14:anchorId="729422B6" wp14:editId="48ECF852">
            <wp:simplePos x="0" y="0"/>
            <wp:positionH relativeFrom="column">
              <wp:posOffset>-373380</wp:posOffset>
            </wp:positionH>
            <wp:positionV relativeFrom="paragraph">
              <wp:posOffset>167640</wp:posOffset>
            </wp:positionV>
            <wp:extent cx="1775460" cy="1455420"/>
            <wp:effectExtent l="0" t="0" r="0" b="0"/>
            <wp:wrapTight wrapText="bothSides">
              <wp:wrapPolygon edited="0">
                <wp:start x="0" y="0"/>
                <wp:lineTo x="0" y="21204"/>
                <wp:lineTo x="21322" y="21204"/>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sidRPr="0059183A">
        <w:rPr>
          <w:noProof/>
          <w:sz w:val="40"/>
          <w:szCs w:val="40"/>
          <w14:ligatures w14:val="standardContextual"/>
        </w:rPr>
        <w:t xml:space="preserve"> </w:t>
      </w:r>
    </w:p>
    <w:p w14:paraId="4DC4A982" w14:textId="0EE6CBAA" w:rsidR="00C22511" w:rsidRDefault="00C22511" w:rsidP="00C22511">
      <w:pPr>
        <w:rPr>
          <w:rFonts w:cstheme="minorHAnsi"/>
          <w:b/>
          <w:sz w:val="28"/>
          <w:szCs w:val="28"/>
          <w:lang w:val="en-US"/>
        </w:rPr>
      </w:pPr>
    </w:p>
    <w:p w14:paraId="18B6DA11" w14:textId="4DC065C0" w:rsidR="00C22511" w:rsidRDefault="00C22511" w:rsidP="00C22511">
      <w:pPr>
        <w:rPr>
          <w:rFonts w:cstheme="minorHAnsi"/>
          <w:b/>
          <w:sz w:val="28"/>
          <w:szCs w:val="28"/>
          <w:lang w:val="en-US"/>
        </w:rPr>
      </w:pPr>
    </w:p>
    <w:p w14:paraId="424765EA" w14:textId="2E50D0EE" w:rsidR="00C22511" w:rsidRDefault="00C22511" w:rsidP="00C22511">
      <w:pPr>
        <w:rPr>
          <w:rFonts w:cstheme="minorHAnsi"/>
          <w:b/>
          <w:sz w:val="28"/>
          <w:szCs w:val="28"/>
          <w:lang w:val="en-US"/>
        </w:rPr>
      </w:pPr>
    </w:p>
    <w:p w14:paraId="32470D23" w14:textId="5D96BFE1" w:rsidR="00C22511" w:rsidRDefault="00C22511" w:rsidP="00C22511">
      <w:pPr>
        <w:rPr>
          <w:rFonts w:cstheme="minorHAnsi"/>
          <w:b/>
          <w:sz w:val="28"/>
          <w:szCs w:val="28"/>
          <w:lang w:val="en-US"/>
        </w:rPr>
      </w:pPr>
    </w:p>
    <w:p w14:paraId="3DC752E0" w14:textId="1B716231" w:rsidR="00C22511" w:rsidRDefault="00C22511" w:rsidP="00C22511">
      <w:pPr>
        <w:rPr>
          <w:rFonts w:cstheme="minorHAnsi"/>
          <w:b/>
          <w:sz w:val="28"/>
          <w:szCs w:val="28"/>
          <w:lang w:val="en-US"/>
        </w:rPr>
      </w:pPr>
    </w:p>
    <w:p w14:paraId="5493BF72" w14:textId="2AF8262A" w:rsidR="00C22511" w:rsidRDefault="001F04E6" w:rsidP="001F04E6">
      <w:pPr>
        <w:jc w:val="right"/>
        <w:rPr>
          <w:rFonts w:cstheme="minorHAnsi"/>
          <w:b/>
          <w:sz w:val="52"/>
          <w:szCs w:val="52"/>
          <w:lang w:val="en-US"/>
        </w:rPr>
      </w:pPr>
      <w:r w:rsidRPr="001F04E6">
        <w:rPr>
          <w:rFonts w:cstheme="minorHAnsi"/>
          <w:b/>
          <w:sz w:val="52"/>
          <w:szCs w:val="52"/>
          <w:lang w:val="en-US"/>
        </w:rPr>
        <w:t>FOOD SAFETY</w:t>
      </w:r>
    </w:p>
    <w:p w14:paraId="10E405FA" w14:textId="77777777" w:rsidR="001F04E6" w:rsidRPr="001F04E6" w:rsidRDefault="001F04E6" w:rsidP="001F04E6">
      <w:pPr>
        <w:jc w:val="right"/>
        <w:rPr>
          <w:rFonts w:cstheme="minorHAnsi"/>
          <w:b/>
          <w:sz w:val="28"/>
          <w:szCs w:val="28"/>
          <w:lang w:val="en-US"/>
        </w:rPr>
      </w:pPr>
    </w:p>
    <w:p w14:paraId="1D9DE4BD" w14:textId="112B0FE6" w:rsidR="00C22511" w:rsidRPr="003E48E1" w:rsidRDefault="00C22511" w:rsidP="00C22511">
      <w:pPr>
        <w:rPr>
          <w:rFonts w:cstheme="minorHAnsi"/>
          <w:sz w:val="28"/>
          <w:szCs w:val="28"/>
        </w:rPr>
      </w:pPr>
      <w:r w:rsidRPr="003E48E1">
        <w:rPr>
          <w:rFonts w:cstheme="minorHAnsi"/>
          <w:b/>
          <w:sz w:val="28"/>
          <w:szCs w:val="28"/>
          <w:lang w:val="en-US"/>
        </w:rPr>
        <w:t>H</w:t>
      </w:r>
      <w:r>
        <w:rPr>
          <w:rFonts w:cstheme="minorHAnsi"/>
          <w:b/>
          <w:sz w:val="28"/>
          <w:szCs w:val="28"/>
          <w:lang w:val="en-US"/>
        </w:rPr>
        <w:t xml:space="preserve">ighfield Level </w:t>
      </w:r>
      <w:r w:rsidR="00616460">
        <w:rPr>
          <w:rFonts w:cstheme="minorHAnsi"/>
          <w:b/>
          <w:sz w:val="28"/>
          <w:szCs w:val="28"/>
          <w:lang w:val="en-US"/>
        </w:rPr>
        <w:t xml:space="preserve">3 Award in </w:t>
      </w:r>
      <w:r w:rsidR="008947EB">
        <w:rPr>
          <w:rFonts w:cstheme="minorHAnsi"/>
          <w:b/>
          <w:sz w:val="28"/>
          <w:szCs w:val="28"/>
          <w:lang w:val="en-US"/>
        </w:rPr>
        <w:t>Food Safety for Catering</w:t>
      </w:r>
      <w:r w:rsidR="00616460">
        <w:rPr>
          <w:rFonts w:cstheme="minorHAnsi"/>
          <w:b/>
          <w:sz w:val="28"/>
          <w:szCs w:val="28"/>
          <w:lang w:val="en-US"/>
        </w:rPr>
        <w:t xml:space="preserve"> (RQF)</w:t>
      </w:r>
    </w:p>
    <w:p w14:paraId="4D5CEC7E" w14:textId="7E4B4791" w:rsidR="00C22511" w:rsidRPr="003E48E1" w:rsidRDefault="00C22511" w:rsidP="00C22511">
      <w:pPr>
        <w:rPr>
          <w:rFonts w:cstheme="minorHAnsi"/>
          <w:sz w:val="22"/>
          <w:szCs w:val="22"/>
          <w:lang w:val="en-US"/>
        </w:rPr>
      </w:pPr>
      <w:r w:rsidRPr="003E48E1">
        <w:rPr>
          <w:rFonts w:cstheme="minorHAnsi"/>
          <w:noProof/>
          <w:sz w:val="22"/>
          <w:szCs w:val="22"/>
          <w:lang w:eastAsia="en-GB"/>
        </w:rPr>
        <mc:AlternateContent>
          <mc:Choice Requires="wps">
            <w:drawing>
              <wp:anchor distT="0" distB="0" distL="114300" distR="114300" simplePos="0" relativeHeight="251661312" behindDoc="0" locked="0" layoutInCell="1" allowOverlap="1" wp14:anchorId="19480092" wp14:editId="7A4A97F6">
                <wp:simplePos x="0" y="0"/>
                <wp:positionH relativeFrom="column">
                  <wp:posOffset>0</wp:posOffset>
                </wp:positionH>
                <wp:positionV relativeFrom="paragraph">
                  <wp:posOffset>0</wp:posOffset>
                </wp:positionV>
                <wp:extent cx="61728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6172835"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35A8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" strokecolor="black [3213]" strokeweight="1.5pt">
                <v:stroke joinstyle="miter"/>
              </v:line>
            </w:pict>
          </mc:Fallback>
        </mc:AlternateContent>
      </w:r>
    </w:p>
    <w:p w14:paraId="4D4E8B9A" w14:textId="77777777" w:rsidR="00C22511" w:rsidRDefault="00C22511" w:rsidP="00C22511">
      <w:pPr>
        <w:rPr>
          <w:sz w:val="22"/>
          <w:szCs w:val="22"/>
        </w:rPr>
      </w:pPr>
    </w:p>
    <w:p w14:paraId="1140271E" w14:textId="43D30D5C" w:rsidR="0059183A" w:rsidRDefault="00C22511" w:rsidP="00616460">
      <w:pPr>
        <w:rPr>
          <w:sz w:val="22"/>
          <w:szCs w:val="22"/>
        </w:rPr>
      </w:pPr>
      <w:r>
        <w:rPr>
          <w:sz w:val="22"/>
          <w:szCs w:val="22"/>
        </w:rPr>
        <w:t xml:space="preserve">The objective of this qualification is to </w:t>
      </w:r>
      <w:r w:rsidR="008947EB">
        <w:rPr>
          <w:sz w:val="22"/>
          <w:szCs w:val="22"/>
        </w:rPr>
        <w:t>support a role in the workplace and give learners personal growth and engagement in learning. The qualification is designed for learners who wish to progress to higher or supervisory level within a food catering business.</w:t>
      </w:r>
    </w:p>
    <w:p w14:paraId="7F4ED947" w14:textId="77777777" w:rsidR="0059183A" w:rsidRDefault="0059183A" w:rsidP="00616460">
      <w:pPr>
        <w:rPr>
          <w:sz w:val="22"/>
          <w:szCs w:val="22"/>
        </w:rPr>
      </w:pPr>
    </w:p>
    <w:p w14:paraId="3B2596A4" w14:textId="4B3A4243" w:rsidR="00616460" w:rsidRDefault="00616460" w:rsidP="00616460">
      <w:pPr>
        <w:rPr>
          <w:sz w:val="22"/>
          <w:szCs w:val="22"/>
        </w:rPr>
      </w:pPr>
      <w:r>
        <w:rPr>
          <w:sz w:val="22"/>
          <w:szCs w:val="22"/>
        </w:rPr>
        <w:t xml:space="preserve">Learners achieving this qualification will </w:t>
      </w:r>
      <w:r w:rsidR="0059183A">
        <w:rPr>
          <w:sz w:val="22"/>
          <w:szCs w:val="22"/>
        </w:rPr>
        <w:t xml:space="preserve">be able to apply the knowledge relating </w:t>
      </w:r>
      <w:r w:rsidR="008947EB">
        <w:rPr>
          <w:sz w:val="22"/>
          <w:szCs w:val="22"/>
        </w:rPr>
        <w:t>food safety legislation, the application and monitoring of good hygiene practices, how to implement food safety management procedures and the application and monitoring of good practice regarding contamination, microbiology and temperature control within the food catering industries.</w:t>
      </w:r>
    </w:p>
    <w:p w14:paraId="1476D42E" w14:textId="77777777" w:rsidR="00C22511" w:rsidRDefault="00C22511" w:rsidP="00C22511">
      <w:pPr>
        <w:rPr>
          <w:sz w:val="22"/>
          <w:szCs w:val="22"/>
        </w:rPr>
      </w:pPr>
    </w:p>
    <w:p w14:paraId="08D064CB" w14:textId="12251FC1" w:rsidR="00C22511" w:rsidRPr="002E18F5" w:rsidRDefault="003737FF" w:rsidP="00C22511">
      <w:pPr>
        <w:rPr>
          <w:rFonts w:cstheme="minorHAnsi"/>
          <w:b/>
          <w:sz w:val="22"/>
          <w:szCs w:val="22"/>
        </w:rPr>
      </w:pPr>
      <w:r>
        <w:rPr>
          <w:rFonts w:cstheme="minorHAnsi"/>
          <w:b/>
          <w:sz w:val="22"/>
          <w:szCs w:val="22"/>
        </w:rPr>
        <w:t>Unit Standards</w:t>
      </w:r>
    </w:p>
    <w:p w14:paraId="653CD792" w14:textId="1181E54E" w:rsidR="00E837B5" w:rsidRDefault="00510CFA" w:rsidP="003472E4">
      <w:pPr>
        <w:rPr>
          <w:b/>
          <w:bCs/>
          <w:sz w:val="22"/>
          <w:szCs w:val="22"/>
        </w:rPr>
      </w:pPr>
      <w:r>
        <w:rPr>
          <w:b/>
          <w:bCs/>
          <w:sz w:val="22"/>
          <w:szCs w:val="22"/>
        </w:rPr>
        <w:t>Unit</w:t>
      </w:r>
      <w:r w:rsidR="003472E4">
        <w:rPr>
          <w:b/>
          <w:bCs/>
          <w:sz w:val="22"/>
          <w:szCs w:val="22"/>
        </w:rPr>
        <w:t xml:space="preserve"> 1 – Introduction </w:t>
      </w:r>
      <w:r w:rsidR="008947EB">
        <w:rPr>
          <w:b/>
          <w:bCs/>
          <w:sz w:val="22"/>
          <w:szCs w:val="22"/>
        </w:rPr>
        <w:t>to Food Safety</w:t>
      </w:r>
    </w:p>
    <w:p w14:paraId="56D7DA81" w14:textId="3A4723F9" w:rsidR="003472E4" w:rsidRDefault="00510CFA" w:rsidP="003472E4">
      <w:pPr>
        <w:rPr>
          <w:b/>
          <w:bCs/>
          <w:sz w:val="22"/>
          <w:szCs w:val="22"/>
        </w:rPr>
      </w:pPr>
      <w:r>
        <w:rPr>
          <w:b/>
          <w:bCs/>
          <w:sz w:val="22"/>
          <w:szCs w:val="22"/>
        </w:rPr>
        <w:t>Unit</w:t>
      </w:r>
      <w:r w:rsidR="003472E4">
        <w:rPr>
          <w:b/>
          <w:bCs/>
          <w:sz w:val="22"/>
          <w:szCs w:val="22"/>
        </w:rPr>
        <w:t xml:space="preserve"> 2 – </w:t>
      </w:r>
      <w:r w:rsidR="008947EB">
        <w:rPr>
          <w:b/>
          <w:bCs/>
          <w:sz w:val="22"/>
          <w:szCs w:val="22"/>
        </w:rPr>
        <w:t>Micobiological Hazards</w:t>
      </w:r>
    </w:p>
    <w:p w14:paraId="247DCA4E" w14:textId="626CE195" w:rsidR="003472E4" w:rsidRDefault="00510CFA" w:rsidP="003472E4">
      <w:pPr>
        <w:rPr>
          <w:b/>
          <w:bCs/>
          <w:sz w:val="22"/>
          <w:szCs w:val="22"/>
        </w:rPr>
      </w:pPr>
      <w:r>
        <w:rPr>
          <w:b/>
          <w:bCs/>
          <w:sz w:val="22"/>
          <w:szCs w:val="22"/>
        </w:rPr>
        <w:t>Unit</w:t>
      </w:r>
      <w:r w:rsidR="003472E4">
        <w:rPr>
          <w:b/>
          <w:bCs/>
          <w:sz w:val="22"/>
          <w:szCs w:val="22"/>
        </w:rPr>
        <w:t xml:space="preserve"> 3 </w:t>
      </w:r>
      <w:r>
        <w:rPr>
          <w:b/>
          <w:bCs/>
          <w:sz w:val="22"/>
          <w:szCs w:val="22"/>
        </w:rPr>
        <w:t>–</w:t>
      </w:r>
      <w:r w:rsidR="003472E4">
        <w:rPr>
          <w:b/>
          <w:bCs/>
          <w:sz w:val="22"/>
          <w:szCs w:val="22"/>
        </w:rPr>
        <w:t xml:space="preserve"> </w:t>
      </w:r>
      <w:r w:rsidR="008947EB">
        <w:rPr>
          <w:b/>
          <w:bCs/>
          <w:sz w:val="22"/>
          <w:szCs w:val="22"/>
        </w:rPr>
        <w:t>Contamination Hazards &amp; Controls</w:t>
      </w:r>
    </w:p>
    <w:p w14:paraId="1134DF1E" w14:textId="47082829" w:rsidR="00510CFA" w:rsidRDefault="00510CFA" w:rsidP="003472E4">
      <w:pPr>
        <w:rPr>
          <w:b/>
          <w:bCs/>
          <w:sz w:val="22"/>
          <w:szCs w:val="22"/>
        </w:rPr>
      </w:pPr>
      <w:r>
        <w:rPr>
          <w:b/>
          <w:bCs/>
          <w:sz w:val="22"/>
          <w:szCs w:val="22"/>
        </w:rPr>
        <w:t xml:space="preserve">Unit 4 – </w:t>
      </w:r>
      <w:r w:rsidR="008947EB">
        <w:rPr>
          <w:b/>
          <w:bCs/>
          <w:sz w:val="22"/>
          <w:szCs w:val="22"/>
        </w:rPr>
        <w:t>Food Poisoning</w:t>
      </w:r>
    </w:p>
    <w:p w14:paraId="5E3918DC" w14:textId="064735D4" w:rsidR="00510CFA" w:rsidRDefault="00510CFA" w:rsidP="003472E4">
      <w:pPr>
        <w:rPr>
          <w:b/>
          <w:bCs/>
          <w:sz w:val="22"/>
          <w:szCs w:val="22"/>
        </w:rPr>
      </w:pPr>
      <w:r>
        <w:rPr>
          <w:b/>
          <w:bCs/>
          <w:sz w:val="22"/>
          <w:szCs w:val="22"/>
        </w:rPr>
        <w:t xml:space="preserve">Unit 5 – </w:t>
      </w:r>
      <w:r w:rsidR="008947EB">
        <w:rPr>
          <w:b/>
          <w:bCs/>
          <w:sz w:val="22"/>
          <w:szCs w:val="22"/>
        </w:rPr>
        <w:t>Personal Hygiene</w:t>
      </w:r>
    </w:p>
    <w:p w14:paraId="7FCD3FA3" w14:textId="39689B24" w:rsidR="00510CFA" w:rsidRDefault="00510CFA" w:rsidP="003472E4">
      <w:pPr>
        <w:rPr>
          <w:b/>
          <w:bCs/>
          <w:sz w:val="22"/>
          <w:szCs w:val="22"/>
        </w:rPr>
      </w:pPr>
      <w:r>
        <w:rPr>
          <w:b/>
          <w:bCs/>
          <w:sz w:val="22"/>
          <w:szCs w:val="22"/>
        </w:rPr>
        <w:t xml:space="preserve">Unit 6 – </w:t>
      </w:r>
      <w:r w:rsidR="008947EB">
        <w:rPr>
          <w:b/>
          <w:bCs/>
          <w:sz w:val="22"/>
          <w:szCs w:val="22"/>
        </w:rPr>
        <w:t>Premises &amp; Equipment</w:t>
      </w:r>
      <w:r>
        <w:rPr>
          <w:b/>
          <w:bCs/>
          <w:sz w:val="22"/>
          <w:szCs w:val="22"/>
        </w:rPr>
        <w:t xml:space="preserve"> </w:t>
      </w:r>
    </w:p>
    <w:p w14:paraId="2ED3BE51" w14:textId="30EF352E" w:rsidR="00E837B5" w:rsidRDefault="00510CFA" w:rsidP="00661BAF">
      <w:pPr>
        <w:rPr>
          <w:b/>
          <w:bCs/>
          <w:sz w:val="22"/>
          <w:szCs w:val="22"/>
        </w:rPr>
      </w:pPr>
      <w:r>
        <w:rPr>
          <w:b/>
          <w:bCs/>
          <w:sz w:val="22"/>
          <w:szCs w:val="22"/>
        </w:rPr>
        <w:t xml:space="preserve">Unit 7 – </w:t>
      </w:r>
      <w:r w:rsidR="008947EB">
        <w:rPr>
          <w:b/>
          <w:bCs/>
          <w:sz w:val="22"/>
          <w:szCs w:val="22"/>
        </w:rPr>
        <w:t>Cleaning &amp; Disinfection</w:t>
      </w:r>
    </w:p>
    <w:p w14:paraId="6F3A43FD" w14:textId="0B584AB5" w:rsidR="008947EB" w:rsidRDefault="008947EB" w:rsidP="00661BAF">
      <w:pPr>
        <w:rPr>
          <w:b/>
          <w:bCs/>
          <w:sz w:val="22"/>
          <w:szCs w:val="22"/>
        </w:rPr>
      </w:pPr>
      <w:r>
        <w:rPr>
          <w:b/>
          <w:bCs/>
          <w:sz w:val="22"/>
          <w:szCs w:val="22"/>
        </w:rPr>
        <w:t>Unit 8 – Pest Management</w:t>
      </w:r>
    </w:p>
    <w:p w14:paraId="3114A2C8" w14:textId="6034009E" w:rsidR="008947EB" w:rsidRDefault="008947EB" w:rsidP="00661BAF">
      <w:pPr>
        <w:rPr>
          <w:b/>
          <w:bCs/>
          <w:sz w:val="22"/>
          <w:szCs w:val="22"/>
        </w:rPr>
      </w:pPr>
      <w:r>
        <w:rPr>
          <w:b/>
          <w:bCs/>
          <w:sz w:val="22"/>
          <w:szCs w:val="22"/>
        </w:rPr>
        <w:t>Unit 9 – HACCP</w:t>
      </w:r>
    </w:p>
    <w:p w14:paraId="15063D71" w14:textId="2C5888F5" w:rsidR="008947EB" w:rsidRDefault="008947EB" w:rsidP="00661BAF">
      <w:pPr>
        <w:rPr>
          <w:b/>
          <w:bCs/>
          <w:sz w:val="22"/>
          <w:szCs w:val="22"/>
        </w:rPr>
      </w:pPr>
      <w:r>
        <w:rPr>
          <w:b/>
          <w:bCs/>
          <w:sz w:val="22"/>
          <w:szCs w:val="22"/>
        </w:rPr>
        <w:t>Unit 10 – Food Safety Legislation</w:t>
      </w:r>
    </w:p>
    <w:p w14:paraId="3E7D12B5" w14:textId="77777777" w:rsidR="008947EB" w:rsidRDefault="008947EB" w:rsidP="00661BAF">
      <w:pPr>
        <w:rPr>
          <w:b/>
          <w:bCs/>
          <w:sz w:val="22"/>
          <w:szCs w:val="22"/>
        </w:rPr>
      </w:pPr>
    </w:p>
    <w:p w14:paraId="572C45BB" w14:textId="139543CC" w:rsidR="00661BAF" w:rsidRDefault="00661BAF" w:rsidP="00661BAF">
      <w:pPr>
        <w:rPr>
          <w:b/>
          <w:bCs/>
          <w:sz w:val="22"/>
          <w:szCs w:val="22"/>
        </w:rPr>
      </w:pPr>
      <w:r>
        <w:rPr>
          <w:b/>
          <w:bCs/>
          <w:sz w:val="22"/>
          <w:szCs w:val="22"/>
        </w:rPr>
        <w:t>Pre-requisite Qualification</w:t>
      </w:r>
    </w:p>
    <w:p w14:paraId="785FBA07" w14:textId="37892A35" w:rsidR="00661BAF" w:rsidRDefault="00661BAF" w:rsidP="00661BAF">
      <w:pPr>
        <w:rPr>
          <w:b/>
          <w:bCs/>
          <w:sz w:val="22"/>
          <w:szCs w:val="22"/>
        </w:rPr>
      </w:pPr>
      <w:r>
        <w:rPr>
          <w:b/>
          <w:bCs/>
          <w:sz w:val="22"/>
          <w:szCs w:val="22"/>
        </w:rPr>
        <w:t xml:space="preserve">Highfield Level 2 Food Safety in Catering (RQF) or </w:t>
      </w:r>
      <w:r w:rsidR="001C1ED5">
        <w:rPr>
          <w:b/>
          <w:bCs/>
          <w:sz w:val="22"/>
          <w:szCs w:val="22"/>
        </w:rPr>
        <w:t xml:space="preserve">suitable </w:t>
      </w:r>
      <w:r>
        <w:rPr>
          <w:b/>
          <w:bCs/>
          <w:sz w:val="22"/>
          <w:szCs w:val="22"/>
        </w:rPr>
        <w:t>equivalent</w:t>
      </w:r>
    </w:p>
    <w:p w14:paraId="7A4A79EC" w14:textId="77777777" w:rsidR="00661BAF" w:rsidRPr="00661BAF" w:rsidRDefault="00661BAF" w:rsidP="00661BAF">
      <w:pPr>
        <w:rPr>
          <w:b/>
          <w:bCs/>
          <w:sz w:val="22"/>
          <w:szCs w:val="22"/>
        </w:rPr>
      </w:pPr>
    </w:p>
    <w:p w14:paraId="2BB36A3B" w14:textId="353FE882" w:rsidR="00C22511" w:rsidRDefault="003737FF" w:rsidP="00C22511">
      <w:pPr>
        <w:rPr>
          <w:rFonts w:cstheme="minorHAnsi"/>
          <w:b/>
          <w:sz w:val="22"/>
          <w:szCs w:val="22"/>
        </w:rPr>
      </w:pPr>
      <w:r>
        <w:rPr>
          <w:rFonts w:cstheme="minorHAnsi"/>
          <w:b/>
          <w:sz w:val="22"/>
          <w:szCs w:val="22"/>
        </w:rPr>
        <w:t>Assessment Methods</w:t>
      </w:r>
    </w:p>
    <w:p w14:paraId="01C3BBB7" w14:textId="11E807EE" w:rsidR="00E837B5" w:rsidRPr="003737FF" w:rsidRDefault="00E837B5" w:rsidP="00E837B5">
      <w:pPr>
        <w:rPr>
          <w:rFonts w:cstheme="minorHAnsi"/>
          <w:bCs/>
          <w:sz w:val="22"/>
          <w:szCs w:val="22"/>
        </w:rPr>
      </w:pPr>
      <w:r>
        <w:rPr>
          <w:rFonts w:cstheme="minorHAnsi"/>
          <w:bCs/>
          <w:sz w:val="22"/>
          <w:szCs w:val="22"/>
        </w:rPr>
        <w:t xml:space="preserve">This qualification is assessed through a </w:t>
      </w:r>
      <w:r w:rsidR="008947EB">
        <w:rPr>
          <w:rFonts w:cstheme="minorHAnsi"/>
          <w:bCs/>
          <w:sz w:val="22"/>
          <w:szCs w:val="22"/>
        </w:rPr>
        <w:t>90 minute</w:t>
      </w:r>
      <w:r>
        <w:rPr>
          <w:rFonts w:cstheme="minorHAnsi"/>
          <w:bCs/>
          <w:sz w:val="22"/>
          <w:szCs w:val="22"/>
        </w:rPr>
        <w:t xml:space="preserve">, </w:t>
      </w:r>
      <w:r w:rsidR="0059183A">
        <w:rPr>
          <w:rFonts w:cstheme="minorHAnsi"/>
          <w:bCs/>
          <w:sz w:val="22"/>
          <w:szCs w:val="22"/>
        </w:rPr>
        <w:t>45</w:t>
      </w:r>
      <w:r>
        <w:rPr>
          <w:rFonts w:cstheme="minorHAnsi"/>
          <w:bCs/>
          <w:sz w:val="22"/>
          <w:szCs w:val="22"/>
        </w:rPr>
        <w:t xml:space="preserve"> question multiple-choice examination. Learners must achieve 6</w:t>
      </w:r>
      <w:r w:rsidR="008947EB">
        <w:rPr>
          <w:rFonts w:cstheme="minorHAnsi"/>
          <w:bCs/>
          <w:sz w:val="22"/>
          <w:szCs w:val="22"/>
        </w:rPr>
        <w:t>6</w:t>
      </w:r>
      <w:r>
        <w:rPr>
          <w:rFonts w:cstheme="minorHAnsi"/>
          <w:bCs/>
          <w:sz w:val="22"/>
          <w:szCs w:val="22"/>
        </w:rPr>
        <w:t>% in order to pass.</w:t>
      </w:r>
    </w:p>
    <w:p w14:paraId="0392EACC" w14:textId="77777777" w:rsidR="00C22511" w:rsidRPr="002E18F5" w:rsidRDefault="00C22511" w:rsidP="00C22511">
      <w:pPr>
        <w:rPr>
          <w:rFonts w:cstheme="minorHAnsi"/>
          <w:sz w:val="22"/>
          <w:szCs w:val="22"/>
        </w:rPr>
      </w:pPr>
    </w:p>
    <w:p w14:paraId="36464E54" w14:textId="77777777" w:rsidR="00C22511" w:rsidRPr="002E18F5" w:rsidRDefault="00C22511" w:rsidP="00C22511">
      <w:pPr>
        <w:rPr>
          <w:rFonts w:cstheme="minorHAnsi"/>
          <w:b/>
          <w:sz w:val="22"/>
          <w:szCs w:val="22"/>
        </w:rPr>
      </w:pPr>
      <w:r w:rsidRPr="002E18F5">
        <w:rPr>
          <w:rFonts w:cstheme="minorHAnsi"/>
          <w:b/>
          <w:sz w:val="22"/>
          <w:szCs w:val="22"/>
        </w:rPr>
        <w:t>How long will it take me to achieve this qualification?</w:t>
      </w:r>
    </w:p>
    <w:p w14:paraId="4237CB86" w14:textId="461C6D96" w:rsidR="00C22511" w:rsidRDefault="00C22511" w:rsidP="00C22511">
      <w:pPr>
        <w:rPr>
          <w:sz w:val="22"/>
          <w:szCs w:val="22"/>
        </w:rPr>
      </w:pPr>
      <w:r>
        <w:rPr>
          <w:sz w:val="22"/>
          <w:szCs w:val="22"/>
        </w:rPr>
        <w:t xml:space="preserve">The total qualification time for this qualification is </w:t>
      </w:r>
      <w:r w:rsidR="008F1C64">
        <w:rPr>
          <w:sz w:val="22"/>
          <w:szCs w:val="22"/>
        </w:rPr>
        <w:t>3</w:t>
      </w:r>
      <w:r w:rsidR="008947EB">
        <w:rPr>
          <w:sz w:val="22"/>
          <w:szCs w:val="22"/>
        </w:rPr>
        <w:t>-4</w:t>
      </w:r>
      <w:r w:rsidR="00616460">
        <w:rPr>
          <w:sz w:val="22"/>
          <w:szCs w:val="22"/>
        </w:rPr>
        <w:t xml:space="preserve"> days</w:t>
      </w:r>
      <w:r w:rsidR="00F008B0">
        <w:rPr>
          <w:sz w:val="22"/>
          <w:szCs w:val="22"/>
        </w:rPr>
        <w:t xml:space="preserve"> of guided learnin</w:t>
      </w:r>
      <w:r w:rsidR="00510CFA">
        <w:rPr>
          <w:sz w:val="22"/>
          <w:szCs w:val="22"/>
        </w:rPr>
        <w:t>g.</w:t>
      </w:r>
      <w:r w:rsidR="008947EB">
        <w:rPr>
          <w:sz w:val="22"/>
          <w:szCs w:val="22"/>
        </w:rPr>
        <w:t xml:space="preserve"> This course is only available in an online format. Technical requirements apply in order to complete this course and remotely invigilated examination.</w:t>
      </w:r>
    </w:p>
    <w:p w14:paraId="7187B9CE" w14:textId="77777777" w:rsidR="00C22511" w:rsidRPr="002E18F5" w:rsidRDefault="00C22511" w:rsidP="00C22511">
      <w:pPr>
        <w:rPr>
          <w:rFonts w:cstheme="minorHAnsi"/>
          <w:sz w:val="22"/>
          <w:szCs w:val="22"/>
        </w:rPr>
      </w:pPr>
    </w:p>
    <w:p w14:paraId="0BF6216E" w14:textId="77777777" w:rsidR="00C22511" w:rsidRPr="002E18F5" w:rsidRDefault="00C22511" w:rsidP="00C22511">
      <w:pPr>
        <w:rPr>
          <w:rFonts w:cstheme="minorHAnsi"/>
          <w:b/>
          <w:sz w:val="22"/>
          <w:szCs w:val="22"/>
        </w:rPr>
      </w:pPr>
      <w:r w:rsidRPr="002E18F5">
        <w:rPr>
          <w:rFonts w:cstheme="minorHAnsi"/>
          <w:b/>
          <w:sz w:val="22"/>
          <w:szCs w:val="22"/>
        </w:rPr>
        <w:t>Where can this course be taken?</w:t>
      </w:r>
    </w:p>
    <w:p w14:paraId="7C6D1D86" w14:textId="41743F3E" w:rsidR="00C22511" w:rsidRPr="002E18F5" w:rsidRDefault="003737FF" w:rsidP="00C22511">
      <w:pPr>
        <w:rPr>
          <w:rFonts w:cstheme="minorHAnsi"/>
          <w:sz w:val="22"/>
          <w:szCs w:val="22"/>
        </w:rPr>
      </w:pPr>
      <w:r>
        <w:rPr>
          <w:rFonts w:cstheme="minorHAnsi"/>
          <w:sz w:val="22"/>
          <w:szCs w:val="22"/>
        </w:rPr>
        <w:t xml:space="preserve">Baobab Development Solutions </w:t>
      </w:r>
      <w:r w:rsidR="001B387F">
        <w:rPr>
          <w:rFonts w:cstheme="minorHAnsi"/>
          <w:sz w:val="22"/>
          <w:szCs w:val="22"/>
        </w:rPr>
        <w:t>– Cape Town – South Africa</w:t>
      </w:r>
    </w:p>
    <w:p w14:paraId="77713B44" w14:textId="152F9084" w:rsidR="00AA5A56" w:rsidRDefault="00C22511">
      <w:r>
        <w:rPr>
          <w:noProof/>
          <w:sz w:val="22"/>
          <w:szCs w:val="22"/>
          <w:lang w:eastAsia="en-GB"/>
        </w:rPr>
        <mc:AlternateContent>
          <mc:Choice Requires="wps">
            <w:drawing>
              <wp:anchor distT="0" distB="0" distL="114300" distR="114300" simplePos="0" relativeHeight="251659264" behindDoc="0" locked="0" layoutInCell="1" allowOverlap="1" wp14:anchorId="6F0B47A8" wp14:editId="5CC7D1CC">
                <wp:simplePos x="0" y="0"/>
                <wp:positionH relativeFrom="column">
                  <wp:posOffset>1853565</wp:posOffset>
                </wp:positionH>
                <wp:positionV relativeFrom="page">
                  <wp:posOffset>9622155</wp:posOffset>
                </wp:positionV>
                <wp:extent cx="4345305" cy="32321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345305" cy="323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3D9640" w14:textId="4F7613FC" w:rsidR="00C22511" w:rsidRPr="003E48E1" w:rsidRDefault="00C22511" w:rsidP="00C22511">
                            <w:pPr>
                              <w:jc w:val="right"/>
                              <w:rPr>
                                <w:rFonts w:cstheme="minorHAnsi"/>
                              </w:rPr>
                            </w:pPr>
                            <w:r w:rsidRPr="003E48E1">
                              <w:rPr>
                                <w:rFonts w:cstheme="minorHAnsi"/>
                                <w:sz w:val="22"/>
                                <w:szCs w:val="22"/>
                              </w:rPr>
                              <w:t xml:space="preserve">Qualification Number: </w:t>
                            </w:r>
                            <w:r w:rsidR="001B387F">
                              <w:rPr>
                                <w:rFonts w:cstheme="minorHAnsi"/>
                                <w:sz w:val="22"/>
                                <w:szCs w:val="22"/>
                              </w:rPr>
                              <w:t>6</w:t>
                            </w:r>
                            <w:r w:rsidR="00510CFA">
                              <w:rPr>
                                <w:rFonts w:cstheme="minorHAnsi"/>
                                <w:sz w:val="22"/>
                                <w:szCs w:val="22"/>
                              </w:rPr>
                              <w:t>03</w:t>
                            </w:r>
                            <w:r>
                              <w:rPr>
                                <w:rFonts w:cstheme="minorHAnsi"/>
                                <w:sz w:val="22"/>
                                <w:szCs w:val="22"/>
                              </w:rPr>
                              <w:t>/</w:t>
                            </w:r>
                            <w:r w:rsidR="008947EB">
                              <w:rPr>
                                <w:rFonts w:cstheme="minorHAnsi"/>
                                <w:sz w:val="22"/>
                                <w:szCs w:val="22"/>
                              </w:rPr>
                              <w:t>4942</w:t>
                            </w:r>
                            <w:r>
                              <w:rPr>
                                <w:rFonts w:cstheme="minorHAnsi"/>
                                <w:sz w:val="22"/>
                                <w:szCs w:val="22"/>
                              </w:rPr>
                              <w:t>/</w:t>
                            </w:r>
                            <w:r w:rsidR="008947EB">
                              <w:rPr>
                                <w:rFonts w:cstheme="minorHAnsi"/>
                                <w:sz w:val="22"/>
                                <w:szCs w:val="22"/>
                              </w:rPr>
                              <w:t>6</w:t>
                            </w:r>
                            <w:r w:rsidRPr="003E48E1">
                              <w:rPr>
                                <w:rFonts w:cstheme="minorHAnsi"/>
                                <w:sz w:val="22"/>
                                <w:szCs w:val="22"/>
                              </w:rPr>
                              <w:tab/>
                              <w:t xml:space="preserve">Credit Value: </w:t>
                            </w:r>
                            <w:r w:rsidR="0059183A">
                              <w:rPr>
                                <w:rFonts w:cstheme="minorHAnsi"/>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B47A8" id="_x0000_t202" coordsize="21600,21600" o:spt="202" path="m,l,21600r21600,l21600,xe">
                <v:stroke joinstyle="miter"/>
                <v:path gradientshapeok="t" o:connecttype="rect"/>
              </v:shapetype>
              <v:shape id="Text Box 2" o:spid="_x0000_s1026" type="#_x0000_t202" style="position:absolute;margin-left:145.95pt;margin-top:757.65pt;width:342.15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" filled="f" stroked="f">
                <v:textbox>
                  <w:txbxContent>
                    <w:p w14:paraId="233D9640" w14:textId="4F7613FC" w:rsidR="00C22511" w:rsidRPr="003E48E1" w:rsidRDefault="00C22511" w:rsidP="00C22511">
                      <w:pPr>
                        <w:jc w:val="right"/>
                        <w:rPr>
                          <w:rFonts w:cstheme="minorHAnsi"/>
                        </w:rPr>
                      </w:pPr>
                      <w:r w:rsidRPr="003E48E1">
                        <w:rPr>
                          <w:rFonts w:cstheme="minorHAnsi"/>
                          <w:sz w:val="22"/>
                          <w:szCs w:val="22"/>
                        </w:rPr>
                        <w:t xml:space="preserve">Qualification Number: </w:t>
                      </w:r>
                      <w:r w:rsidR="001B387F">
                        <w:rPr>
                          <w:rFonts w:cstheme="minorHAnsi"/>
                          <w:sz w:val="22"/>
                          <w:szCs w:val="22"/>
                        </w:rPr>
                        <w:t>6</w:t>
                      </w:r>
                      <w:r w:rsidR="00510CFA">
                        <w:rPr>
                          <w:rFonts w:cstheme="minorHAnsi"/>
                          <w:sz w:val="22"/>
                          <w:szCs w:val="22"/>
                        </w:rPr>
                        <w:t>03</w:t>
                      </w:r>
                      <w:r>
                        <w:rPr>
                          <w:rFonts w:cstheme="minorHAnsi"/>
                          <w:sz w:val="22"/>
                          <w:szCs w:val="22"/>
                        </w:rPr>
                        <w:t>/</w:t>
                      </w:r>
                      <w:r w:rsidR="008947EB">
                        <w:rPr>
                          <w:rFonts w:cstheme="minorHAnsi"/>
                          <w:sz w:val="22"/>
                          <w:szCs w:val="22"/>
                        </w:rPr>
                        <w:t>4942</w:t>
                      </w:r>
                      <w:r>
                        <w:rPr>
                          <w:rFonts w:cstheme="minorHAnsi"/>
                          <w:sz w:val="22"/>
                          <w:szCs w:val="22"/>
                        </w:rPr>
                        <w:t>/</w:t>
                      </w:r>
                      <w:r w:rsidR="008947EB">
                        <w:rPr>
                          <w:rFonts w:cstheme="minorHAnsi"/>
                          <w:sz w:val="22"/>
                          <w:szCs w:val="22"/>
                        </w:rPr>
                        <w:t>6</w:t>
                      </w:r>
                      <w:r w:rsidRPr="003E48E1">
                        <w:rPr>
                          <w:rFonts w:cstheme="minorHAnsi"/>
                          <w:sz w:val="22"/>
                          <w:szCs w:val="22"/>
                        </w:rPr>
                        <w:tab/>
                        <w:t xml:space="preserve">Credit Value: </w:t>
                      </w:r>
                      <w:r w:rsidR="0059183A">
                        <w:rPr>
                          <w:rFonts w:cstheme="minorHAnsi"/>
                          <w:sz w:val="22"/>
                          <w:szCs w:val="22"/>
                        </w:rPr>
                        <w:t>3</w:t>
                      </w:r>
                    </w:p>
                  </w:txbxContent>
                </v:textbox>
                <w10:wrap anchory="page"/>
              </v:shape>
            </w:pict>
          </mc:Fallback>
        </mc:AlternateContent>
      </w:r>
    </w:p>
    <w:sectPr w:rsidR="00AA5A5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21D7" w14:textId="77777777" w:rsidR="00913EB5" w:rsidRDefault="00913EB5" w:rsidP="00700CE5">
      <w:r>
        <w:separator/>
      </w:r>
    </w:p>
  </w:endnote>
  <w:endnote w:type="continuationSeparator" w:id="0">
    <w:p w14:paraId="70B286CC" w14:textId="77777777" w:rsidR="00913EB5" w:rsidRDefault="00913EB5" w:rsidP="0070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3E18" w14:textId="77777777" w:rsidR="00913EB5" w:rsidRDefault="00913EB5" w:rsidP="00700CE5">
      <w:r>
        <w:separator/>
      </w:r>
    </w:p>
  </w:footnote>
  <w:footnote w:type="continuationSeparator" w:id="0">
    <w:p w14:paraId="5478356C" w14:textId="77777777" w:rsidR="00913EB5" w:rsidRDefault="00913EB5" w:rsidP="00700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71E1" w14:textId="44D215E4" w:rsidR="00700CE5" w:rsidRPr="00616460" w:rsidRDefault="00700CE5">
    <w:pPr>
      <w:pStyle w:val="Header"/>
      <w:rPr>
        <w:b/>
        <w:bCs/>
        <w:i/>
        <w:iCs/>
        <w:color w:val="7030A0"/>
        <w:sz w:val="72"/>
        <w:szCs w:val="72"/>
      </w:rPr>
    </w:pPr>
    <w:r w:rsidRPr="00616460">
      <w:rPr>
        <w:rFonts w:ascii="Arial Nova" w:hAnsi="Arial Nova"/>
        <w:b/>
        <w:bCs/>
        <w:i/>
        <w:iCs/>
        <w:color w:val="0070C0"/>
        <w:sz w:val="72"/>
        <w:szCs w:val="72"/>
      </w:rPr>
      <w:t>Highfield</w:t>
    </w:r>
    <w:r w:rsidRPr="00700CE5">
      <w:rPr>
        <w:b/>
        <w:bCs/>
        <w:i/>
        <w:iCs/>
        <w:color w:val="0070C0"/>
        <w:sz w:val="72"/>
        <w:szCs w:val="72"/>
      </w:rPr>
      <w:t xml:space="preserve"> </w:t>
    </w:r>
    <w:r w:rsidRPr="00616460">
      <w:rPr>
        <w:b/>
        <w:bCs/>
        <w:sz w:val="72"/>
        <w:szCs w:val="72"/>
      </w:rPr>
      <w:t xml:space="preserve">Fact Sheet </w:t>
    </w:r>
    <w:r w:rsidRPr="00616460">
      <w:rPr>
        <w:b/>
        <w:bCs/>
        <w:i/>
        <w:iCs/>
        <w:color w:val="7030A0"/>
        <w:sz w:val="72"/>
        <w:szCs w:val="72"/>
      </w:rPr>
      <w:t>Level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4F4"/>
    <w:multiLevelType w:val="hybridMultilevel"/>
    <w:tmpl w:val="4FC223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6D74C0"/>
    <w:multiLevelType w:val="hybridMultilevel"/>
    <w:tmpl w:val="5CB628B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2" w15:restartNumberingAfterBreak="0">
    <w:nsid w:val="48023B3E"/>
    <w:multiLevelType w:val="hybridMultilevel"/>
    <w:tmpl w:val="01FA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B24A70"/>
    <w:multiLevelType w:val="hybridMultilevel"/>
    <w:tmpl w:val="F02C63F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7973294">
    <w:abstractNumId w:val="2"/>
  </w:num>
  <w:num w:numId="2" w16cid:durableId="274598369">
    <w:abstractNumId w:val="1"/>
  </w:num>
  <w:num w:numId="3" w16cid:durableId="1696224778">
    <w:abstractNumId w:val="0"/>
  </w:num>
  <w:num w:numId="4" w16cid:durableId="2030521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11"/>
    <w:rsid w:val="000D29BE"/>
    <w:rsid w:val="00142DAB"/>
    <w:rsid w:val="00174CF0"/>
    <w:rsid w:val="001B387F"/>
    <w:rsid w:val="001C1ED5"/>
    <w:rsid w:val="001F04E6"/>
    <w:rsid w:val="00217D23"/>
    <w:rsid w:val="00261886"/>
    <w:rsid w:val="003472E4"/>
    <w:rsid w:val="003737FF"/>
    <w:rsid w:val="003D7467"/>
    <w:rsid w:val="00421189"/>
    <w:rsid w:val="00510CFA"/>
    <w:rsid w:val="0059183A"/>
    <w:rsid w:val="005A4C95"/>
    <w:rsid w:val="005D0491"/>
    <w:rsid w:val="00616460"/>
    <w:rsid w:val="006576C5"/>
    <w:rsid w:val="00661BAF"/>
    <w:rsid w:val="006B3132"/>
    <w:rsid w:val="00700CE5"/>
    <w:rsid w:val="00783555"/>
    <w:rsid w:val="008947EB"/>
    <w:rsid w:val="008F1C64"/>
    <w:rsid w:val="00913EB5"/>
    <w:rsid w:val="00AA5A56"/>
    <w:rsid w:val="00AE0E1C"/>
    <w:rsid w:val="00AF4906"/>
    <w:rsid w:val="00B003E3"/>
    <w:rsid w:val="00B21D8F"/>
    <w:rsid w:val="00BA0254"/>
    <w:rsid w:val="00C22511"/>
    <w:rsid w:val="00CB1BD5"/>
    <w:rsid w:val="00D63D6E"/>
    <w:rsid w:val="00D74D65"/>
    <w:rsid w:val="00E837B5"/>
    <w:rsid w:val="00EE249F"/>
    <w:rsid w:val="00F008B0"/>
    <w:rsid w:val="00F1336B"/>
    <w:rsid w:val="00F145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8584"/>
  <w15:chartTrackingRefBased/>
  <w15:docId w15:val="{5A0CF94E-9223-4900-A6D7-075AF8DF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511"/>
    <w:pPr>
      <w:spacing w:after="0" w:line="240" w:lineRule="auto"/>
    </w:pPr>
    <w:rPr>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511"/>
    <w:pPr>
      <w:ind w:left="720"/>
      <w:contextualSpacing/>
    </w:pPr>
  </w:style>
  <w:style w:type="paragraph" w:styleId="Header">
    <w:name w:val="header"/>
    <w:basedOn w:val="Normal"/>
    <w:link w:val="HeaderChar"/>
    <w:uiPriority w:val="99"/>
    <w:unhideWhenUsed/>
    <w:rsid w:val="00700CE5"/>
    <w:pPr>
      <w:tabs>
        <w:tab w:val="center" w:pos="4513"/>
        <w:tab w:val="right" w:pos="9026"/>
      </w:tabs>
    </w:pPr>
  </w:style>
  <w:style w:type="character" w:customStyle="1" w:styleId="HeaderChar">
    <w:name w:val="Header Char"/>
    <w:basedOn w:val="DefaultParagraphFont"/>
    <w:link w:val="Header"/>
    <w:uiPriority w:val="99"/>
    <w:rsid w:val="00700CE5"/>
    <w:rPr>
      <w:kern w:val="0"/>
      <w:sz w:val="24"/>
      <w:szCs w:val="24"/>
      <w:lang w:val="en-GB"/>
      <w14:ligatures w14:val="none"/>
    </w:rPr>
  </w:style>
  <w:style w:type="paragraph" w:styleId="Footer">
    <w:name w:val="footer"/>
    <w:basedOn w:val="Normal"/>
    <w:link w:val="FooterChar"/>
    <w:uiPriority w:val="99"/>
    <w:unhideWhenUsed/>
    <w:rsid w:val="00700CE5"/>
    <w:pPr>
      <w:tabs>
        <w:tab w:val="center" w:pos="4513"/>
        <w:tab w:val="right" w:pos="9026"/>
      </w:tabs>
    </w:pPr>
  </w:style>
  <w:style w:type="character" w:customStyle="1" w:styleId="FooterChar">
    <w:name w:val="Footer Char"/>
    <w:basedOn w:val="DefaultParagraphFont"/>
    <w:link w:val="Footer"/>
    <w:uiPriority w:val="99"/>
    <w:rsid w:val="00700CE5"/>
    <w:rPr>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8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Van Zyl</dc:creator>
  <cp:keywords/>
  <dc:description/>
  <cp:lastModifiedBy>Yvette Van Zyl</cp:lastModifiedBy>
  <cp:revision>3</cp:revision>
  <dcterms:created xsi:type="dcterms:W3CDTF">2024-04-26T08:14:00Z</dcterms:created>
  <dcterms:modified xsi:type="dcterms:W3CDTF">2024-04-26T08:23:00Z</dcterms:modified>
</cp:coreProperties>
</file>