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VEKTOLUX REAL ESTATE ESCROW &amp; SETTLEMENT ENGINE</w:t>
      </w:r>
    </w:p>
    <w:p>
      <w:pPr>
        <w:jc w:val="center"/>
      </w:pPr>
      <w:r>
        <w:rPr>
          <w:rFonts w:ascii="Arial" w:hAnsi="Arial"/>
          <w:b/>
          <w:color w:val="10B981"/>
          <w:sz w:val="26"/>
        </w:rPr>
        <w:t>Multi-Tier Real Estate Escrow, Anti-Bypass Viewing Passes, Caution Deposit Vault &amp; Land Milestones</w:t>
      </w:r>
    </w:p>
    <w:p>
      <w:pPr>
        <w:jc w:val="center"/>
      </w:pPr>
      <w:r>
        <w:rPr>
          <w:i/>
          <w:color w:val="6B7280"/>
          <w:sz w:val="19"/>
        </w:rPr>
        <w:t>Platform: Vektolux Sierra Leone | Standard Currency: SLE (New Leones)</w:t>
        <w:br/>
        <w:t>Payment Integrations: Orange Money &amp; Africell Afrimoney | Legal Standard: OARG &amp; MLHCP Guidelines</w:t>
        <w:br/>
        <w:t>Date: September 2026 | Version: 1.0 (Production Release)</w:t>
      </w:r>
    </w:p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1. SYSTEM OVERVIEW &amp; FINTECH ARCHITECTURE IN SIERRA LEONE</w:t>
      </w:r>
    </w:p>
    <w:p>
      <w:r>
        <w:t>In Sierra Leone (Freetown, Bo, Kenema, Makeni, Waterloo), real estate transactions suffer from acute market friction:</w:t>
        <w:br/>
        <w:t>1. Agency Bypass (Disintermediation): Clients obtain property locations from online listings and circumvent agents to deal directly with property owners, cheating agents out of viewing and agency fees.</w:t>
        <w:br/>
        <w:t>2. Caution Deposit Withholding: Landlords routinely withhold tenant caution deposits post-tenancy without itemized proof of damage.</w:t>
        <w:br/>
        <w:t>3. Short-Stay Guesthouse Fraud: Hosts misrepresent amenities; guests arrive to find uninhabitable conditions with no recourse once funds are sent via Mobile Money.</w:t>
        <w:br/>
        <w:t>4. Land Purchase Multiple-Sale Scandals: Multiple buyers purchase the same parcel due to forged survey plans and unverified title registrations at the Office of the Administrator &amp; Registrar General (OARG).</w:t>
        <w:br/>
        <w:br/>
        <w:t>The Vektolux Real Estate Escrow System provides cryptographic anti-bypass protection, algorithmic milestone vesting, and balance-isolated double-entry settlement natively integrated with Orange Money SL and Africell Afrimoney.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2. CORE BUSINESS WORKFLOWS &amp; MATHEMATICAL SPLIT FORMULATIONS</w:t>
      </w:r>
    </w:p>
    <w:p>
      <w:pPr>
        <w:spacing w:before="240" w:after="80"/>
      </w:pPr>
      <w:r>
        <w:rPr>
          <w:rFonts w:ascii="Arial" w:hAnsi="Arial"/>
          <w:b/>
          <w:color w:val="0D9488"/>
          <w:sz w:val="25"/>
        </w:rPr>
        <w:t>Workflow A: Inspection Pass (Agent-Guided Anti-Bypass System)</w:t>
      </w:r>
    </w:p>
    <w:p>
      <w:r>
        <w:t>To prevent agency bypass, exact property compound addresses, GPS coordinates, and landlord contact details are strictly masked in public listings.</w:t>
        <w:br/>
        <w:t>• Viewing Fee: Client books a viewing tour by paying a micro-escrow fee (SLE 50 - 100).</w:t>
        <w:br/>
        <w:t>• Cryptographic Token: Vektolux issues a time-expiring QR code and a 4-digit OTP generated via HMAC-SHA256.</w:t>
        <w:br/>
        <w:t>• Mutual Verification: The field agent and client meet at the site; agent scans the client's QR code or client inputs the agent's OTP.</w:t>
        <w:br/>
        <w:t>• Immediate Split Settlement:</w:t>
        <w:br/>
        <w:t xml:space="preserve">   - Platform Technology Cut: 15% of Tour Fee (e.g. SLE 15.00 on SLE 100)</w:t>
        <w:br/>
        <w:t xml:space="preserve">   - Agent Net Disbursal: 85% of Tour Fee (e.g. SLE 85.00 on SLE 100)</w:t>
        <w:br/>
        <w:t>• Unmasking Event: Upon verification, full landlord contact and exact boundary coordinates are unmasked for the client.</w:t>
      </w:r>
    </w:p>
    <w:p>
      <w:pPr>
        <w:spacing w:before="240" w:after="80"/>
      </w:pPr>
      <w:r>
        <w:rPr>
          <w:rFonts w:ascii="Arial" w:hAnsi="Arial"/>
          <w:b/>
          <w:color w:val="0D9488"/>
          <w:sz w:val="25"/>
        </w:rPr>
        <w:t>Workflow B: Short-Term Guest Stays &amp; Guesthouses</w:t>
      </w:r>
    </w:p>
    <w:p>
      <w:r>
        <w:t>• Total Upfront Inflow = (Nightly Rate × Number of Nights) + Refundable Caution/Kitchen Deposit (typically SLE 500 - 2,000).</w:t>
        <w:br/>
        <w:t>• 24-Hour Check-in Rule: Upon check-in (door QR scan), nightly rent is held for exactly 24 hours. If no critical defect dispute is raised, host receives net rent minus 10% platform commission.</w:t>
        <w:br/>
        <w:t>• Caution Deposit Vault: Caution deposit remains locked in segregated custody until check-out inspection verifies no missing inventory or damaged appliances. Clean check-out triggers 100% automated refund to client.</w:t>
      </w:r>
    </w:p>
    <w:p>
      <w:pPr>
        <w:spacing w:before="240" w:after="80"/>
      </w:pPr>
      <w:r>
        <w:rPr>
          <w:rFonts w:ascii="Arial" w:hAnsi="Arial"/>
          <w:b/>
          <w:color w:val="0D9488"/>
          <w:sz w:val="25"/>
        </w:rPr>
        <w:t>Workflow C: Long-Term Tenancy &amp; Leases (6-12+ Months)</w:t>
      </w:r>
    </w:p>
    <w:p>
      <w:r>
        <w:t>• Upfront Inflow = Total Agreed Annual Rent + 10% Statutory Agency Commission + 1 to 2 Months' Caution Deposit.</w:t>
        <w:br/>
        <w:t>• Settlement Distribution:</w:t>
        <w:br/>
        <w:t xml:space="preserve">   - Landlord receives agreed base rent (minus agreed letting cut).</w:t>
        <w:br/>
        <w:t xml:space="preserve">   - Listing agent receives net commission (85% of the 10% agency fee; 15% deducted as Vektolux platform fee).</w:t>
        <w:br/>
        <w:t xml:space="preserve">   - Caution deposit remains locked in the Vektolux Escrow Vault for the full lease tenure until joint exit inspection.</w:t>
      </w:r>
    </w:p>
    <w:p>
      <w:pPr>
        <w:spacing w:before="240" w:after="80"/>
      </w:pPr>
      <w:r>
        <w:rPr>
          <w:rFonts w:ascii="Arial" w:hAnsi="Arial"/>
          <w:b/>
          <w:color w:val="0D9488"/>
          <w:sz w:val="25"/>
        </w:rPr>
        <w:t>Workflow D: Land &amp; House Outright Purchases (10 / 40 / 50 Milestones)</w:t>
      </w:r>
    </w:p>
    <w:p>
      <w:r>
        <w:t>To eliminate land disputes in the Western Area Peninsula, outright purchases execute through 3 strict verification gates:</w:t>
        <w:br/>
        <w:t>• Milestone 1 (10% Title Search Deposit): Locks parcel and funds legal search at the Office of the Administrator &amp; Registrar General (OARG, Roxy Building, Freetown).</w:t>
        <w:br/>
        <w:t>• Milestone 2 (40% Survey Plan &amp; Deed Verification): Released upon licensed surveyor beacon confirmation and Ministry of Lands (MLHCP) cadastral sheet clearance.</w:t>
        <w:br/>
        <w:t>• Milestone 3 (50% Final Registration &amp; Handover): Executed upon formal deed signing, stamp duty payment, and OARG Volume/Page registration endorsement.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3. RELATIONAL DATABASE SPECIFICATION (POSTGRESQL &amp; CONVEX)</w:t>
      </w:r>
    </w:p>
    <w:p>
      <w:r>
        <w:t>The system introduces dedicated entities for property escrow contracts, inspection passes, milestones, caution deposits, and disputes: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</w:rPr>
              <w:t>Storage Domain</w:t>
            </w:r>
          </w:p>
        </w:tc>
        <w:tc>
          <w:tcPr>
            <w:tcW w:type="dxa" w:w="5328"/>
            <w:shd w:fill="0F172A"/>
          </w:tcPr>
          <w:p>
            <w:r>
              <w:rPr>
                <w:b/>
                <w:color w:val="FFFFFF"/>
              </w:rPr>
              <w:t>Key Responsibilities</w:t>
            </w:r>
          </w:p>
        </w:tc>
      </w:tr>
      <w:tr>
        <w:tc>
          <w:tcPr>
            <w:tcW w:type="dxa" w:w="2592"/>
            <w:shd w:fill="F8FAFC"/>
          </w:tcPr>
          <w:p>
            <w:r>
              <w:t>re_inspection_passes</w:t>
            </w:r>
          </w:p>
        </w:tc>
        <w:tc>
          <w:tcPr>
            <w:tcW w:type="dxa" w:w="2160"/>
            <w:shd w:fill="F8FAFC"/>
          </w:tcPr>
          <w:p>
            <w:r>
              <w:t>Viewing Escrow</w:t>
            </w:r>
          </w:p>
        </w:tc>
        <w:tc>
          <w:tcPr>
            <w:tcW w:type="dxa" w:w="5328"/>
            <w:shd w:fill="F8FAFC"/>
          </w:tcPr>
          <w:p>
            <w:r>
              <w:t>Micro-escrow custody, QR hash, 4-digit OTP, agent 85/15 split, unmasked flag</w:t>
            </w:r>
          </w:p>
        </w:tc>
      </w:tr>
      <w:tr>
        <w:tc>
          <w:tcPr>
            <w:tcW w:type="dxa" w:w="2592"/>
          </w:tcPr>
          <w:p>
            <w:r>
              <w:t>re_escrow_contracts</w:t>
            </w:r>
          </w:p>
        </w:tc>
        <w:tc>
          <w:tcPr>
            <w:tcW w:type="dxa" w:w="2160"/>
          </w:tcPr>
          <w:p>
            <w:r>
              <w:t>Master Vault</w:t>
            </w:r>
          </w:p>
        </w:tc>
        <w:tc>
          <w:tcPr>
            <w:tcW w:type="dxa" w:w="5328"/>
          </w:tcPr>
          <w:p>
            <w:r>
              <w:t>Gross funds, caution deposit, platform cut, payment rail, stay 24h timer, status</w:t>
            </w:r>
          </w:p>
        </w:tc>
      </w:tr>
      <w:tr>
        <w:tc>
          <w:tcPr>
            <w:tcW w:type="dxa" w:w="2592"/>
            <w:shd w:fill="F8FAFC"/>
          </w:tcPr>
          <w:p>
            <w:r>
              <w:t>re_escrow_milestones</w:t>
            </w:r>
          </w:p>
        </w:tc>
        <w:tc>
          <w:tcPr>
            <w:tcW w:type="dxa" w:w="2160"/>
            <w:shd w:fill="F8FAFC"/>
          </w:tcPr>
          <w:p>
            <w:r>
              <w:t>Land Milestones</w:t>
            </w:r>
          </w:p>
        </w:tc>
        <w:tc>
          <w:tcPr>
            <w:tcW w:type="dxa" w:w="5328"/>
            <w:shd w:fill="F8FAFC"/>
          </w:tcPr>
          <w:p>
            <w:r>
              <w:t>10/40/50 stage percentages, verification proof documents, legal signoff</w:t>
            </w:r>
          </w:p>
        </w:tc>
      </w:tr>
      <w:tr>
        <w:tc>
          <w:tcPr>
            <w:tcW w:type="dxa" w:w="2592"/>
          </w:tcPr>
          <w:p>
            <w:r>
              <w:t>re_caution_deposits</w:t>
            </w:r>
          </w:p>
        </w:tc>
        <w:tc>
          <w:tcPr>
            <w:tcW w:type="dxa" w:w="2160"/>
          </w:tcPr>
          <w:p>
            <w:r>
              <w:t>Deposit Custody</w:t>
            </w:r>
          </w:p>
        </w:tc>
        <w:tc>
          <w:tcPr>
            <w:tcW w:type="dxa" w:w="5328"/>
          </w:tcPr>
          <w:p>
            <w:r>
              <w:t>Segregated holding for short-stay &amp; long-term caution funds, check-out deductions</w:t>
            </w:r>
          </w:p>
        </w:tc>
      </w:tr>
      <w:tr>
        <w:tc>
          <w:tcPr>
            <w:tcW w:type="dxa" w:w="2592"/>
            <w:shd w:fill="F8FAFC"/>
          </w:tcPr>
          <w:p>
            <w:r>
              <w:t>re_escrow_disputes</w:t>
            </w:r>
          </w:p>
        </w:tc>
        <w:tc>
          <w:tcPr>
            <w:tcW w:type="dxa" w:w="2160"/>
            <w:shd w:fill="F8FAFC"/>
          </w:tcPr>
          <w:p>
            <w:r>
              <w:t>Arbitration</w:t>
            </w:r>
          </w:p>
        </w:tc>
        <w:tc>
          <w:tcPr>
            <w:tcW w:type="dxa" w:w="5328"/>
            <w:shd w:fill="F8FAFC"/>
          </w:tcPr>
          <w:p>
            <w:r>
              <w:t>Tenant/landlord damage claims, contractor estimates, 3-tier arbitration rulings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4. MILESTONE STATE MACHINE &amp; TRANSITION MATRIX</w:t>
      </w:r>
    </w:p>
    <w:p>
      <w:r>
        <w:t>States: CREATED → FUNDS_LOCKED → AGENT_DISPATCHED → CHECKED_IN → MILESTONE_VERIFIED → FULLY_SETTLED (Fallbacks: UNDER_ARBITRATION, REFUNDED, CANCELLED).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0B981"/>
          </w:tcPr>
          <w:p>
            <w:r>
              <w:rPr>
                <w:b/>
                <w:color w:val="FFFFFF"/>
              </w:rPr>
              <w:t>State Transition</w:t>
            </w:r>
          </w:p>
        </w:tc>
        <w:tc>
          <w:tcPr>
            <w:tcW w:type="dxa" w:w="2304"/>
            <w:shd w:fill="10B981"/>
          </w:tcPr>
          <w:p>
            <w:r>
              <w:rPr>
                <w:b/>
                <w:color w:val="FFFFFF"/>
              </w:rPr>
              <w:t>Trigger Event</w:t>
            </w:r>
          </w:p>
        </w:tc>
        <w:tc>
          <w:tcPr>
            <w:tcW w:type="dxa" w:w="2880"/>
            <w:shd w:fill="10B981"/>
          </w:tcPr>
          <w:p>
            <w:r>
              <w:rPr>
                <w:b/>
                <w:color w:val="FFFFFF"/>
              </w:rPr>
              <w:t>Invariant &amp; Verification</w:t>
            </w:r>
          </w:p>
        </w:tc>
        <w:tc>
          <w:tcPr>
            <w:tcW w:type="dxa" w:w="2304"/>
            <w:shd w:fill="10B981"/>
          </w:tcPr>
          <w:p>
            <w:r>
              <w:rPr>
                <w:b/>
                <w:color w:val="FFFFFF"/>
              </w:rPr>
              <w:t>Ledger Movement</w:t>
            </w:r>
          </w:p>
        </w:tc>
      </w:tr>
      <w:tr>
        <w:tc>
          <w:tcPr>
            <w:tcW w:type="dxa" w:w="2592"/>
            <w:shd w:fill="F8FAFC"/>
          </w:tcPr>
          <w:p>
            <w:r>
              <w:t>CREATED → FUNDS_LOCKED</w:t>
            </w:r>
          </w:p>
        </w:tc>
        <w:tc>
          <w:tcPr>
            <w:tcW w:type="dxa" w:w="2304"/>
            <w:shd w:fill="F8FAFC"/>
          </w:tcPr>
          <w:p>
            <w:r>
              <w:t>Telco Webhook</w:t>
            </w:r>
          </w:p>
        </w:tc>
        <w:tc>
          <w:tcPr>
            <w:tcW w:type="dxa" w:w="2880"/>
            <w:shd w:fill="F8FAFC"/>
          </w:tcPr>
          <w:p>
            <w:r>
              <w:t>Orange/Africell deposit confirmed</w:t>
            </w:r>
          </w:p>
        </w:tc>
        <w:tc>
          <w:tcPr>
            <w:tcW w:type="dxa" w:w="2304"/>
            <w:shd w:fill="F8FAFC"/>
          </w:tcPr>
          <w:p>
            <w:r>
              <w:t>Debit Telco; Credit Escrow</w:t>
            </w:r>
          </w:p>
        </w:tc>
      </w:tr>
      <w:tr>
        <w:tc>
          <w:tcPr>
            <w:tcW w:type="dxa" w:w="2592"/>
          </w:tcPr>
          <w:p>
            <w:r>
              <w:t>FUNDS_LOCKED → AGENT_DISPATCHED</w:t>
            </w:r>
          </w:p>
        </w:tc>
        <w:tc>
          <w:tcPr>
            <w:tcW w:type="dxa" w:w="2304"/>
          </w:tcPr>
          <w:p>
            <w:r>
              <w:t>Agent Accepts Tour</w:t>
            </w:r>
          </w:p>
        </w:tc>
        <w:tc>
          <w:tcPr>
            <w:tcW w:type="dxa" w:w="2880"/>
          </w:tcPr>
          <w:p>
            <w:r>
              <w:t>Field agent geo-assigned</w:t>
            </w:r>
          </w:p>
        </w:tc>
        <w:tc>
          <w:tcPr>
            <w:tcW w:type="dxa" w:w="2304"/>
          </w:tcPr>
          <w:p>
            <w:r>
              <w:t>Notification pushed to client</w:t>
            </w:r>
          </w:p>
        </w:tc>
      </w:tr>
      <w:tr>
        <w:tc>
          <w:tcPr>
            <w:tcW w:type="dxa" w:w="2592"/>
            <w:shd w:fill="F8FAFC"/>
          </w:tcPr>
          <w:p>
            <w:r>
              <w:t>AGENT_DISPATCHED → MILESTONE_VERIFIED</w:t>
            </w:r>
          </w:p>
        </w:tc>
        <w:tc>
          <w:tcPr>
            <w:tcW w:type="dxa" w:w="2304"/>
            <w:shd w:fill="F8FAFC"/>
          </w:tcPr>
          <w:p>
            <w:r>
              <w:t>Mutual QR / OTP Scan</w:t>
            </w:r>
          </w:p>
        </w:tc>
        <w:tc>
          <w:tcPr>
            <w:tcW w:type="dxa" w:w="2880"/>
            <w:shd w:fill="F8FAFC"/>
          </w:tcPr>
          <w:p>
            <w:r>
              <w:t>Client &amp; agent GPS match</w:t>
            </w:r>
          </w:p>
        </w:tc>
        <w:tc>
          <w:tcPr>
            <w:tcW w:type="dxa" w:w="2304"/>
            <w:shd w:fill="F8FAFC"/>
          </w:tcPr>
          <w:p>
            <w:r>
              <w:t>Debit Escrow; Credit Agent &amp; Tech Fee</w:t>
            </w:r>
          </w:p>
        </w:tc>
      </w:tr>
      <w:tr>
        <w:tc>
          <w:tcPr>
            <w:tcW w:type="dxa" w:w="2592"/>
          </w:tcPr>
          <w:p>
            <w:r>
              <w:t>FUNDS_LOCKED → CHECKED_IN</w:t>
            </w:r>
          </w:p>
        </w:tc>
        <w:tc>
          <w:tcPr>
            <w:tcW w:type="dxa" w:w="2304"/>
          </w:tcPr>
          <w:p>
            <w:r>
              <w:t>Guest Door QR Scan</w:t>
            </w:r>
          </w:p>
        </w:tc>
        <w:tc>
          <w:tcPr>
            <w:tcW w:type="dxa" w:w="2880"/>
          </w:tcPr>
          <w:p>
            <w:r>
              <w:t>Short-stay check-in verified</w:t>
            </w:r>
          </w:p>
        </w:tc>
        <w:tc>
          <w:tcPr>
            <w:tcW w:type="dxa" w:w="2304"/>
          </w:tcPr>
          <w:p>
            <w:r>
              <w:t>Initiate 24h dispute hold timer</w:t>
            </w:r>
          </w:p>
        </w:tc>
      </w:tr>
      <w:tr>
        <w:tc>
          <w:tcPr>
            <w:tcW w:type="dxa" w:w="2592"/>
            <w:shd w:fill="F8FAFC"/>
          </w:tcPr>
          <w:p>
            <w:r>
              <w:t>CHECKED_IN → FULLY_SETTLED</w:t>
            </w:r>
          </w:p>
        </w:tc>
        <w:tc>
          <w:tcPr>
            <w:tcW w:type="dxa" w:w="2304"/>
            <w:shd w:fill="F8FAFC"/>
          </w:tcPr>
          <w:p>
            <w:r>
              <w:t>24h Timer Cleared</w:t>
            </w:r>
          </w:p>
        </w:tc>
        <w:tc>
          <w:tcPr>
            <w:tcW w:type="dxa" w:w="2880"/>
            <w:shd w:fill="F8FAFC"/>
          </w:tcPr>
          <w:p>
            <w:r>
              <w:t>No defect dispute logged</w:t>
            </w:r>
          </w:p>
        </w:tc>
        <w:tc>
          <w:tcPr>
            <w:tcW w:type="dxa" w:w="2304"/>
            <w:shd w:fill="F8FAFC"/>
          </w:tcPr>
          <w:p>
            <w:r>
              <w:t>Release net rent to host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5. REST API SPECIFICATION (OPENAPI 3.0)</w:t>
      </w:r>
    </w:p>
    <w:p>
      <w:r>
        <w:t>• POST /api/v1/real-estate/inspection-pass/initiate — Books viewing tour, locks SLE 50-100, returns QR &amp; OTP.</w:t>
        <w:br/>
        <w:t>• POST /api/v1/real-estate/inspection-pass/verify — Validates mutual QR/OTP, unmasks contact, disburses 85% to agent.</w:t>
        <w:br/>
        <w:t>• POST /api/v1/real-estate/escrow/initiate — Initiates stay, lease, or land purchase contract.</w:t>
        <w:br/>
        <w:t>• POST /api/v1/real-estate/escrow/short-stay/check-in — Records guest arrival and arms 24h timer.</w:t>
        <w:br/>
        <w:t>• POST /api/v1/real-estate/escrow/caution-deposit/refund — Check-out signoff and caution refund.</w:t>
        <w:br/>
        <w:t>• POST /api/v1/real-estate/escrow/land-milestone/verify — Releases 10% / 40% / 50% land milestones.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6. DISPUTE RESOLUTION &amp; DAMAGE ADJUDICATION</w:t>
      </w:r>
    </w:p>
    <w:p>
      <w:r>
        <w:t>• Tier 1: In-App Conciliation (48-hour window for mutual agreement between host and guest).</w:t>
        <w:br/>
        <w:t>• Tier 2: Vektolux Independent Loss Adjuster (Inspection photos + certified repair estimates in Freetown).</w:t>
        <w:br/>
        <w:t>• Award Settlement: Valid repair costs deducted from caution deposit; remainder refunded to tenant immediately.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