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VEKTOLUX VEHICLE ESCROW &amp; SETTLEMENT ENGINE</w:t>
      </w:r>
    </w:p>
    <w:p>
      <w:pPr>
        <w:jc w:val="center"/>
      </w:pPr>
      <w:r>
        <w:rPr>
          <w:rFonts w:ascii="Arial" w:hAnsi="Arial"/>
          <w:b/>
          <w:color w:val="10B981"/>
          <w:sz w:val="26"/>
        </w:rPr>
        <w:t>Production Architecture, PostgreSQL Relational Schema, Financial Ledger &amp; Telco Mobile Money Integration</w:t>
      </w:r>
    </w:p>
    <w:p>
      <w:pPr>
        <w:jc w:val="center"/>
      </w:pPr>
      <w:r>
        <w:rPr>
          <w:i/>
          <w:color w:val="6B7280"/>
          <w:sz w:val="19"/>
        </w:rPr>
        <w:t>Platform: Vektolux Sierra Leone | Standard Currency: SLE (New Leones)</w:t>
        <w:br/>
        <w:t>Integration Rails: Orange Money &amp; Africell Afrimoney | Standard: BSL &amp; SLRSA Guidelines</w:t>
        <w:br/>
        <w:t>Date: September 2026 | Version: 1.0 (Production Release)</w:t>
      </w:r>
    </w:p>
    <w:p>
      <w:r>
        <w:t>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 &amp; Core Platform Topology</w:t>
      </w:r>
    </w:p>
    <w:p>
      <w:r>
        <w:t>The Vektolux Vehicle Escrow Engine provides cryptographic, milestone-driven, and legally auditable fund segregation for high-value vehicular transactions across Sierra Leone. It is engineered around an immutable double-entry financial ledger, pessimistic row-level locking for concurrency isolation, and multi-party physical verification protocols.</w:t>
      </w:r>
    </w:p>
    <w:p>
      <w:r>
        <w:t>The engine guarantees the following ironclad financial invariants:</w:t>
        <w:br/>
        <w:t>• Strict Fund Segregation: Available (withdrawable) balances are isolated from Escrow (locked) balances at all times.</w:t>
        <w:br/>
        <w:t>• Double-Entry Balance: Every movement of funds produces debit and credit entries whose sum precisely equals zero.</w:t>
        <w:br/>
        <w:t>• Replay &amp; Double-Spend Protection: Mobile money webhooks from Orange Money and Africell are guarded by cryptographic HMAC verification, unique transaction indexes, and pessimistic database locking.</w:t>
        <w:br/>
        <w:t>• Regulatory Auditability: Compliant with Bank of Sierra Leone (BSL) Mobile Money Guidelines and Sierra Leone Road Safety Authority (SLRSA) title transfer protocols.</w:t>
      </w:r>
    </w:p>
    <w:p>
      <w:pPr>
        <w:pStyle w:val="Heading1"/>
      </w:pPr>
      <w:r>
        <w:t>2. Financial Split, Commission &amp; Fee Computation Rules</w:t>
      </w:r>
    </w:p>
    <w:p>
      <w:r>
        <w:t>All transactions are conducted in Sierra Leone New Leones (SLE). Values are stored in fixed-point NUMERIC(14, 2) to prevent binary floating-point drift.</w:t>
      </w:r>
    </w:p>
    <w:p>
      <w:r>
        <w:rPr>
          <w:b/>
        </w:rPr>
        <w:t>A. Vehicle Rental Workflow (60/40 Split + Refundable Deposit)</w:t>
        <w:br/>
      </w:r>
      <w:r>
        <w:t>1. Upfront Payment = Base Rental Charge + Refundable Damage Deposit.</w:t>
        <w:br/>
        <w:t>2. Platform Commission = 15% levied strictly on Base Rental Charge (zero commission on deposits).</w:t>
        <w:br/>
        <w:t>3. Net Owner Proceeds = 85% of Base Rental Charge.</w:t>
        <w:br/>
        <w:t>4. Milestone 1 (Vehicle Handoff / Trip Start): 60% of Net Owner Proceeds is disbursed to the vehicle owner upon mutual approval of the digital pre-trip inspection. 60% of the platform fee is recognized as realized revenue.</w:t>
        <w:br/>
        <w:t>5. Milestone 2 (Vehicle Return): Upon passing post-trip inspection, the remaining 40% of Net Owner Proceeds is paid to the owner, and 100% of the Damage Deposit is refunded to the renter. If damage occurs, repair costs are deducted from the deposit and paid to the owner, with the remaining deposit refunded.</w:t>
      </w:r>
    </w:p>
    <w:p>
      <w:r>
        <w:t>Worked Example: 5-Day Delivery Van Rental (SLE)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Milestone / Component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Calculation Formula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Amount (SLE)</w:t>
            </w:r>
          </w:p>
        </w:tc>
      </w:tr>
      <w:tr>
        <w:tc>
          <w:tcPr>
            <w:tcW w:type="dxa" w:w="3312"/>
            <w:shd w:fill="F9FAFB"/>
          </w:tcPr>
          <w:p>
            <w:r>
              <w:t>Base Rental Charge (5 days @ 1,500/day)</w:t>
            </w:r>
          </w:p>
        </w:tc>
        <w:tc>
          <w:tcPr>
            <w:tcW w:type="dxa" w:w="3312"/>
            <w:shd w:fill="F9FAFB"/>
          </w:tcPr>
          <w:p>
            <w:r>
              <w:t>1,500.00 × 5</w:t>
            </w:r>
          </w:p>
        </w:tc>
        <w:tc>
          <w:tcPr>
            <w:tcW w:type="dxa" w:w="3312"/>
            <w:shd w:fill="F9FAFB"/>
          </w:tcPr>
          <w:p>
            <w:r>
              <w:t>SLE 7,500.00</w:t>
            </w:r>
          </w:p>
        </w:tc>
      </w:tr>
      <w:tr>
        <w:tc>
          <w:tcPr>
            <w:tcW w:type="dxa" w:w="3312"/>
            <w:shd w:fill="FFFFFF"/>
          </w:tcPr>
          <w:p>
            <w:r>
              <w:t>Refundable Damage Deposit</w:t>
            </w:r>
          </w:p>
        </w:tc>
        <w:tc>
          <w:tcPr>
            <w:tcW w:type="dxa" w:w="3312"/>
            <w:shd w:fill="FFFFFF"/>
          </w:tcPr>
          <w:p>
            <w:r>
              <w:t>Mandatory security deposit</w:t>
            </w:r>
          </w:p>
        </w:tc>
        <w:tc>
          <w:tcPr>
            <w:tcW w:type="dxa" w:w="3312"/>
            <w:shd w:fill="FFFFFF"/>
          </w:tcPr>
          <w:p>
            <w:r>
              <w:t>SLE 2,500.00</w:t>
            </w:r>
          </w:p>
        </w:tc>
      </w:tr>
      <w:tr>
        <w:tc>
          <w:tcPr>
            <w:tcW w:type="dxa" w:w="3312"/>
            <w:shd w:fill="F9FAFB"/>
          </w:tcPr>
          <w:p>
            <w:r>
              <w:t>Total Upfront Inflow into Escrow</w:t>
            </w:r>
          </w:p>
        </w:tc>
        <w:tc>
          <w:tcPr>
            <w:tcW w:type="dxa" w:w="3312"/>
            <w:shd w:fill="F9FAFB"/>
          </w:tcPr>
          <w:p>
            <w:r>
              <w:t>7,500.00 + 2,500.00</w:t>
            </w:r>
          </w:p>
        </w:tc>
        <w:tc>
          <w:tcPr>
            <w:tcW w:type="dxa" w:w="3312"/>
            <w:shd w:fill="F9FAFB"/>
          </w:tcPr>
          <w:p>
            <w:r>
              <w:t>SLE 10,000.00</w:t>
            </w:r>
          </w:p>
        </w:tc>
      </w:tr>
      <w:tr>
        <w:tc>
          <w:tcPr>
            <w:tcW w:type="dxa" w:w="3312"/>
            <w:shd w:fill="FFFFFF"/>
          </w:tcPr>
          <w:p>
            <w:r>
              <w:t>Milestone 1 Handoff (60% to Owner)</w:t>
            </w:r>
          </w:p>
        </w:tc>
        <w:tc>
          <w:tcPr>
            <w:tcW w:type="dxa" w:w="3312"/>
            <w:shd w:fill="FFFFFF"/>
          </w:tcPr>
          <w:p>
            <w:r>
              <w:t>60% of (7,500.00 × 85%)</w:t>
            </w:r>
          </w:p>
        </w:tc>
        <w:tc>
          <w:tcPr>
            <w:tcW w:type="dxa" w:w="3312"/>
            <w:shd w:fill="FFFFFF"/>
          </w:tcPr>
          <w:p>
            <w:r>
              <w:t>SLE 3,825.00</w:t>
            </w:r>
          </w:p>
        </w:tc>
      </w:tr>
      <w:tr>
        <w:tc>
          <w:tcPr>
            <w:tcW w:type="dxa" w:w="3312"/>
            <w:shd w:fill="F9FAFB"/>
          </w:tcPr>
          <w:p>
            <w:r>
              <w:t>Milestone 2 Return (40% to Owner + 100% Deposit)</w:t>
            </w:r>
          </w:p>
        </w:tc>
        <w:tc>
          <w:tcPr>
            <w:tcW w:type="dxa" w:w="3312"/>
            <w:shd w:fill="F9FAFB"/>
          </w:tcPr>
          <w:p>
            <w:r>
              <w:t>40% of (7,500.00 × 85%) + 2,500.00</w:t>
            </w:r>
          </w:p>
        </w:tc>
        <w:tc>
          <w:tcPr>
            <w:tcW w:type="dxa" w:w="3312"/>
            <w:shd w:fill="F9FAFB"/>
          </w:tcPr>
          <w:p>
            <w:r>
              <w:t>SLE 5,050.00 (Owner: 2,550 | Renter: 2,500)</w:t>
            </w:r>
          </w:p>
        </w:tc>
      </w:tr>
    </w:tbl>
    <w:p/>
    <w:p>
      <w:r>
        <w:rPr>
          <w:b/>
        </w:rPr>
        <w:t>B. Vehicle Purchase / Sale Workflow (Earnest Fee + Mechanic QR + SLRSA Title Transfer)</w:t>
        <w:br/>
      </w:r>
      <w:r>
        <w:t>1. Earnest Inspection Fee: Buyer deposits an earnest fee (e.g. SLE 500.00) into escrow to lock the vehicle.</w:t>
        <w:br/>
        <w:t>2. Physical Mechanic Inspection: Certified inspector verifies vehicle condition using a cryptographic dual QR code scan. If passed, the earnest fee applies toward purchase.</w:t>
        <w:br/>
        <w:t>3. Full Escrow Locked: Buyer pays the remaining purchase balance into escrow.</w:t>
        <w:br/>
        <w:t>4. SLRSA Ownership Transfer: Seller and buyer upload official SLRSA Form C and endorsed Vehicle Registration Blue Book. Upon platform admin audit, the net sale amount is released to the seller.</w:t>
      </w:r>
    </w:p>
    <w:p>
      <w:pPr>
        <w:pStyle w:val="Heading1"/>
      </w:pPr>
      <w:r>
        <w:t>3. Finite State Machine &amp; Lifecycle Transitions</w:t>
      </w:r>
    </w:p>
    <w:p>
      <w:r>
        <w:t>The escrow order lifecycle is enforced through a strict deterministic state machine:</w:t>
        <w:br/>
        <w:br/>
        <w:t>• INITIATED: Order created; awaiting payment prompt generation.</w:t>
        <w:br/>
        <w:t>• PENDING_PAYMENT: Mobile money USSD push prompt dispatched to renter/buyer.</w:t>
        <w:br/>
        <w:t>• HELD_IN_ESCROW: 100% of upfront funds received and verified in escrow custody.</w:t>
        <w:br/>
        <w:t>• PARTIALLY_RELEASED: Pre-trip inspection passed; 60% base rental disbursed to owner.</w:t>
        <w:br/>
        <w:t>• POST_INSPECTION_PENDING: Vehicle returned; awaiting return condition sign-off.</w:t>
        <w:br/>
        <w:t>• SETTLED: Final 40% disbursed to owner; deposit refunded to renter.</w:t>
        <w:br/>
        <w:t>• DISPUTED: Damage or discrepancy reported; escrow frozen pending admin adjudication.</w:t>
        <w:br/>
        <w:t>• REFUNDED: Order cancelled prior to handoff or dispute resolved in buyer's favor.</w:t>
      </w:r>
    </w:p>
    <w:p>
      <w:pPr>
        <w:pStyle w:val="Heading1"/>
      </w:pPr>
      <w:r>
        <w:t>4. Production PostgreSQL Database Schema</w:t>
      </w:r>
    </w:p>
    <w:p>
      <w:r>
        <w:t>The database schema enforces relational integrity, auditing, and financial precision across 6 core tables:</w:t>
      </w:r>
    </w:p>
    <w:p>
      <w:pPr>
        <w:pStyle w:val="ListBullet"/>
      </w:pPr>
      <w:r>
        <w:rPr>
          <w:b/>
        </w:rPr>
        <w:t xml:space="preserve">wallets: </w:t>
      </w:r>
      <w:r>
        <w:t>Manages available_balance (withdrawable) vs escrow_balance (locked) with versioning for optimistic/pessimistic locking.</w:t>
      </w:r>
    </w:p>
    <w:p>
      <w:pPr>
        <w:pStyle w:val="ListBullet"/>
      </w:pPr>
      <w:r>
        <w:rPr>
          <w:b/>
        </w:rPr>
        <w:t xml:space="preserve">escrow_orders: </w:t>
      </w:r>
      <w:r>
        <w:t>Tracks order type (rental vs purchase), base amounts, deposits, 60/40 releases, and current lifecycle state.</w:t>
      </w:r>
    </w:p>
    <w:p>
      <w:pPr>
        <w:pStyle w:val="ListBullet"/>
      </w:pPr>
      <w:r>
        <w:rPr>
          <w:b/>
        </w:rPr>
        <w:t xml:space="preserve">vehicle_inspections: </w:t>
      </w:r>
      <w:r>
        <w:t>Captures pre/post trip digital inspections, 6 photo angles, odometer reading, fuel %, and QR verification tokens.</w:t>
      </w:r>
    </w:p>
    <w:p>
      <w:pPr>
        <w:pStyle w:val="ListBullet"/>
      </w:pPr>
      <w:r>
        <w:rPr>
          <w:b/>
        </w:rPr>
        <w:t xml:space="preserve">slrsa_transfer_records: </w:t>
      </w:r>
      <w:r>
        <w:t>Stores SLRSA Blue Book, Form C, and national identification records for title transfers.</w:t>
      </w:r>
    </w:p>
    <w:p>
      <w:pPr>
        <w:pStyle w:val="ListBullet"/>
      </w:pPr>
      <w:r>
        <w:rPr>
          <w:b/>
        </w:rPr>
        <w:t xml:space="preserve">ledger_transactions &amp; ledger_entries: </w:t>
      </w:r>
      <w:r>
        <w:t>Immutable double-entry journal ensuring sum(debit) == sum(credit) for all financial movements.</w:t>
      </w:r>
    </w:p>
    <w:p>
      <w:pPr>
        <w:pStyle w:val="ListBullet"/>
      </w:pPr>
      <w:r>
        <w:rPr>
          <w:b/>
        </w:rPr>
        <w:t xml:space="preserve">telco_webhook_logs: </w:t>
      </w:r>
      <w:r>
        <w:t>Guarantees idempotency and stores raw payloads from Orange Money and Africell.</w:t>
      </w:r>
    </w:p>
    <w:p>
      <w:pPr>
        <w:pStyle w:val="Heading1"/>
      </w:pPr>
      <w:r>
        <w:t>5. End-to-End REST API Endpoints</w:t>
      </w:r>
    </w:p>
    <w:p>
      <w:r>
        <w:rPr>
          <w:b/>
          <w:color w:val="10B981"/>
        </w:rPr>
        <w:t>• POST /api/v1/vehicles/escrow/initiate</w:t>
        <w:br/>
      </w:r>
      <w:r>
        <w:t>Initiates an escrow agreement, calculates the 15% platform commission, and triggers the mobile money payment prompt.</w:t>
      </w:r>
    </w:p>
    <w:p>
      <w:r>
        <w:rPr>
          <w:b/>
          <w:color w:val="10B981"/>
        </w:rPr>
        <w:t>• POST /api/v1/vehicles/inspection/complete</w:t>
        <w:br/>
      </w:r>
      <w:r>
        <w:t>Uploads 6 directional photos, odometer reading, and authenticates physical presence via dual QR code scan.</w:t>
      </w:r>
    </w:p>
    <w:p>
      <w:r>
        <w:rPr>
          <w:b/>
          <w:color w:val="10B981"/>
        </w:rPr>
        <w:t>• POST /api/v1/vehicles/escrow/release-milestone</w:t>
        <w:br/>
      </w:r>
      <w:r>
        <w:t>Executes the 60% handoff disbursement to the vehicle owner upon pre-trip sign-off.</w:t>
      </w:r>
    </w:p>
    <w:p>
      <w:r>
        <w:rPr>
          <w:b/>
          <w:color w:val="10B981"/>
        </w:rPr>
        <w:t>• POST /api/v1/vehicles/escrow/settle-return</w:t>
        <w:br/>
      </w:r>
      <w:r>
        <w:t>Finalizes the rental: disburses the remaining 40% to owner and refunds 100% of damage deposit to renter (or processes damage deductions).</w:t>
      </w:r>
    </w:p>
    <w:p>
      <w:pPr>
        <w:pStyle w:val="Heading1"/>
      </w:pPr>
      <w:r>
        <w:t>6. Telco Integration: Orange Money &amp; Africell Afrimoney</w:t>
      </w:r>
    </w:p>
    <w:p>
      <w:r>
        <w:t>To prevent duplicate payouts or double-spending in high-concurrency environments:</w:t>
        <w:br/>
        <w:t>1. Cryptographic HMAC Verification: All incoming webhook requests are authenticated against shared secrets.</w:t>
        <w:br/>
        <w:t>2. Idempotency Constraint: Callbacks are recorded in telco_webhook_logs with a unique index on (provider, external_transaction_id). Duplicates immediately return HTTP 200 without re-executing.</w:t>
        <w:br/>
        <w:t>3. Pessimistic Row Locking: Wallet rows are locked using SELECT ... FOR UPDATE in deterministic alphabetical order to avoid deadlocks.</w:t>
        <w:br/>
        <w:t>4. Balanced Ledger Posting: Transactions must create matching DEBIT and CREDIT entries or abort the entire database operation.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