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Sustainability Report</w:t>
      </w:r>
    </w:p>
    <w:p>
      <w:r>
        <w:t xml:space="preserve">Executive Summary  </w:t>
      </w:r>
    </w:p>
    <w:p>
      <w:r>
        <w:t xml:space="preserve">In 2023, we advanced our integrated ESG strategy by reducing our environmental footprint, strengthening social outcomes and maintaining rigorous governance. Highlights include:  </w:t>
      </w:r>
    </w:p>
    <w:p>
      <w:r>
        <w:t xml:space="preserve">• Energy &amp; Emissions – Total energy consumption of 12,000 MWh (8,500 MWh electricity; 3,500 MWh fuel), with 35% from renewables. Carbon emissions totaled 4,500 tCO₂ (Scope 1: 1,800 t; Scope 2: 2,300 t; Scope 3: 400 t), yielding a carbon intensity of 0.38 tCO₂/USD 1 million.  </w:t>
      </w:r>
    </w:p>
    <w:p>
      <w:r>
        <w:t xml:space="preserve">• Water &amp; Waste – Water withdrawal fell 8% to 22,000 kL, with 42% recycled (18,000 kL consumed; 14,500 kL discharged). Waste generation declined 11% to 1,200 t (78% recycled; hazardous: 120 t; non‐hazardous: 1,080 t).  </w:t>
      </w:r>
    </w:p>
    <w:p>
      <w:r>
        <w:t xml:space="preserve">• Biodiversity &amp; Buildings – We planted 15,000 native trees and certified 12 facilities under recognized green-building standards.  </w:t>
      </w:r>
    </w:p>
    <w:p>
      <w:r>
        <w:t xml:space="preserve">• Workforce &amp; Community – Our 1,850 employees achieved a 92% retention rate, 88% satisfaction score, 3,200 training hours (17 hrs/employee), and a 0.8 recordable incident rate. Community investment totaled USD 500,000 with 4,200 volunteer hours.  </w:t>
      </w:r>
    </w:p>
    <w:p>
      <w:r>
        <w:t xml:space="preserve">• Governance &amp; Compliance – Board diversity reached 38% (62% independent directors), ESG compliance scored 94%, and ethics training achieved 100% completion.  </w:t>
      </w:r>
    </w:p>
    <w:p>
      <w:r>
        <w:t xml:space="preserve">1. Company Overview  </w:t>
      </w:r>
    </w:p>
    <w:p>
      <w:r>
        <w:t xml:space="preserve">We are an integrated manufacturing, logistics and customer-service provider operating 12 primary sites and engaging 1,850 employees worldwide. In 2023, we served a diverse customer base while embedding sustainability across our value chain.  </w:t>
      </w:r>
    </w:p>
    <w:p>
      <w:r>
        <w:t xml:space="preserve">2. Reporting Boundary &amp; Methodology  </w:t>
      </w:r>
    </w:p>
    <w:p>
      <w:r>
        <w:t xml:space="preserve">Scope – Global operations (manufacturing, logistics, customer service) and major upstream suppliers representing &gt;85% of procurement spend, consolidated on an operational-control basis. Emissions cover Scope 1, 2 (market-based) and selected upstream Scope 3 categories.  </w:t>
      </w:r>
    </w:p>
    <w:p>
      <w:r>
        <w:t xml:space="preserve">Data Collection – Operational data are aggregated monthly via a centralized sustainability management system. Energy and water metrics derive from utility invoices, metering and treatment-plant records; waste figures are provided by certified contractors; social and governance indicators are sourced from our HR and compliance systems.  </w:t>
      </w:r>
    </w:p>
    <w:p>
      <w:r>
        <w:t xml:space="preserve">KPI Calculations – Energy intensity = total energy/employee; water recycling = treated/reused water/withdrawal; GHG emissions follow the GHG Protocol; carbon intensity = total tCO₂/USD 1 million revenue.  </w:t>
      </w:r>
    </w:p>
    <w:p>
      <w:r>
        <w:t xml:space="preserve">Assurance – In 2023, XYZ Audit LLP performed limited assurance over key environmental and social metrics under ISAE 3000 (Revised) and AA1000 standards.  </w:t>
      </w:r>
    </w:p>
    <w:p>
      <w:r>
        <w:t xml:space="preserve">3. Stakeholder Engagement  </w:t>
      </w:r>
    </w:p>
    <w:p>
      <w:r>
        <w:t xml:space="preserve">We engage six core groups—employees, customers, suppliers, investors &amp; regulators, communities and governance bodies—via surveys, workshops, audits and roundtables. Insights inform our materiality assessment, target-setting and disclosure enhancements, notably driving investments in renewable energy, water stewardship, circularity, human capital and data-privacy controls.  </w:t>
      </w:r>
    </w:p>
    <w:p>
      <w:r>
        <w:t xml:space="preserve">4. Environmental Performance  </w:t>
      </w:r>
    </w:p>
    <w:p>
      <w:r>
        <w:t xml:space="preserve">4.1 Energy Management  </w:t>
      </w:r>
    </w:p>
    <w:p>
      <w:r>
        <w:t xml:space="preserve">• Consumption: 12,000 MWh (8,500 MWh electricity; 3,500 MWh fuel)  </w:t>
      </w:r>
    </w:p>
    <w:p>
      <w:r>
        <w:t xml:space="preserve">• Renewable share: 35% (2026 target: 50%)  </w:t>
      </w:r>
    </w:p>
    <w:p>
      <w:r>
        <w:t xml:space="preserve">• Energy intensity: 6.4 MWh/employee (–7% vs. 2022)  </w:t>
      </w:r>
    </w:p>
    <w:p>
      <w:r>
        <w:t xml:space="preserve">4.2 Water Stewardship  </w:t>
      </w:r>
    </w:p>
    <w:p>
      <w:r>
        <w:t xml:space="preserve">• Withdrawal: 22,000 kL (–8% vs. 2022)  </w:t>
      </w:r>
    </w:p>
    <w:p>
      <w:r>
        <w:t xml:space="preserve">• Consumption: 18,000 kL; discharge: 14,500 kL  </w:t>
      </w:r>
    </w:p>
    <w:p>
      <w:r>
        <w:t xml:space="preserve">• Recycling: 42% (2025 target: 50%)  </w:t>
      </w:r>
    </w:p>
    <w:p>
      <w:r>
        <w:t xml:space="preserve">4.3 Carbon Footprint  </w:t>
      </w:r>
    </w:p>
    <w:p>
      <w:r>
        <w:t xml:space="preserve">• Emissions: 4,500 tCO₂ (Scope 1: 1,800 t; Scope 2: 2,300 t; Scope 3: 400 t)  </w:t>
      </w:r>
    </w:p>
    <w:p>
      <w:r>
        <w:t xml:space="preserve">• Carbon intensity: 0.38 tCO₂/USD 1 million (–7% vs. 2022)  </w:t>
      </w:r>
    </w:p>
    <w:p>
      <w:r>
        <w:t xml:space="preserve">4.4 Circular Economy &amp; Waste  </w:t>
      </w:r>
    </w:p>
    <w:p>
      <w:r>
        <w:t xml:space="preserve">• Waste generated: 1,200 t (–11% vs. 2022)  </w:t>
      </w:r>
    </w:p>
    <w:p>
      <w:r>
        <w:t xml:space="preserve">• Recycling rate: 78% (hazardous: 120 t; non-hazardous: 1,080 t)  </w:t>
      </w:r>
    </w:p>
    <w:p>
      <w:r>
        <w:t xml:space="preserve">• Consumables: paper 48 t; plastic 25 t  </w:t>
      </w:r>
    </w:p>
    <w:p>
      <w:r>
        <w:t xml:space="preserve">4.5 Biodiversity &amp; Green Buildings  </w:t>
      </w:r>
    </w:p>
    <w:p>
      <w:r>
        <w:t xml:space="preserve">• Trees planted: 15,000 native species  </w:t>
      </w:r>
    </w:p>
    <w:p>
      <w:r>
        <w:t xml:space="preserve">• Green certifications: 12 facilities under LEED/BREEAM  </w:t>
      </w:r>
    </w:p>
    <w:p>
      <w:r>
        <w:t xml:space="preserve">5. Social Responsibility  </w:t>
      </w:r>
    </w:p>
    <w:p>
      <w:r>
        <w:t xml:space="preserve">5.1 Workforce &amp; Culture  </w:t>
      </w:r>
    </w:p>
    <w:p>
      <w:r>
        <w:t xml:space="preserve">• Headcount: 1,850; diversity: 42%; women in leadership: 31%  </w:t>
      </w:r>
    </w:p>
    <w:p>
      <w:r>
        <w:t xml:space="preserve">• Retention: 92%; voluntary attrition: 8%  </w:t>
      </w:r>
    </w:p>
    <w:p>
      <w:r>
        <w:t xml:space="preserve">• Satisfaction: 88%  </w:t>
      </w:r>
    </w:p>
    <w:p>
      <w:r>
        <w:t xml:space="preserve">5.2 Health, Safety &amp; Well-Being  </w:t>
      </w:r>
    </w:p>
    <w:p>
      <w:r>
        <w:t xml:space="preserve">• Lost-time injuries: 3; recordable incident rate: 0.8 per 200,000 hrs  </w:t>
      </w:r>
    </w:p>
    <w:p>
      <w:r>
        <w:t xml:space="preserve">• Wellness participation: 76%  </w:t>
      </w:r>
    </w:p>
    <w:p>
      <w:r>
        <w:t xml:space="preserve">5.3 Learning &amp; Development  </w:t>
      </w:r>
    </w:p>
    <w:p>
      <w:r>
        <w:t xml:space="preserve">• Training hours: 3,200 (17 hrs/employee)  </w:t>
      </w:r>
    </w:p>
    <w:p>
      <w:r>
        <w:t xml:space="preserve">• Internal promotions: 95  </w:t>
      </w:r>
    </w:p>
    <w:p>
      <w:r>
        <w:t xml:space="preserve">5.4 Community &amp; Supply Chain  </w:t>
      </w:r>
    </w:p>
    <w:p>
      <w:r>
        <w:t xml:space="preserve">• Community investment: USD 500,000; volunteer hours: 4,200  </w:t>
      </w:r>
    </w:p>
    <w:p>
      <w:r>
        <w:t xml:space="preserve">• Supplier-diversity spend: 18%  </w:t>
      </w:r>
    </w:p>
    <w:p>
      <w:r>
        <w:t xml:space="preserve">• Customer satisfaction: 91%  </w:t>
      </w:r>
    </w:p>
    <w:p>
      <w:r>
        <w:t xml:space="preserve">6. Governance &amp; Compliance  </w:t>
      </w:r>
    </w:p>
    <w:p>
      <w:r>
        <w:t xml:space="preserve">• Board composition: 38% diverse; 62% independent directors  </w:t>
      </w:r>
    </w:p>
    <w:p>
      <w:r>
        <w:t xml:space="preserve">• ESG compliance score: 94%; zero regulatory or environmental violations  </w:t>
      </w:r>
    </w:p>
    <w:p>
      <w:r>
        <w:t xml:space="preserve">• Ethics &amp; anti-corruption training: 100% completion  </w:t>
      </w:r>
    </w:p>
    <w:p>
      <w:r>
        <w:t xml:space="preserve">• Data privacy incidents: 0; cybersecurity incidents: 2  </w:t>
      </w:r>
    </w:p>
    <w:p>
      <w:r>
        <w:t xml:space="preserve">7. Risks and Mitigation  </w:t>
      </w:r>
    </w:p>
    <w:p>
      <w:r>
        <w:t xml:space="preserve">1. Climate-related Physical Risk  </w:t>
      </w:r>
    </w:p>
    <w:p>
      <w:r>
        <w:t xml:space="preserve">   – Indicators: energy use 12,000 MWh; Scope 1&amp;2 emissions 4,100 tCO₂  </w:t>
      </w:r>
    </w:p>
    <w:p>
      <w:r>
        <w:t xml:space="preserve">   – Mitigation: climate-resilient designs, renewable acceleration, TCFD scenario analysis  </w:t>
      </w:r>
    </w:p>
    <w:p>
      <w:r>
        <w:t xml:space="preserve">2. Water Scarcity  </w:t>
      </w:r>
    </w:p>
    <w:p>
      <w:r>
        <w:t xml:space="preserve">   – Indicators: 22,000 kL withdrawal; 42% recycling  </w:t>
      </w:r>
    </w:p>
    <w:p>
      <w:r>
        <w:t xml:space="preserve">   – Mitigation: closed-loop systems, rainwater harvesting, watershed partnerships  </w:t>
      </w:r>
    </w:p>
    <w:p>
      <w:r>
        <w:t xml:space="preserve">3. Supply-Chain &amp; Scope 3 Emissions  </w:t>
      </w:r>
    </w:p>
    <w:p>
      <w:r>
        <w:t xml:space="preserve">   – Indicators: 400 tCO₂ Scope 3; 18% diverse-supplier spend  </w:t>
      </w:r>
    </w:p>
    <w:p>
      <w:r>
        <w:t xml:space="preserve">   – Mitigation: ESG procurement criteria, supplier audits &amp; training, diverse-supplier expansion  </w:t>
      </w:r>
    </w:p>
    <w:p>
      <w:r>
        <w:t xml:space="preserve">4. Regulatory &amp; Compliance  </w:t>
      </w:r>
    </w:p>
    <w:p>
      <w:r>
        <w:t xml:space="preserve">   – Indicators: 94% compliance score; zero violations  </w:t>
      </w:r>
    </w:p>
    <w:p>
      <w:r>
        <w:t xml:space="preserve">   – Mitigation: real-time monitoring, policy updates (GRI/SASB), continuous training  </w:t>
      </w:r>
    </w:p>
    <w:p>
      <w:r>
        <w:t xml:space="preserve">5. Cybersecurity &amp; Data Privacy  </w:t>
      </w:r>
    </w:p>
    <w:p>
      <w:r>
        <w:t xml:space="preserve">   – Indicators: 2 cyber incidents; 0 privacy breaches  </w:t>
      </w:r>
    </w:p>
    <w:p>
      <w:r>
        <w:t xml:space="preserve">   – Mitigation: advanced SIEM, penetration testing, ISO 27001 controls  </w:t>
      </w:r>
    </w:p>
    <w:p>
      <w:r>
        <w:t xml:space="preserve">6. Health, Safety &amp; Workforce Stability  </w:t>
      </w:r>
    </w:p>
    <w:p>
      <w:r>
        <w:t xml:space="preserve">   – Indicators: 3 lost-time injuries; retention 92%; satisfaction 88%  </w:t>
      </w:r>
    </w:p>
    <w:p>
      <w:r>
        <w:t xml:space="preserve">   – Mitigation: Behavior-Based Safety programs, mental-health initiatives, mentorship  </w:t>
      </w:r>
    </w:p>
    <w:p>
      <w:r>
        <w:t xml:space="preserve">8. Future Sustainability Roadmap  </w:t>
      </w:r>
    </w:p>
    <w:p>
      <w:r>
        <w:t xml:space="preserve">Climate Action  </w:t>
      </w:r>
    </w:p>
    <w:p>
      <w:r>
        <w:t xml:space="preserve">• Net-Zero: Scopes 1, 2 &amp; major Scope 3 by 2030  </w:t>
      </w:r>
    </w:p>
    <w:p>
      <w:r>
        <w:t xml:space="preserve">• Renewables: 50% by 2026; 75% by 2028; 100% by 2030  </w:t>
      </w:r>
    </w:p>
    <w:p>
      <w:r>
        <w:t xml:space="preserve">• Carbon intensity: 0.30 tCO₂/USD 1 million by 2024; 0.15 t by 2030  </w:t>
      </w:r>
    </w:p>
    <w:p>
      <w:r>
        <w:t xml:space="preserve">• Energy efficiency: &lt;6 MWh/employee by 2025; –10% absolute consumption by 2026  </w:t>
      </w:r>
    </w:p>
    <w:p>
      <w:r>
        <w:t xml:space="preserve">Resource Management  </w:t>
      </w:r>
    </w:p>
    <w:p>
      <w:r>
        <w:t xml:space="preserve">• Water withdrawal: 20,000 kL by 2026 (–10%); recycling 55%  </w:t>
      </w:r>
    </w:p>
    <w:p>
      <w:r>
        <w:t xml:space="preserve">• Single-use plastics phase-out by 2025; paper to 30 t by 2026  </w:t>
      </w:r>
    </w:p>
    <w:p>
      <w:r>
        <w:t xml:space="preserve">• Green buildings: 20 certified sites by 2026  </w:t>
      </w:r>
    </w:p>
    <w:p>
      <w:r>
        <w:t xml:space="preserve">Circular Economy  </w:t>
      </w:r>
    </w:p>
    <w:p>
      <w:r>
        <w:t xml:space="preserve">• Waste generation: –15% by 2026; recycling 90%  </w:t>
      </w:r>
    </w:p>
    <w:p>
      <w:r>
        <w:t xml:space="preserve">• Hazardous waste: –20% by 2026; 100% safe disposal  </w:t>
      </w:r>
    </w:p>
    <w:p>
      <w:r>
        <w:t xml:space="preserve">• Closed-loop pilots for plastic and metal packaging by 2025  </w:t>
      </w:r>
    </w:p>
    <w:p>
      <w:r>
        <w:t xml:space="preserve">Social &amp; Human Capital  </w:t>
      </w:r>
    </w:p>
    <w:p>
      <w:r>
        <w:t xml:space="preserve">• Diversity: 45% overall; 35% women leaders by 2026  </w:t>
      </w:r>
    </w:p>
    <w:p>
      <w:r>
        <w:t xml:space="preserve">• Retention ≥92%; satisfaction 90% by 2025  </w:t>
      </w:r>
    </w:p>
    <w:p>
      <w:r>
        <w:t xml:space="preserve">• Training: 20 hrs/employee; wellness 85% participation  </w:t>
      </w:r>
    </w:p>
    <w:p>
      <w:r>
        <w:t xml:space="preserve">• Safety: recordable incident rate &lt;0.5; zero lost-time injuries by 2026  </w:t>
      </w:r>
    </w:p>
    <w:p>
      <w:r>
        <w:t xml:space="preserve">Community &amp; Supply Chain  </w:t>
      </w:r>
    </w:p>
    <w:p>
      <w:r>
        <w:t xml:space="preserve">• Community investment: USD 600,000; volunteer hours: 5,000 by 2026  </w:t>
      </w:r>
    </w:p>
    <w:p>
      <w:r>
        <w:t xml:space="preserve">• Diverse-supplier spend: 25% by 2026  </w:t>
      </w:r>
    </w:p>
    <w:p>
      <w:r>
        <w:t xml:space="preserve">• Biannual stakeholder roundtables with real-time reporting  </w:t>
      </w:r>
    </w:p>
    <w:p>
      <w:r>
        <w:t xml:space="preserve">Governance &amp; Ethics  </w:t>
      </w:r>
    </w:p>
    <w:p>
      <w:r>
        <w:t xml:space="preserve">• ESG compliance ≥95%; zero violations  </w:t>
      </w:r>
    </w:p>
    <w:p>
      <w:r>
        <w:t xml:space="preserve">• Ethics training: 100%; zero data-privacy incidents; zero cyber breaches by 2026  </w:t>
      </w:r>
    </w:p>
    <w:p>
      <w:r>
        <w:t xml:space="preserve">• Board diversity: 40%; ≥60% independent directors  </w:t>
      </w:r>
    </w:p>
    <w:p>
      <w:r>
        <w:t xml:space="preserve">Innovation &amp; Digitalization  </w:t>
      </w:r>
    </w:p>
    <w:p>
      <w:r>
        <w:t xml:space="preserve">• IoT energy dashboards at all primary sites by Q4 2025  </w:t>
      </w:r>
    </w:p>
    <w:p>
      <w:r>
        <w:t xml:space="preserve">• Blockchain traceability for critical raw materials by 2026  </w:t>
      </w:r>
    </w:p>
    <w:p>
      <w:r>
        <w:t xml:space="preserve">9. Assurance Statement  </w:t>
      </w:r>
    </w:p>
    <w:p>
      <w:r>
        <w:t xml:space="preserve">XYZ Audit LLP performed a limited assurance engagement over selected 2023 ESG data, applying ISAE 3000 (Revised) and AA1000 principles. Coverage included energy, water, emissions, waste, and key social and governance metrics. Based on their procedures, no material misstatements were identified.  </w:t>
      </w:r>
    </w:p>
    <w:p>
      <w:r>
        <w:t xml:space="preserve">10. Conclusion  </w:t>
      </w:r>
    </w:p>
    <w:p>
      <w:r>
        <w:t>Our 2023 results demonstrate significant progress toward our 2026 and 2030 targets. Through ongoing investments in renewable energy, water stewardship, circularity, human capital and governance, we are well positioned to achieve net-zero emissions, minimize resource use, foster inclusive growth and create sustainable value for all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