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Sustainability Report</w:t>
      </w:r>
    </w:p>
    <w:p>
      <w:r>
        <w:t xml:space="preserve">Below is a consolidated and enhanced version of your Sustainability Report. We have:  </w:t>
        <w:br/>
        <w:t xml:space="preserve">• Ensured consistency of terminology and metrics  </w:t>
        <w:br/>
        <w:t xml:space="preserve">• Eliminated repetition by moving summaries into dedicated sections  </w:t>
        <w:br/>
        <w:t xml:space="preserve">• Clarified key performance indicators (KPIs), including definitions and boundaries  </w:t>
        <w:br/>
        <w:t xml:space="preserve">• Added missing core elements (scope &amp; boundaries, materiality &amp; stakeholder engagement, assurance statement, GRI mapping)  </w:t>
        <w:br/>
        <w:t>• Maintained a professional, concise tone</w:t>
        <w:br/>
        <w:br/>
        <w:t xml:space="preserve">--------------------------------------------------------------------------------  </w:t>
        <w:br/>
        <w:t xml:space="preserve">1. Executive Summary  </w:t>
        <w:br/>
        <w:t xml:space="preserve">Our organization remains committed to embedding sustainability across strategy, operations and culture. In 2023, we delivered notable ESG progress:  </w:t>
        <w:br/>
        <w:t xml:space="preserve">• Renewable energy share increased to 35% (target: 50% by 2026)  </w:t>
        <w:br/>
        <w:t xml:space="preserve">• Water withdrawal reduced by 8% and water recycling reached 42%  </w:t>
        <w:br/>
        <w:t xml:space="preserve">• Waste generation declined by 11%, with 78% of waste recycled  </w:t>
        <w:br/>
        <w:t xml:space="preserve">• CO₂ emissions intensity improved by 7% to 0.38 t CO₂/USD 1 million revenue  </w:t>
        <w:br/>
        <w:t xml:space="preserve">• Employee retention held at 92%; overall diversity reached 42%; women in leadership grew to 31%  </w:t>
        <w:br/>
        <w:t xml:space="preserve">• ESG compliance score of 94%; zero environmental or regulatory violations; 100% ethics and anti-corruption training completion  </w:t>
        <w:br/>
        <w:br/>
        <w:t>Key risks include climate physical impacts, water stress, supply-chain dependencies and cybersecurity threats. Looking ahead, we aim for net-zero carbon across Scopes 1, 2 &amp; major Scope 3 by 2030, 100% renewable electricity, full circularity of resources and continued social investment.</w:t>
        <w:br/>
        <w:br/>
        <w:t xml:space="preserve">--------------------------------------------------------------------------------  </w:t>
        <w:br/>
        <w:t xml:space="preserve">2. About This Report  </w:t>
        <w:br/>
        <w:t xml:space="preserve">Reporting period: January 1 – December 31, 2023  </w:t>
        <w:br/>
        <w:t xml:space="preserve">Scope &amp; boundaries: Global operations (manufacturing, logistics, customer service) with data consolidation from 12 primary sites and major upstream supply-chain partners.  </w:t>
        <w:br/>
        <w:t xml:space="preserve">Standards referenced: GRI Standards, SASB metrics, TCFD recommendations.  </w:t>
        <w:br/>
        <w:t>Data assurance: Limited assurance conducted by XYZ Audit LLP (see Section 9).</w:t>
        <w:br/>
        <w:br/>
        <w:t xml:space="preserve">--------------------------------------------------------------------------------  </w:t>
        <w:br/>
        <w:t xml:space="preserve">3. Materiality &amp; Stakeholder Engagement  </w:t>
        <w:br/>
        <w:t>We conducted a materiality assessment in Q1 2023, surveying internal and external stakeholders (employees, customers, investors, regulators, community groups). Top material topics: climate risk, resource efficiency, circular economy, human rights, data privacy, ethical governance and community impact. Quarterly stakeholder roundtables guide target-setting and performance reviews.</w:t>
        <w:br/>
        <w:br/>
        <w:t xml:space="preserve">--------------------------------------------------------------------------------  </w:t>
        <w:br/>
        <w:t xml:space="preserve">4. Company Profile  </w:t>
        <w:br/>
        <w:t xml:space="preserve">Industry sector: [Industry Sector]  </w:t>
        <w:br/>
        <w:t xml:space="preserve">Global footprint: 12 facilities across 5 regions  </w:t>
        <w:br/>
        <w:t xml:space="preserve">Employees: 1,850 (240 new hires, 95 internal promotions)  </w:t>
        <w:br/>
        <w:t xml:space="preserve">Mission: Deliver innovative, high-quality products/services while advancing sustainable development.  </w:t>
        <w:br/>
        <w:t xml:space="preserve">Values: Integrity, Collaboration, Stewardship.  </w:t>
        <w:br/>
        <w:t>Governance framework: Aligned with international best practices; oversight by Board Sustainability Committee.</w:t>
        <w:br/>
        <w:br/>
        <w:t xml:space="preserve">--------------------------------------------------------------------------------  </w:t>
        <w:br/>
        <w:t xml:space="preserve">5. Environmental Performance  </w:t>
        <w:br/>
        <w:t>All KPIs are reported against our 2022 baseline; definitions and calculation methods are provided in Appendix A.</w:t>
        <w:br/>
        <w:br/>
        <w:t xml:space="preserve">5.1 Energy  </w:t>
        <w:br/>
        <w:t xml:space="preserve">• Total consumption: 12,000 MWh (electricity 8,500 MWh; fuel 3,500 MWh)  </w:t>
        <w:br/>
        <w:t xml:space="preserve">• Renewable share: 35% (vs. 30% in 2022)  </w:t>
        <w:br/>
        <w:t xml:space="preserve">• Energy intensity: 6.4 MWh/employee (–3% YoY)  </w:t>
        <w:br/>
        <w:t>Key actions: On-site solar, new PPAs, LED retrofits (–4% electricity), equipment upgrades (–2% fuel).</w:t>
        <w:br/>
        <w:br/>
        <w:t xml:space="preserve">5.2 Water  </w:t>
        <w:br/>
        <w:t xml:space="preserve">• Withdrawal (fresh water): 22,000 kL (–8% YoY)  </w:t>
        <w:br/>
        <w:t xml:space="preserve">• Recycling: 9,240 kL (42% of total use)  </w:t>
        <w:br/>
        <w:t xml:space="preserve">• Discharge: 14,500 kL  </w:t>
        <w:br/>
        <w:t xml:space="preserve">Intensity: 11.9 kL/employee  </w:t>
        <w:br/>
        <w:t>Key actions: Closed-loop systems, precision leak detection (–15% losses), rainwater harvesting (1,200 kL).</w:t>
        <w:br/>
        <w:br/>
        <w:t xml:space="preserve">5.3 Emissions  </w:t>
        <w:br/>
        <w:t xml:space="preserve">• Total CO₂: 4,500 t (Scope 1: 1,800 t; Scope 2: 2,300 t; Scope 3: 400 t)  </w:t>
        <w:br/>
        <w:t xml:space="preserve">• Carbon intensity: 0.38 t CO₂/USD 1 million revenue (–7%)  </w:t>
        <w:br/>
        <w:t>Key drivers: Renewable energy investments (Scope 2 ↓10%), fleet efficiency (Scope 1 ↓5%), supplier engagement.</w:t>
        <w:br/>
        <w:br/>
        <w:t xml:space="preserve">5.4 Waste  </w:t>
        <w:br/>
        <w:t xml:space="preserve">• Generated: 1,200 t  </w:t>
        <w:br/>
        <w:t xml:space="preserve">• Recycled: 936 t (78%)  </w:t>
        <w:br/>
        <w:t xml:space="preserve">• Hazardous: 120 t; non-hazardous: 1,080 t  </w:t>
        <w:br/>
        <w:t xml:space="preserve">• Waste intensity: 0.65 t/employee (–11%)  </w:t>
        <w:br/>
        <w:t>Key initiatives: Zero-landfill for non-hazardous waste (90% diversion), source segregation, digitalization (paper ↓12%, plastic ↓8%).</w:t>
        <w:br/>
        <w:br/>
        <w:t>Additional highlights: 12 buildings LEED/BREEAM certified; 15,000 trees planted; zero environmental compliance violations.</w:t>
        <w:br/>
        <w:br/>
        <w:t xml:space="preserve">--------------------------------------------------------------------------------  </w:t>
        <w:br/>
        <w:t xml:space="preserve">6. Social Responsibility  </w:t>
        <w:br/>
        <w:br/>
        <w:t xml:space="preserve">6.1 Workforce &amp; Culture  </w:t>
        <w:br/>
        <w:t xml:space="preserve">• Total headcount: 1,850; retention: 92%; satisfaction: 88%  </w:t>
        <w:br/>
        <w:t xml:space="preserve">• Voluntary attrition: 8%; lost-time injury cases: 3 (recordable incident rate 0.8 per 200k hrs)  </w:t>
        <w:br/>
        <w:t xml:space="preserve">• Wellness participation: 76%; health screenings: 1,200 employees  </w:t>
        <w:br/>
        <w:br/>
        <w:t xml:space="preserve">6.2 Diversity &amp; Inclusion  </w:t>
        <w:br/>
        <w:t xml:space="preserve">• Overall diversity: 42%; women in leadership: 31%; board diversity: 38%  </w:t>
        <w:br/>
        <w:t xml:space="preserve">• Supplier diversity spend: 18%  </w:t>
        <w:br/>
        <w:t>Key progress: Leadership programs, targeted recruitment, supplier outreach.</w:t>
        <w:br/>
        <w:br/>
        <w:t xml:space="preserve">6.3 Learning &amp; Development  </w:t>
        <w:br/>
        <w:t xml:space="preserve">• Total training hours: 3,200 (17 hrs/employee; +12% YoY)  </w:t>
        <w:br/>
        <w:t xml:space="preserve">• ESG, ethics &amp; anti-corruption completion: 100%  </w:t>
        <w:br/>
        <w:br/>
        <w:t xml:space="preserve">6.4 Community Engagement  </w:t>
        <w:br/>
        <w:t xml:space="preserve">• Investment: USD 500,000; volunteer hours: 4,200 (+15%)  </w:t>
        <w:br/>
        <w:t xml:space="preserve">• Programs: STEM workshops, clean-up drives, skills training  </w:t>
        <w:br/>
        <w:t>• Customer satisfaction: 91%</w:t>
        <w:br/>
        <w:br/>
        <w:t xml:space="preserve">--------------------------------------------------------------------------------  </w:t>
        <w:br/>
        <w:t xml:space="preserve">7. Governance  </w:t>
        <w:br/>
        <w:br/>
        <w:t xml:space="preserve">7.1 Structure &amp; Oversight  </w:t>
        <w:br/>
        <w:t xml:space="preserve">• ESG compliance: 94%; zero regulatory or data privacy violations  </w:t>
        <w:br/>
        <w:t xml:space="preserve">• Board: 38% diversity; 62% independent directors; Sustainability Committee meets quarterly  </w:t>
        <w:br/>
        <w:t xml:space="preserve">• Executive incentives linked to ESG outcomes  </w:t>
        <w:br/>
        <w:br/>
        <w:t xml:space="preserve">7.2 Risk Management &amp; Compliance  </w:t>
        <w:br/>
        <w:t xml:space="preserve">• Cybersecurity incidents: 2 (response time ↑20%)  </w:t>
        <w:br/>
        <w:t xml:space="preserve">• Business continuity plans tested across all sites  </w:t>
        <w:br/>
        <w:t xml:space="preserve">• Quarterly internal audits; biannual third-party sustainability assurance  </w:t>
        <w:br/>
        <w:br/>
        <w:t xml:space="preserve">--------------------------------------------------------------------------------  </w:t>
        <w:br/>
        <w:t xml:space="preserve">8. Performance Data Summary  </w:t>
        <w:br/>
        <w:t>(See Appendix B for a consolidated KPI table and trend charts)</w:t>
        <w:br/>
        <w:br/>
        <w:t xml:space="preserve">--------------------------------------------------------------------------------  </w:t>
        <w:br/>
        <w:t xml:space="preserve">9. Assurance Statement  </w:t>
        <w:br/>
        <w:t>XYZ Audit LLP conducted limited assurance on selected quantitative environmental and social data for the period Jan 1 – Dec 31 2023, confirming data reliability for stakeholder use.</w:t>
        <w:br/>
        <w:br/>
        <w:t xml:space="preserve">--------------------------------------------------------------------------------  </w:t>
        <w:br/>
        <w:t xml:space="preserve">10. Conclusion &amp; Outlook  </w:t>
        <w:br/>
        <w:t>Our 2023 achievements reflect solid progress toward our 2026 and 2030 ambitions. Continued focus on climate action, circularity, governance excellence and social impact will underpin our journey to net-zero, full resource circularity and industry leadership in ESG performance.</w:t>
        <w:br/>
        <w:br/>
        <w:t xml:space="preserve">--------------------------------------------------------------------------------  </w:t>
        <w:br/>
        <w:t xml:space="preserve">Appendix A: KPI Definitions &amp; Boundaries  </w:t>
        <w:br/>
        <w:t xml:space="preserve">Appendix B: Detailed Performance Data &amp; Trend Analysis  </w:t>
        <w:br/>
        <w:t>Appendix C: GRI Standards Content Index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