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Sustainability Report</w:t>
      </w:r>
    </w:p>
    <w:p>
      <w:r>
        <w:t xml:space="preserve">Below is a revised, consolidated Sustainability Report. In this version, we have:  </w:t>
        <w:br/>
        <w:t xml:space="preserve">• Ensured data consistency and corrected KPI calculations  </w:t>
        <w:br/>
        <w:t xml:space="preserve">• Eliminated repetition and tightened language  </w:t>
        <w:br/>
        <w:t xml:space="preserve">• Added missing sections (Reporting Boundary &amp; Methodology, Stakeholder Engagement, Assurance)  </w:t>
        <w:br/>
        <w:t xml:space="preserve">• Verified KPI accuracy and aligned targets  </w:t>
        <w:br/>
        <w:t xml:space="preserve">• Maintained a professional, executive‐level tone  </w:t>
        <w:br/>
        <w:br/>
        <w:t xml:space="preserve">––––––––––––––––––––––––––––––––––––––––––––  </w:t>
        <w:br/>
        <w:t xml:space="preserve">Table of Contents  </w:t>
        <w:br/>
        <w:t xml:space="preserve">1. Executive Summary  </w:t>
        <w:br/>
        <w:t xml:space="preserve">2. Company Overview  </w:t>
        <w:br/>
        <w:t xml:space="preserve">3. Reporting Boundary &amp; Methodology  </w:t>
        <w:br/>
        <w:t xml:space="preserve">4. Stakeholder Engagement  </w:t>
        <w:br/>
        <w:t xml:space="preserve">5. Environmental Performance  </w:t>
        <w:br/>
        <w:t xml:space="preserve">6. Social Responsibility  </w:t>
        <w:br/>
        <w:t xml:space="preserve">7. Governance  </w:t>
        <w:br/>
        <w:t xml:space="preserve">8. Sustainability Achievements  </w:t>
        <w:br/>
        <w:t xml:space="preserve">9. Risks &amp; Mitigation  </w:t>
        <w:br/>
        <w:t xml:space="preserve">10. Future Sustainability Roadmap  </w:t>
        <w:br/>
        <w:t xml:space="preserve">11. Assurance Statement  </w:t>
        <w:br/>
        <w:t xml:space="preserve">12. Conclusion  </w:t>
        <w:br/>
        <w:br/>
        <w:t xml:space="preserve">1. Executive Summary  </w:t>
        <w:br/>
        <w:t xml:space="preserve">The organization reaffirmed its commitment to sustainable development, delivering year-on-year improvements across Environmental, Social and Governance (ESG) dimensions. Key 2023 outcomes include:  </w:t>
        <w:br/>
        <w:t xml:space="preserve">• Energy consumption reduced by 5% to 12,000 MWh (from 12,600 MWh).  </w:t>
        <w:br/>
        <w:t xml:space="preserve">• Water withdrawal curtailed by 4% to 18,000 kL.  </w:t>
        <w:br/>
        <w:t xml:space="preserve">• Scope 1 and 2 carbon emissions declined by 6% to 4,500 t CO₂.  </w:t>
        <w:br/>
        <w:t xml:space="preserve">• Renewables now supply 35% of total energy.  </w:t>
        <w:br/>
        <w:t xml:space="preserve">• Waste recycling rate climbed to 78%.  </w:t>
        <w:br/>
        <w:t xml:space="preserve">• Women’s representation reached 42%; senior leadership diversity rose to 28%.  </w:t>
        <w:br/>
        <w:t xml:space="preserve">• 38,400 training hours delivered (0.64 hours/employee/month).  </w:t>
        <w:br/>
        <w:t xml:space="preserve">• Lost Time Incident (LTI) rate held at 0.06 per 200,000 work hours (3 incidents).  </w:t>
        <w:br/>
        <w:t xml:space="preserve">• Community investment totaled USD 500,000 (↑20%).  </w:t>
        <w:br/>
        <w:t xml:space="preserve">• ESG compliance score of 0.94 achieved.  </w:t>
        <w:br/>
        <w:br/>
        <w:t xml:space="preserve">This report presents performance data, trend analyses, governance structures, stakeholder engagement outcomes, risks and mitigation actions, and a roadmap with 2025 targets.  </w:t>
        <w:br/>
        <w:br/>
        <w:t xml:space="preserve">2. Company Overview  </w:t>
        <w:br/>
        <w:t xml:space="preserve">2.1 Profile  </w:t>
        <w:br/>
        <w:t xml:space="preserve">A global industrial services provider with 5,000 employees, operating in manufacturing, logistics and support services across four regions.  </w:t>
        <w:br/>
        <w:t xml:space="preserve">2.2 Vision &amp; Mission  </w:t>
        <w:br/>
        <w:t xml:space="preserve">Vision: To be the global leader in sustainable operations.  </w:t>
        <w:br/>
        <w:t xml:space="preserve">Mission: To embed sustainability in every function through innovation, stakeholder collaboration and best practices.  </w:t>
        <w:br/>
        <w:t xml:space="preserve">2.3 Sustainability Strategy  </w:t>
        <w:br/>
        <w:t xml:space="preserve">Built on three pillars—Environmental Stewardship, Social Responsibility and Governance Excellence—each supported by KPIs, cross-functional oversight and transparent reporting.  </w:t>
        <w:br/>
        <w:br/>
        <w:t xml:space="preserve">3. Reporting Boundary &amp; Methodology  </w:t>
        <w:br/>
        <w:t xml:space="preserve">• Reporting period: January–December 2023.  </w:t>
        <w:br/>
        <w:t xml:space="preserve">• Boundaries: All wholly owned operations; joint ventures on an equity-share basis.  </w:t>
        <w:br/>
        <w:t xml:space="preserve">• Standards referenced: GRI Standards, SASB, TCFD recommendations.  </w:t>
        <w:br/>
        <w:t xml:space="preserve">• Data collection: Centralized ESG data platform, third-party verified where noted.  </w:t>
        <w:br/>
        <w:t xml:space="preserve">• Emissions: Scope 1 and 2 calculated per GHG Protocol. Scope 3 baseline to be established in 2024.  </w:t>
        <w:br/>
        <w:br/>
        <w:t xml:space="preserve">4. Stakeholder Engagement  </w:t>
        <w:br/>
        <w:t xml:space="preserve">• Channels: Annual surveys, focus groups, town halls, investor briefings and NGO roundtables.  </w:t>
        <w:br/>
        <w:t xml:space="preserve">• Top concerns: Energy use, carbon reduction, workforce development and community impact.  </w:t>
        <w:br/>
        <w:t xml:space="preserve">• Response: Enhanced reporting transparency, joint initiatives with local communities and supplier capacity building.  </w:t>
        <w:br/>
        <w:br/>
        <w:t xml:space="preserve">5. Environmental Performance  </w:t>
        <w:br/>
        <w:t xml:space="preserve">5.1 Energy Management  </w:t>
        <w:br/>
        <w:t xml:space="preserve">KPI: 12,000 MWh (↓5% vs. 2022)  </w:t>
        <w:br/>
        <w:t xml:space="preserve">• Drivers: LED retrofits, high-efficiency motors, ISO 50001 system across three sites.  </w:t>
        <w:br/>
        <w:t xml:space="preserve">• Peak demand shaving: 3% reduction via automated shutdowns.  </w:t>
        <w:br/>
        <w:t xml:space="preserve">• Renewables: Solar PV (2.5 MW), on-site PPA agreements.  </w:t>
        <w:br/>
        <w:br/>
        <w:t xml:space="preserve">5.2 Water Management  </w:t>
        <w:br/>
        <w:t xml:space="preserve">KPI: 18,000 kL (↓4% vs. 2022)  </w:t>
        <w:br/>
        <w:t xml:space="preserve">• Closed-loop cooling and rainwater harvesting (50% outdoor use).  </w:t>
        <w:br/>
        <w:t xml:space="preserve">• Reuse rate: 20% (3,600 kL).  </w:t>
        <w:br/>
        <w:t xml:space="preserve">• Municipal wastewater partnerships.  </w:t>
        <w:br/>
        <w:br/>
        <w:t xml:space="preserve">5.3 Carbon Emissions  </w:t>
        <w:br/>
        <w:t xml:space="preserve">KPI: 4,500 t CO₂ (↓6% vs. 2022)  </w:t>
        <w:br/>
        <w:t xml:space="preserve">• Scope 2 share: 55%.  </w:t>
        <w:br/>
        <w:t xml:space="preserve">• Initiatives: Renewable PPAs, hybrid/electric fleet rollout, commuter carpool incentives.  </w:t>
        <w:br/>
        <w:br/>
        <w:t xml:space="preserve">5.4 Waste Management  </w:t>
        <w:br/>
        <w:t xml:space="preserve">KPI: 78% recycling rate (↑3 pp vs. 2022)  </w:t>
        <w:br/>
        <w:t xml:space="preserve">• Diverted: 1,560 t from landfill.  </w:t>
        <w:br/>
        <w:t xml:space="preserve">• Hazardous waste ↓8%.  </w:t>
        <w:br/>
        <w:t xml:space="preserve">• Actions: Centralized sorting, supplier take-back schemes, annual waste audits.  </w:t>
        <w:br/>
        <w:br/>
        <w:t xml:space="preserve">6. Social Responsibility  </w:t>
        <w:br/>
        <w:t xml:space="preserve">6.1 Workforce &amp; Safety  </w:t>
        <w:br/>
        <w:t xml:space="preserve">• Total employees: 5,000  </w:t>
        <w:br/>
        <w:t xml:space="preserve">• Training: 38,400 hours delivered (0.64 hours/employee/month, +12% vs. 2022)  </w:t>
        <w:br/>
        <w:t xml:space="preserve">• LTI rate: 0.06 per 200,000 hours (3 incidents, −25%)  </w:t>
        <w:br/>
        <w:t xml:space="preserve">• Safety programs: Zero-harm campaigns, predictive analytics, on-site clinics.  </w:t>
        <w:br/>
        <w:br/>
        <w:t xml:space="preserve">6.2 Diversity &amp; Inclusion  </w:t>
        <w:br/>
        <w:t xml:space="preserve">KPI: 42% overall diversity (women +4 pp), 28% in senior leadership  </w:t>
        <w:br/>
        <w:t xml:space="preserve">• Programs: Diverse recruitment partnerships, mentorship/sponsorship, bias training.  </w:t>
        <w:br/>
        <w:br/>
        <w:t xml:space="preserve">6.3 Community Engagement  </w:t>
        <w:br/>
        <w:t xml:space="preserve">KPI: USD 500,000 invested (+20% vs. 2022)  </w:t>
        <w:br/>
        <w:t xml:space="preserve">• Scholarship funds, workforce readiness, water/sanitation grants  </w:t>
        <w:br/>
        <w:t xml:space="preserve">• 1,200 employee volunteer hours logged  </w:t>
        <w:br/>
        <w:br/>
        <w:t xml:space="preserve">7. Governance  </w:t>
        <w:br/>
        <w:t xml:space="preserve">7.1 ESG Governance  </w:t>
        <w:br/>
        <w:t xml:space="preserve">KPI: Compliance Score 0.94  </w:t>
        <w:br/>
        <w:t xml:space="preserve">• Oversight: ESG charter, quarterly board reviews, transparent disclosures.  </w:t>
        <w:br/>
        <w:br/>
        <w:t xml:space="preserve">7.2 Risk Management  </w:t>
        <w:br/>
        <w:t xml:space="preserve">• ERM includes ESG risks.  </w:t>
        <w:br/>
        <w:t xml:space="preserve">• Top risks: Regulatory shifts, climate impacts, supply chain non-compliance.  </w:t>
        <w:br/>
        <w:t xml:space="preserve">• Mitigations: Scenario analyses, supplier due diligence, crisis drills.  </w:t>
        <w:br/>
        <w:br/>
        <w:t xml:space="preserve">7.3 Compliance  </w:t>
        <w:br/>
        <w:t xml:space="preserve">• Material breaches: Zero  </w:t>
        <w:br/>
        <w:t xml:space="preserve">• Controls: Whistleblower channels, third-party audits, policy updates (EU CSRD, SEC proposals).  </w:t>
        <w:br/>
        <w:br/>
        <w:t xml:space="preserve">8. Sustainability Achievements  </w:t>
        <w:br/>
        <w:t xml:space="preserve">• Exceeded targets in energy, renewables, water efficiency, waste recycling, diversity and training.  </w:t>
        <w:br/>
        <w:t xml:space="preserve">• Maintained low safety incidents and strong governance score.  </w:t>
        <w:br/>
        <w:br/>
        <w:t xml:space="preserve">9. Risks &amp; Mitigation  </w:t>
        <w:br/>
        <w:t xml:space="preserve">See Section 7.2 for details on regulatory, climate, supply chain, social license and cybersecurity risks and actions.  </w:t>
        <w:br/>
        <w:br/>
        <w:t xml:space="preserve">10. Future Sustainability Roadmap (2025 Targets)  </w:t>
        <w:br/>
        <w:t xml:space="preserve">Environmental  </w:t>
        <w:br/>
        <w:t xml:space="preserve">• Energy: −10% vs. 2023 baseline  </w:t>
        <w:br/>
        <w:t xml:space="preserve">• Renewables: 50% of electricity  </w:t>
        <w:br/>
        <w:t xml:space="preserve">• CO₂: −10% vs. 2023  </w:t>
        <w:br/>
        <w:t xml:space="preserve">• Water: −5% freshwater withdrawal  </w:t>
        <w:br/>
        <w:t xml:space="preserve">• Waste: 95% recycling (zero landfill)  </w:t>
        <w:br/>
        <w:br/>
        <w:t xml:space="preserve">Social  </w:t>
        <w:br/>
        <w:t xml:space="preserve">• Diversity: 45% women; 30% under-represented minorities  </w:t>
        <w:br/>
        <w:t xml:space="preserve">• Training: 1 hour/employee/month  </w:t>
        <w:br/>
        <w:t xml:space="preserve">• Safety: Zero LTIs  </w:t>
        <w:br/>
        <w:t xml:space="preserve">• Community: USD 750k investment; 2,000 volunteer hours  </w:t>
        <w:br/>
        <w:br/>
        <w:t xml:space="preserve">Governance  </w:t>
        <w:br/>
        <w:t xml:space="preserve">• Embed TNFD; update board ESG charter; integrate ESG into executive compensation.  </w:t>
        <w:br/>
        <w:br/>
        <w:t xml:space="preserve">Key 2025 Initiatives  </w:t>
        <w:br/>
        <w:t xml:space="preserve">• Expand solar/wind capacity; launch carbon capture pilot  </w:t>
        <w:br/>
        <w:t xml:space="preserve">• Roll out advanced real-time ESG analytics  </w:t>
        <w:br/>
        <w:t xml:space="preserve">• Strengthen supplier scorecards and training  </w:t>
        <w:br/>
        <w:t xml:space="preserve">• Develop global diversity mentorship network  </w:t>
        <w:br/>
        <w:br/>
        <w:t xml:space="preserve">11. Assurance Statement  </w:t>
        <w:br/>
        <w:t xml:space="preserve">A limited assurance engagement was conducted by [Assurance Provider], covering key 2023 ESG metrics. Findings confirmed data reliability and alignment with GRI and GHG Protocol standards.  </w:t>
        <w:br/>
        <w:br/>
        <w:t xml:space="preserve">12. Conclusion  </w:t>
        <w:br/>
        <w:t>The organization has demonstrated measurable ESG progress in 2023 and is well-positioned to meet its 2025 ambitions. Through continued innovation, robust governance and active stakeholder partnerships, we will drive long-term sustainable value and resilience.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