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A23EA" w14:textId="77777777" w:rsidR="001253D1" w:rsidRPr="00602E74" w:rsidRDefault="00000000" w:rsidP="00602E74">
      <w:pPr>
        <w:pStyle w:val="Title"/>
        <w:jc w:val="center"/>
        <w:rPr>
          <w:rFonts w:ascii="Times New Roman" w:hAnsi="Times New Roman" w:cs="Times New Roman"/>
          <w:sz w:val="28"/>
          <w:szCs w:val="28"/>
        </w:rPr>
      </w:pPr>
      <w:r w:rsidRPr="00602E74">
        <w:rPr>
          <w:rFonts w:ascii="Times New Roman" w:hAnsi="Times New Roman" w:cs="Times New Roman"/>
          <w:sz w:val="28"/>
          <w:szCs w:val="28"/>
        </w:rPr>
        <w:t>Bank Loan Analysis - Insight Report</w:t>
      </w:r>
    </w:p>
    <w:p w14:paraId="6710B1F4" w14:textId="77777777" w:rsidR="001253D1" w:rsidRPr="00602E74" w:rsidRDefault="00000000">
      <w:pPr>
        <w:pStyle w:val="Heading1"/>
        <w:rPr>
          <w:rFonts w:ascii="Times New Roman" w:hAnsi="Times New Roman" w:cs="Times New Roman"/>
          <w:sz w:val="24"/>
          <w:szCs w:val="24"/>
        </w:rPr>
      </w:pPr>
      <w:r w:rsidRPr="00602E74">
        <w:rPr>
          <w:rFonts w:ascii="Times New Roman" w:hAnsi="Times New Roman" w:cs="Times New Roman"/>
          <w:sz w:val="24"/>
          <w:szCs w:val="24"/>
        </w:rPr>
        <w:t>Problem Statement</w:t>
      </w:r>
    </w:p>
    <w:p w14:paraId="0687D7DA" w14:textId="77777777" w:rsidR="001253D1" w:rsidRPr="00602E74" w:rsidRDefault="00000000">
      <w:pPr>
        <w:rPr>
          <w:rFonts w:ascii="Times New Roman" w:hAnsi="Times New Roman" w:cs="Times New Roman"/>
          <w:sz w:val="24"/>
          <w:szCs w:val="24"/>
        </w:rPr>
      </w:pPr>
      <w:r w:rsidRPr="00602E74">
        <w:rPr>
          <w:rFonts w:ascii="Times New Roman" w:hAnsi="Times New Roman" w:cs="Times New Roman"/>
          <w:sz w:val="24"/>
          <w:szCs w:val="24"/>
        </w:rPr>
        <w:t>Financial institutions face challenges in monitoring loan portfolios, distinguishing between good and bad loans, and assessing repayment patterns. Without clear visibility into loan performance, lenders struggle to minimize risks, optimize interest rates, and make informed credit decisions.</w:t>
      </w:r>
    </w:p>
    <w:p w14:paraId="2470837D" w14:textId="77777777" w:rsidR="001253D1" w:rsidRPr="00602E74" w:rsidRDefault="00000000">
      <w:pPr>
        <w:pStyle w:val="Heading1"/>
        <w:rPr>
          <w:rFonts w:ascii="Times New Roman" w:hAnsi="Times New Roman" w:cs="Times New Roman"/>
          <w:sz w:val="24"/>
          <w:szCs w:val="24"/>
        </w:rPr>
      </w:pPr>
      <w:r w:rsidRPr="00602E74">
        <w:rPr>
          <w:rFonts w:ascii="Times New Roman" w:hAnsi="Times New Roman" w:cs="Times New Roman"/>
          <w:sz w:val="24"/>
          <w:szCs w:val="24"/>
        </w:rPr>
        <w:t>Dashboard Objective</w:t>
      </w:r>
    </w:p>
    <w:p w14:paraId="0B711C38" w14:textId="77777777" w:rsidR="001253D1" w:rsidRDefault="00000000">
      <w:pPr>
        <w:rPr>
          <w:rFonts w:ascii="Times New Roman" w:hAnsi="Times New Roman" w:cs="Times New Roman"/>
          <w:sz w:val="24"/>
          <w:szCs w:val="24"/>
        </w:rPr>
      </w:pPr>
      <w:r w:rsidRPr="00602E74">
        <w:rPr>
          <w:rFonts w:ascii="Times New Roman" w:hAnsi="Times New Roman" w:cs="Times New Roman"/>
          <w:sz w:val="24"/>
          <w:szCs w:val="24"/>
        </w:rPr>
        <w:t>The Power BI dashboard was designed to:</w:t>
      </w:r>
      <w:r w:rsidRPr="00602E74">
        <w:rPr>
          <w:rFonts w:ascii="Times New Roman" w:hAnsi="Times New Roman" w:cs="Times New Roman"/>
          <w:sz w:val="24"/>
          <w:szCs w:val="24"/>
        </w:rPr>
        <w:br/>
        <w:t>- Track loan application trends over time.</w:t>
      </w:r>
      <w:r w:rsidRPr="00602E74">
        <w:rPr>
          <w:rFonts w:ascii="Times New Roman" w:hAnsi="Times New Roman" w:cs="Times New Roman"/>
          <w:sz w:val="24"/>
          <w:szCs w:val="24"/>
        </w:rPr>
        <w:br/>
        <w:t>- Measure funded vs. received amounts.</w:t>
      </w:r>
      <w:r w:rsidRPr="00602E74">
        <w:rPr>
          <w:rFonts w:ascii="Times New Roman" w:hAnsi="Times New Roman" w:cs="Times New Roman"/>
          <w:sz w:val="24"/>
          <w:szCs w:val="24"/>
        </w:rPr>
        <w:br/>
        <w:t>- Analyze borrower demographics (employment length, home ownership, purpose).</w:t>
      </w:r>
      <w:r w:rsidRPr="00602E74">
        <w:rPr>
          <w:rFonts w:ascii="Times New Roman" w:hAnsi="Times New Roman" w:cs="Times New Roman"/>
          <w:sz w:val="24"/>
          <w:szCs w:val="24"/>
        </w:rPr>
        <w:br/>
        <w:t>- Compare good vs. bad loans and repayment performance.</w:t>
      </w:r>
      <w:r w:rsidRPr="00602E74">
        <w:rPr>
          <w:rFonts w:ascii="Times New Roman" w:hAnsi="Times New Roman" w:cs="Times New Roman"/>
          <w:sz w:val="24"/>
          <w:szCs w:val="24"/>
        </w:rPr>
        <w:br/>
        <w:t>- Support decision-making through state-wise, grade-wise, and term-wise insights.</w:t>
      </w:r>
    </w:p>
    <w:p w14:paraId="547C2982" w14:textId="04BB99D9" w:rsidR="00602E74" w:rsidRPr="00602E74" w:rsidRDefault="00602E74" w:rsidP="00602E74">
      <w:pPr>
        <w:rPr>
          <w:rFonts w:ascii="Times New Roman" w:hAnsi="Times New Roman" w:cs="Times New Roman"/>
          <w:b/>
          <w:bCs/>
          <w:color w:val="4F81BD" w:themeColor="accent1"/>
          <w:sz w:val="24"/>
          <w:szCs w:val="24"/>
          <w:lang w:val="en-IN"/>
        </w:rPr>
      </w:pPr>
      <w:r w:rsidRPr="00602E74">
        <w:rPr>
          <w:rFonts w:ascii="Times New Roman" w:hAnsi="Times New Roman" w:cs="Times New Roman"/>
          <w:b/>
          <w:bCs/>
          <w:color w:val="4F81BD" w:themeColor="accent1"/>
          <w:sz w:val="24"/>
          <w:szCs w:val="24"/>
          <w:lang w:val="en-IN"/>
        </w:rPr>
        <w:t>Project Objectives</w:t>
      </w:r>
    </w:p>
    <w:p w14:paraId="3A51527E" w14:textId="77777777" w:rsidR="00602E74" w:rsidRPr="00602E74" w:rsidRDefault="00602E74" w:rsidP="00602E74">
      <w:pPr>
        <w:numPr>
          <w:ilvl w:val="0"/>
          <w:numId w:val="10"/>
        </w:numPr>
        <w:rPr>
          <w:rFonts w:ascii="Times New Roman" w:hAnsi="Times New Roman" w:cs="Times New Roman"/>
          <w:sz w:val="24"/>
          <w:szCs w:val="24"/>
          <w:lang w:val="en-IN"/>
        </w:rPr>
      </w:pPr>
      <w:r w:rsidRPr="00602E74">
        <w:rPr>
          <w:rFonts w:ascii="Times New Roman" w:hAnsi="Times New Roman" w:cs="Times New Roman"/>
          <w:sz w:val="24"/>
          <w:szCs w:val="24"/>
          <w:lang w:val="en-IN"/>
        </w:rPr>
        <w:t>Risk Assessment – Identify proportions of good vs. bad loans.</w:t>
      </w:r>
    </w:p>
    <w:p w14:paraId="5CD685B0" w14:textId="77777777" w:rsidR="00602E74" w:rsidRPr="00602E74" w:rsidRDefault="00602E74" w:rsidP="00602E74">
      <w:pPr>
        <w:numPr>
          <w:ilvl w:val="0"/>
          <w:numId w:val="10"/>
        </w:numPr>
        <w:rPr>
          <w:rFonts w:ascii="Times New Roman" w:hAnsi="Times New Roman" w:cs="Times New Roman"/>
          <w:sz w:val="24"/>
          <w:szCs w:val="24"/>
          <w:lang w:val="en-IN"/>
        </w:rPr>
      </w:pPr>
      <w:r w:rsidRPr="00602E74">
        <w:rPr>
          <w:rFonts w:ascii="Times New Roman" w:hAnsi="Times New Roman" w:cs="Times New Roman"/>
          <w:sz w:val="24"/>
          <w:szCs w:val="24"/>
          <w:lang w:val="en-IN"/>
        </w:rPr>
        <w:t>Performance Tracking – Measure funded vs. received amounts.</w:t>
      </w:r>
    </w:p>
    <w:p w14:paraId="2CD38994" w14:textId="77777777" w:rsidR="00602E74" w:rsidRPr="00602E74" w:rsidRDefault="00602E74" w:rsidP="00602E74">
      <w:pPr>
        <w:numPr>
          <w:ilvl w:val="0"/>
          <w:numId w:val="10"/>
        </w:numPr>
        <w:rPr>
          <w:rFonts w:ascii="Times New Roman" w:hAnsi="Times New Roman" w:cs="Times New Roman"/>
          <w:sz w:val="24"/>
          <w:szCs w:val="24"/>
          <w:lang w:val="en-IN"/>
        </w:rPr>
      </w:pPr>
      <w:r w:rsidRPr="00602E74">
        <w:rPr>
          <w:rFonts w:ascii="Times New Roman" w:hAnsi="Times New Roman" w:cs="Times New Roman"/>
          <w:sz w:val="24"/>
          <w:szCs w:val="24"/>
          <w:lang w:val="en-IN"/>
        </w:rPr>
        <w:t xml:space="preserve">Demographic Insights – Understand repayment </w:t>
      </w:r>
      <w:proofErr w:type="spellStart"/>
      <w:r w:rsidRPr="00602E74">
        <w:rPr>
          <w:rFonts w:ascii="Times New Roman" w:hAnsi="Times New Roman" w:cs="Times New Roman"/>
          <w:sz w:val="24"/>
          <w:szCs w:val="24"/>
          <w:lang w:val="en-IN"/>
        </w:rPr>
        <w:t>behavior</w:t>
      </w:r>
      <w:proofErr w:type="spellEnd"/>
      <w:r w:rsidRPr="00602E74">
        <w:rPr>
          <w:rFonts w:ascii="Times New Roman" w:hAnsi="Times New Roman" w:cs="Times New Roman"/>
          <w:sz w:val="24"/>
          <w:szCs w:val="24"/>
          <w:lang w:val="en-IN"/>
        </w:rPr>
        <w:t xml:space="preserve"> by employment, purpose, and ownership.</w:t>
      </w:r>
    </w:p>
    <w:p w14:paraId="4A51C809" w14:textId="77777777" w:rsidR="00602E74" w:rsidRPr="00602E74" w:rsidRDefault="00602E74" w:rsidP="00602E74">
      <w:pPr>
        <w:numPr>
          <w:ilvl w:val="0"/>
          <w:numId w:val="10"/>
        </w:numPr>
        <w:rPr>
          <w:rFonts w:ascii="Times New Roman" w:hAnsi="Times New Roman" w:cs="Times New Roman"/>
          <w:sz w:val="24"/>
          <w:szCs w:val="24"/>
          <w:lang w:val="en-IN"/>
        </w:rPr>
      </w:pPr>
      <w:r w:rsidRPr="00602E74">
        <w:rPr>
          <w:rFonts w:ascii="Times New Roman" w:hAnsi="Times New Roman" w:cs="Times New Roman"/>
          <w:sz w:val="24"/>
          <w:szCs w:val="24"/>
          <w:lang w:val="en-IN"/>
        </w:rPr>
        <w:t>Geographical Analysis – Map loan distribution across states.</w:t>
      </w:r>
    </w:p>
    <w:p w14:paraId="3E73CFDF" w14:textId="77777777" w:rsidR="00602E74" w:rsidRPr="00602E74" w:rsidRDefault="00602E74" w:rsidP="00602E74">
      <w:pPr>
        <w:numPr>
          <w:ilvl w:val="0"/>
          <w:numId w:val="10"/>
        </w:numPr>
        <w:rPr>
          <w:rFonts w:ascii="Times New Roman" w:hAnsi="Times New Roman" w:cs="Times New Roman"/>
          <w:sz w:val="24"/>
          <w:szCs w:val="24"/>
          <w:lang w:val="en-IN"/>
        </w:rPr>
      </w:pPr>
      <w:r w:rsidRPr="00602E74">
        <w:rPr>
          <w:rFonts w:ascii="Times New Roman" w:hAnsi="Times New Roman" w:cs="Times New Roman"/>
          <w:sz w:val="24"/>
          <w:szCs w:val="24"/>
          <w:lang w:val="en-IN"/>
        </w:rPr>
        <w:t>Decision Support – Provide insights for credit policy and portfolio optimization.</w:t>
      </w:r>
    </w:p>
    <w:p w14:paraId="426CABFB" w14:textId="77777777" w:rsidR="00602E74" w:rsidRPr="00602E74" w:rsidRDefault="00602E74">
      <w:pPr>
        <w:rPr>
          <w:rFonts w:ascii="Times New Roman" w:hAnsi="Times New Roman" w:cs="Times New Roman"/>
          <w:sz w:val="24"/>
          <w:szCs w:val="24"/>
        </w:rPr>
      </w:pPr>
    </w:p>
    <w:p w14:paraId="0D54409A" w14:textId="77777777" w:rsidR="001253D1" w:rsidRPr="00602E74" w:rsidRDefault="00000000">
      <w:pPr>
        <w:pStyle w:val="Heading1"/>
        <w:rPr>
          <w:rFonts w:ascii="Times New Roman" w:hAnsi="Times New Roman" w:cs="Times New Roman"/>
          <w:sz w:val="24"/>
          <w:szCs w:val="24"/>
        </w:rPr>
      </w:pPr>
      <w:r w:rsidRPr="00602E74">
        <w:rPr>
          <w:rFonts w:ascii="Times New Roman" w:hAnsi="Times New Roman" w:cs="Times New Roman"/>
          <w:sz w:val="24"/>
          <w:szCs w:val="24"/>
        </w:rPr>
        <w:t>Key Insights</w:t>
      </w:r>
    </w:p>
    <w:p w14:paraId="743F0685" w14:textId="77777777" w:rsidR="001253D1" w:rsidRPr="00602E74" w:rsidRDefault="00000000">
      <w:pPr>
        <w:pStyle w:val="Heading2"/>
        <w:rPr>
          <w:rFonts w:ascii="Times New Roman" w:hAnsi="Times New Roman" w:cs="Times New Roman"/>
          <w:sz w:val="24"/>
          <w:szCs w:val="24"/>
        </w:rPr>
      </w:pPr>
      <w:r w:rsidRPr="00602E74">
        <w:rPr>
          <w:rFonts w:ascii="Times New Roman" w:hAnsi="Times New Roman" w:cs="Times New Roman"/>
          <w:sz w:val="24"/>
          <w:szCs w:val="24"/>
        </w:rPr>
        <w:t>1. Loan Quality</w:t>
      </w:r>
    </w:p>
    <w:p w14:paraId="30EA0D76" w14:textId="734B1992" w:rsidR="001253D1" w:rsidRPr="00602E74" w:rsidRDefault="00602E74">
      <w:pPr>
        <w:rPr>
          <w:rFonts w:ascii="Times New Roman" w:hAnsi="Times New Roman" w:cs="Times New Roman"/>
          <w:sz w:val="24"/>
          <w:szCs w:val="24"/>
        </w:rPr>
      </w:pPr>
      <w:r>
        <w:rPr>
          <w:rFonts w:ascii="Segoe UI Emoji" w:hAnsi="Segoe UI Emoji" w:cs="Segoe UI Emoji"/>
          <w:sz w:val="24"/>
          <w:szCs w:val="24"/>
        </w:rPr>
        <w:t>-</w:t>
      </w:r>
      <w:r w:rsidR="00000000" w:rsidRPr="00602E74">
        <w:rPr>
          <w:rFonts w:ascii="Times New Roman" w:hAnsi="Times New Roman" w:cs="Times New Roman"/>
          <w:sz w:val="24"/>
          <w:szCs w:val="24"/>
        </w:rPr>
        <w:t xml:space="preserve"> Good Loans form 86.2% of total applications (~33.2K).</w:t>
      </w:r>
      <w:r w:rsidR="00000000" w:rsidRPr="00602E74">
        <w:rPr>
          <w:rFonts w:ascii="Times New Roman" w:hAnsi="Times New Roman" w:cs="Times New Roman"/>
          <w:sz w:val="24"/>
          <w:szCs w:val="24"/>
        </w:rPr>
        <w:br/>
      </w:r>
      <w:r>
        <w:rPr>
          <w:rFonts w:ascii="Segoe UI Emoji" w:hAnsi="Segoe UI Emoji" w:cs="Segoe UI Emoji"/>
          <w:sz w:val="24"/>
          <w:szCs w:val="24"/>
        </w:rPr>
        <w:t>-</w:t>
      </w:r>
      <w:r w:rsidR="00000000" w:rsidRPr="00602E74">
        <w:rPr>
          <w:rFonts w:ascii="Times New Roman" w:hAnsi="Times New Roman" w:cs="Times New Roman"/>
          <w:sz w:val="24"/>
          <w:szCs w:val="24"/>
        </w:rPr>
        <w:t xml:space="preserve"> Bad Loans account for 13.8% (~5.3K), highlighting potential risk exposure.</w:t>
      </w:r>
    </w:p>
    <w:p w14:paraId="1E132623" w14:textId="77777777" w:rsidR="001253D1" w:rsidRPr="00602E74" w:rsidRDefault="00000000">
      <w:pPr>
        <w:pStyle w:val="Heading2"/>
        <w:rPr>
          <w:rFonts w:ascii="Times New Roman" w:hAnsi="Times New Roman" w:cs="Times New Roman"/>
          <w:sz w:val="24"/>
          <w:szCs w:val="24"/>
        </w:rPr>
      </w:pPr>
      <w:r w:rsidRPr="00602E74">
        <w:rPr>
          <w:rFonts w:ascii="Times New Roman" w:hAnsi="Times New Roman" w:cs="Times New Roman"/>
          <w:sz w:val="24"/>
          <w:szCs w:val="24"/>
        </w:rPr>
        <w:t>2. Financial Performance</w:t>
      </w:r>
    </w:p>
    <w:p w14:paraId="5FAABE04" w14:textId="77777777" w:rsidR="001253D1" w:rsidRPr="00602E74" w:rsidRDefault="00000000">
      <w:pPr>
        <w:rPr>
          <w:rFonts w:ascii="Times New Roman" w:hAnsi="Times New Roman" w:cs="Times New Roman"/>
          <w:sz w:val="24"/>
          <w:szCs w:val="24"/>
        </w:rPr>
      </w:pPr>
      <w:r w:rsidRPr="00602E74">
        <w:rPr>
          <w:rFonts w:ascii="Times New Roman" w:hAnsi="Times New Roman" w:cs="Times New Roman"/>
          <w:sz w:val="24"/>
          <w:szCs w:val="24"/>
        </w:rPr>
        <w:t>- Total Funded Amount: $435.76M</w:t>
      </w:r>
      <w:r w:rsidRPr="00602E74">
        <w:rPr>
          <w:rFonts w:ascii="Times New Roman" w:hAnsi="Times New Roman" w:cs="Times New Roman"/>
          <w:sz w:val="24"/>
          <w:szCs w:val="24"/>
        </w:rPr>
        <w:br/>
        <w:t>- Total Amount Received: $473.07M (higher recovery than disbursal, showing effective repayments).</w:t>
      </w:r>
      <w:r w:rsidRPr="00602E74">
        <w:rPr>
          <w:rFonts w:ascii="Times New Roman" w:hAnsi="Times New Roman" w:cs="Times New Roman"/>
          <w:sz w:val="24"/>
          <w:szCs w:val="24"/>
        </w:rPr>
        <w:br/>
      </w:r>
      <w:r w:rsidRPr="00602E74">
        <w:rPr>
          <w:rFonts w:ascii="Times New Roman" w:hAnsi="Times New Roman" w:cs="Times New Roman"/>
          <w:sz w:val="24"/>
          <w:szCs w:val="24"/>
        </w:rPr>
        <w:lastRenderedPageBreak/>
        <w:t>- Average Interest Rate: 12.05%</w:t>
      </w:r>
      <w:r w:rsidRPr="00602E74">
        <w:rPr>
          <w:rFonts w:ascii="Times New Roman" w:hAnsi="Times New Roman" w:cs="Times New Roman"/>
          <w:sz w:val="24"/>
          <w:szCs w:val="24"/>
        </w:rPr>
        <w:br/>
        <w:t>- Average Debt-to-Income (DTI): 13.33%</w:t>
      </w:r>
    </w:p>
    <w:p w14:paraId="34488D39" w14:textId="77777777" w:rsidR="001253D1" w:rsidRPr="00602E74" w:rsidRDefault="00000000">
      <w:pPr>
        <w:pStyle w:val="Heading2"/>
        <w:rPr>
          <w:rFonts w:ascii="Times New Roman" w:hAnsi="Times New Roman" w:cs="Times New Roman"/>
          <w:sz w:val="24"/>
          <w:szCs w:val="24"/>
        </w:rPr>
      </w:pPr>
      <w:r w:rsidRPr="00602E74">
        <w:rPr>
          <w:rFonts w:ascii="Times New Roman" w:hAnsi="Times New Roman" w:cs="Times New Roman"/>
          <w:sz w:val="24"/>
          <w:szCs w:val="24"/>
        </w:rPr>
        <w:t>3. Loan Status Analysis</w:t>
      </w:r>
    </w:p>
    <w:p w14:paraId="5E5EA184" w14:textId="77777777" w:rsidR="001253D1" w:rsidRPr="00602E74" w:rsidRDefault="00000000">
      <w:pPr>
        <w:rPr>
          <w:rFonts w:ascii="Times New Roman" w:hAnsi="Times New Roman" w:cs="Times New Roman"/>
          <w:sz w:val="24"/>
          <w:szCs w:val="24"/>
        </w:rPr>
      </w:pPr>
      <w:r w:rsidRPr="00602E74">
        <w:rPr>
          <w:rFonts w:ascii="Times New Roman" w:hAnsi="Times New Roman" w:cs="Times New Roman"/>
          <w:sz w:val="24"/>
          <w:szCs w:val="24"/>
        </w:rPr>
        <w:t>- Fully Paid: ~83% of loans ($3.51B funded, $4.11B received).</w:t>
      </w:r>
      <w:r w:rsidRPr="00602E74">
        <w:rPr>
          <w:rFonts w:ascii="Times New Roman" w:hAnsi="Times New Roman" w:cs="Times New Roman"/>
          <w:sz w:val="24"/>
          <w:szCs w:val="24"/>
        </w:rPr>
        <w:br/>
        <w:t>- Charged Off: $65.5M funded, only $37.3M recovered (major risk area).</w:t>
      </w:r>
      <w:r w:rsidRPr="00602E74">
        <w:rPr>
          <w:rFonts w:ascii="Times New Roman" w:hAnsi="Times New Roman" w:cs="Times New Roman"/>
          <w:sz w:val="24"/>
          <w:szCs w:val="24"/>
        </w:rPr>
        <w:br/>
        <w:t>- Current: $188.6M funded, $242M expected recovery.</w:t>
      </w:r>
    </w:p>
    <w:p w14:paraId="6F672EAD" w14:textId="77777777" w:rsidR="001253D1" w:rsidRPr="00602E74" w:rsidRDefault="00000000">
      <w:pPr>
        <w:pStyle w:val="Heading2"/>
        <w:rPr>
          <w:rFonts w:ascii="Times New Roman" w:hAnsi="Times New Roman" w:cs="Times New Roman"/>
          <w:sz w:val="24"/>
          <w:szCs w:val="24"/>
        </w:rPr>
      </w:pPr>
      <w:r w:rsidRPr="00602E74">
        <w:rPr>
          <w:rFonts w:ascii="Times New Roman" w:hAnsi="Times New Roman" w:cs="Times New Roman"/>
          <w:sz w:val="24"/>
          <w:szCs w:val="24"/>
        </w:rPr>
        <w:t>4. Demographic Insights</w:t>
      </w:r>
    </w:p>
    <w:p w14:paraId="64768800" w14:textId="77777777" w:rsidR="001253D1" w:rsidRPr="00602E74" w:rsidRDefault="00000000">
      <w:pPr>
        <w:rPr>
          <w:rFonts w:ascii="Times New Roman" w:hAnsi="Times New Roman" w:cs="Times New Roman"/>
          <w:sz w:val="24"/>
          <w:szCs w:val="24"/>
        </w:rPr>
      </w:pPr>
      <w:r w:rsidRPr="00602E74">
        <w:rPr>
          <w:rFonts w:ascii="Times New Roman" w:hAnsi="Times New Roman" w:cs="Times New Roman"/>
          <w:sz w:val="24"/>
          <w:szCs w:val="24"/>
        </w:rPr>
        <w:t>- Loan Purpose: Debt consolidation dominates ($0.23B received).</w:t>
      </w:r>
      <w:r w:rsidRPr="00602E74">
        <w:rPr>
          <w:rFonts w:ascii="Times New Roman" w:hAnsi="Times New Roman" w:cs="Times New Roman"/>
          <w:sz w:val="24"/>
          <w:szCs w:val="24"/>
        </w:rPr>
        <w:br/>
        <w:t>- Home Ownership: Mortgage holders received the highest funds ($238M).</w:t>
      </w:r>
      <w:r w:rsidRPr="00602E74">
        <w:rPr>
          <w:rFonts w:ascii="Times New Roman" w:hAnsi="Times New Roman" w:cs="Times New Roman"/>
          <w:sz w:val="24"/>
          <w:szCs w:val="24"/>
        </w:rPr>
        <w:br/>
        <w:t>- Tenure: 36-month loans are more popular (62.3% of total received).</w:t>
      </w:r>
      <w:r w:rsidRPr="00602E74">
        <w:rPr>
          <w:rFonts w:ascii="Times New Roman" w:hAnsi="Times New Roman" w:cs="Times New Roman"/>
          <w:sz w:val="24"/>
          <w:szCs w:val="24"/>
        </w:rPr>
        <w:br/>
        <w:t>- Employment Length: Borrowers with 10+ years of experience contributed the highest repayments.</w:t>
      </w:r>
    </w:p>
    <w:p w14:paraId="324C4A3B" w14:textId="77777777" w:rsidR="001253D1" w:rsidRPr="00602E74" w:rsidRDefault="00000000">
      <w:pPr>
        <w:pStyle w:val="Heading2"/>
        <w:rPr>
          <w:rFonts w:ascii="Times New Roman" w:hAnsi="Times New Roman" w:cs="Times New Roman"/>
          <w:sz w:val="24"/>
          <w:szCs w:val="24"/>
        </w:rPr>
      </w:pPr>
      <w:r w:rsidRPr="00602E74">
        <w:rPr>
          <w:rFonts w:ascii="Times New Roman" w:hAnsi="Times New Roman" w:cs="Times New Roman"/>
          <w:sz w:val="24"/>
          <w:szCs w:val="24"/>
        </w:rPr>
        <w:t>5. Geographical Trends</w:t>
      </w:r>
    </w:p>
    <w:p w14:paraId="33C8984B" w14:textId="77777777" w:rsidR="001253D1" w:rsidRDefault="00000000">
      <w:pPr>
        <w:rPr>
          <w:rFonts w:ascii="Times New Roman" w:hAnsi="Times New Roman" w:cs="Times New Roman"/>
          <w:sz w:val="24"/>
          <w:szCs w:val="24"/>
        </w:rPr>
      </w:pPr>
      <w:r w:rsidRPr="00602E74">
        <w:rPr>
          <w:rFonts w:ascii="Times New Roman" w:hAnsi="Times New Roman" w:cs="Times New Roman"/>
          <w:sz w:val="24"/>
          <w:szCs w:val="24"/>
        </w:rPr>
        <w:t>- States like CA, NY, TX, and FL contribute the largest loan volumes.</w:t>
      </w:r>
    </w:p>
    <w:p w14:paraId="2D505BFB" w14:textId="639DF9AE" w:rsidR="00602E74" w:rsidRPr="00602E74" w:rsidRDefault="00602E74" w:rsidP="00602E74">
      <w:pPr>
        <w:rPr>
          <w:rFonts w:ascii="Times New Roman" w:hAnsi="Times New Roman" w:cs="Times New Roman"/>
          <w:b/>
          <w:bCs/>
          <w:color w:val="4F81BD" w:themeColor="accent1"/>
          <w:sz w:val="24"/>
          <w:szCs w:val="24"/>
          <w:lang w:val="en-IN"/>
        </w:rPr>
      </w:pPr>
      <w:r w:rsidRPr="00602E74">
        <w:rPr>
          <w:rFonts w:ascii="Times New Roman" w:hAnsi="Times New Roman" w:cs="Times New Roman"/>
          <w:b/>
          <w:bCs/>
          <w:color w:val="4F81BD" w:themeColor="accent1"/>
          <w:sz w:val="24"/>
          <w:szCs w:val="24"/>
          <w:lang w:val="en-IN"/>
        </w:rPr>
        <w:t>Use Cases</w:t>
      </w:r>
    </w:p>
    <w:p w14:paraId="7EE588DE" w14:textId="77777777" w:rsidR="00602E74" w:rsidRPr="00602E74" w:rsidRDefault="00602E74" w:rsidP="00602E74">
      <w:pPr>
        <w:numPr>
          <w:ilvl w:val="0"/>
          <w:numId w:val="11"/>
        </w:numPr>
        <w:rPr>
          <w:rFonts w:ascii="Times New Roman" w:hAnsi="Times New Roman" w:cs="Times New Roman"/>
          <w:sz w:val="24"/>
          <w:szCs w:val="24"/>
          <w:lang w:val="en-IN"/>
        </w:rPr>
      </w:pPr>
      <w:r w:rsidRPr="00602E74">
        <w:rPr>
          <w:rFonts w:ascii="Times New Roman" w:hAnsi="Times New Roman" w:cs="Times New Roman"/>
          <w:sz w:val="24"/>
          <w:szCs w:val="24"/>
          <w:lang w:val="en-IN"/>
        </w:rPr>
        <w:t xml:space="preserve">Financial Risk </w:t>
      </w:r>
      <w:proofErr w:type="spellStart"/>
      <w:r w:rsidRPr="00602E74">
        <w:rPr>
          <w:rFonts w:ascii="Times New Roman" w:hAnsi="Times New Roman" w:cs="Times New Roman"/>
          <w:sz w:val="24"/>
          <w:szCs w:val="24"/>
          <w:lang w:val="en-IN"/>
        </w:rPr>
        <w:t>Modeling</w:t>
      </w:r>
      <w:proofErr w:type="spellEnd"/>
    </w:p>
    <w:p w14:paraId="46C0AC70" w14:textId="77777777" w:rsidR="00602E74" w:rsidRPr="00602E74" w:rsidRDefault="00602E74" w:rsidP="00602E74">
      <w:pPr>
        <w:numPr>
          <w:ilvl w:val="0"/>
          <w:numId w:val="11"/>
        </w:numPr>
        <w:rPr>
          <w:rFonts w:ascii="Times New Roman" w:hAnsi="Times New Roman" w:cs="Times New Roman"/>
          <w:sz w:val="24"/>
          <w:szCs w:val="24"/>
          <w:lang w:val="en-IN"/>
        </w:rPr>
      </w:pPr>
      <w:r w:rsidRPr="00602E74">
        <w:rPr>
          <w:rFonts w:ascii="Times New Roman" w:hAnsi="Times New Roman" w:cs="Times New Roman"/>
          <w:sz w:val="24"/>
          <w:szCs w:val="24"/>
          <w:lang w:val="en-IN"/>
        </w:rPr>
        <w:t>Predictive Analytics on Loan Defaults</w:t>
      </w:r>
    </w:p>
    <w:p w14:paraId="68A4299D" w14:textId="25899E10" w:rsidR="00602E74" w:rsidRPr="00602E74" w:rsidRDefault="00602E74" w:rsidP="00602E74">
      <w:pPr>
        <w:numPr>
          <w:ilvl w:val="0"/>
          <w:numId w:val="11"/>
        </w:numPr>
        <w:rPr>
          <w:rFonts w:ascii="Times New Roman" w:hAnsi="Times New Roman" w:cs="Times New Roman"/>
          <w:sz w:val="24"/>
          <w:szCs w:val="24"/>
          <w:lang w:val="en-IN"/>
        </w:rPr>
      </w:pPr>
      <w:r w:rsidRPr="00602E74">
        <w:rPr>
          <w:rFonts w:ascii="Times New Roman" w:hAnsi="Times New Roman" w:cs="Times New Roman"/>
          <w:sz w:val="24"/>
          <w:szCs w:val="24"/>
          <w:lang w:val="en-IN"/>
        </w:rPr>
        <w:t>Business Intelligence Dashboards (Power BI)</w:t>
      </w:r>
    </w:p>
    <w:p w14:paraId="7CDD5F92" w14:textId="77777777" w:rsidR="00602E74" w:rsidRPr="00602E74" w:rsidRDefault="00602E74" w:rsidP="00602E74">
      <w:pPr>
        <w:numPr>
          <w:ilvl w:val="0"/>
          <w:numId w:val="11"/>
        </w:numPr>
        <w:rPr>
          <w:rFonts w:ascii="Times New Roman" w:hAnsi="Times New Roman" w:cs="Times New Roman"/>
          <w:sz w:val="24"/>
          <w:szCs w:val="24"/>
          <w:lang w:val="en-IN"/>
        </w:rPr>
      </w:pPr>
      <w:r w:rsidRPr="00602E74">
        <w:rPr>
          <w:rFonts w:ascii="Times New Roman" w:hAnsi="Times New Roman" w:cs="Times New Roman"/>
          <w:sz w:val="24"/>
          <w:szCs w:val="24"/>
          <w:lang w:val="en-IN"/>
        </w:rPr>
        <w:t>Credit Policy Optimization</w:t>
      </w:r>
    </w:p>
    <w:p w14:paraId="53A867B0" w14:textId="77777777" w:rsidR="00602E74" w:rsidRPr="00602E74" w:rsidRDefault="00602E74" w:rsidP="00602E74">
      <w:pPr>
        <w:numPr>
          <w:ilvl w:val="0"/>
          <w:numId w:val="11"/>
        </w:numPr>
        <w:rPr>
          <w:rFonts w:ascii="Times New Roman" w:hAnsi="Times New Roman" w:cs="Times New Roman"/>
          <w:sz w:val="24"/>
          <w:szCs w:val="24"/>
          <w:lang w:val="en-IN"/>
        </w:rPr>
      </w:pPr>
      <w:r w:rsidRPr="00602E74">
        <w:rPr>
          <w:rFonts w:ascii="Times New Roman" w:hAnsi="Times New Roman" w:cs="Times New Roman"/>
          <w:sz w:val="24"/>
          <w:szCs w:val="24"/>
          <w:lang w:val="en-IN"/>
        </w:rPr>
        <w:t>Customer Segmentation</w:t>
      </w:r>
    </w:p>
    <w:p w14:paraId="55AC63A9" w14:textId="77777777" w:rsidR="00602E74" w:rsidRPr="00602E74" w:rsidRDefault="00602E74">
      <w:pPr>
        <w:rPr>
          <w:rFonts w:ascii="Times New Roman" w:hAnsi="Times New Roman" w:cs="Times New Roman"/>
          <w:sz w:val="24"/>
          <w:szCs w:val="24"/>
        </w:rPr>
      </w:pPr>
    </w:p>
    <w:p w14:paraId="31874D70" w14:textId="77777777" w:rsidR="001253D1" w:rsidRPr="00602E74" w:rsidRDefault="00000000">
      <w:pPr>
        <w:pStyle w:val="Heading1"/>
        <w:rPr>
          <w:rFonts w:ascii="Times New Roman" w:hAnsi="Times New Roman" w:cs="Times New Roman"/>
          <w:sz w:val="24"/>
          <w:szCs w:val="24"/>
        </w:rPr>
      </w:pPr>
      <w:r w:rsidRPr="00602E74">
        <w:rPr>
          <w:rFonts w:ascii="Times New Roman" w:hAnsi="Times New Roman" w:cs="Times New Roman"/>
          <w:sz w:val="24"/>
          <w:szCs w:val="24"/>
        </w:rPr>
        <w:t>Conclusion</w:t>
      </w:r>
    </w:p>
    <w:p w14:paraId="2EB29383" w14:textId="77777777" w:rsidR="001253D1" w:rsidRPr="00602E74" w:rsidRDefault="00000000">
      <w:pPr>
        <w:rPr>
          <w:rFonts w:ascii="Times New Roman" w:hAnsi="Times New Roman" w:cs="Times New Roman"/>
          <w:sz w:val="24"/>
          <w:szCs w:val="24"/>
        </w:rPr>
      </w:pPr>
      <w:r w:rsidRPr="00602E74">
        <w:rPr>
          <w:rFonts w:ascii="Times New Roman" w:hAnsi="Times New Roman" w:cs="Times New Roman"/>
          <w:sz w:val="24"/>
          <w:szCs w:val="24"/>
        </w:rPr>
        <w:t>The dashboard enables banks to:</w:t>
      </w:r>
      <w:r w:rsidRPr="00602E74">
        <w:rPr>
          <w:rFonts w:ascii="Times New Roman" w:hAnsi="Times New Roman" w:cs="Times New Roman"/>
          <w:sz w:val="24"/>
          <w:szCs w:val="24"/>
        </w:rPr>
        <w:br/>
        <w:t>- Detect risk areas (charged-off loans).</w:t>
      </w:r>
      <w:r w:rsidRPr="00602E74">
        <w:rPr>
          <w:rFonts w:ascii="Times New Roman" w:hAnsi="Times New Roman" w:cs="Times New Roman"/>
          <w:sz w:val="24"/>
          <w:szCs w:val="24"/>
        </w:rPr>
        <w:br/>
        <w:t>- Optimize loan terms &amp; interest rates.</w:t>
      </w:r>
      <w:r w:rsidRPr="00602E74">
        <w:rPr>
          <w:rFonts w:ascii="Times New Roman" w:hAnsi="Times New Roman" w:cs="Times New Roman"/>
          <w:sz w:val="24"/>
          <w:szCs w:val="24"/>
        </w:rPr>
        <w:br/>
        <w:t>- Target profitable customer segments (mortgage owners, long-tenure employees).</w:t>
      </w:r>
      <w:r w:rsidRPr="00602E74">
        <w:rPr>
          <w:rFonts w:ascii="Times New Roman" w:hAnsi="Times New Roman" w:cs="Times New Roman"/>
          <w:sz w:val="24"/>
          <w:szCs w:val="24"/>
        </w:rPr>
        <w:br/>
        <w:t>- Drive data-backed lending strategies for sustainable growth.</w:t>
      </w:r>
    </w:p>
    <w:sectPr w:rsidR="001253D1" w:rsidRPr="00602E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8F10A2"/>
    <w:multiLevelType w:val="multilevel"/>
    <w:tmpl w:val="972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71094"/>
    <w:multiLevelType w:val="multilevel"/>
    <w:tmpl w:val="6800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166792">
    <w:abstractNumId w:val="8"/>
  </w:num>
  <w:num w:numId="2" w16cid:durableId="342896254">
    <w:abstractNumId w:val="6"/>
  </w:num>
  <w:num w:numId="3" w16cid:durableId="885068633">
    <w:abstractNumId w:val="5"/>
  </w:num>
  <w:num w:numId="4" w16cid:durableId="927542037">
    <w:abstractNumId w:val="4"/>
  </w:num>
  <w:num w:numId="5" w16cid:durableId="286158551">
    <w:abstractNumId w:val="7"/>
  </w:num>
  <w:num w:numId="6" w16cid:durableId="2009163904">
    <w:abstractNumId w:val="3"/>
  </w:num>
  <w:num w:numId="7" w16cid:durableId="732579944">
    <w:abstractNumId w:val="2"/>
  </w:num>
  <w:num w:numId="8" w16cid:durableId="1568808836">
    <w:abstractNumId w:val="1"/>
  </w:num>
  <w:num w:numId="9" w16cid:durableId="1465661662">
    <w:abstractNumId w:val="0"/>
  </w:num>
  <w:num w:numId="10" w16cid:durableId="50036553">
    <w:abstractNumId w:val="10"/>
  </w:num>
  <w:num w:numId="11" w16cid:durableId="1020931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3D1"/>
    <w:rsid w:val="0015074B"/>
    <w:rsid w:val="0029639D"/>
    <w:rsid w:val="00326F90"/>
    <w:rsid w:val="00602E74"/>
    <w:rsid w:val="00AA1D8D"/>
    <w:rsid w:val="00B47730"/>
    <w:rsid w:val="00CB0664"/>
    <w:rsid w:val="00DB74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E9482"/>
  <w14:defaultImageDpi w14:val="300"/>
  <w15:docId w15:val="{8CF9233B-30FF-4B3D-92A4-9AD3EAE1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bhagwan singh</cp:lastModifiedBy>
  <cp:revision>2</cp:revision>
  <dcterms:created xsi:type="dcterms:W3CDTF">2013-12-23T23:15:00Z</dcterms:created>
  <dcterms:modified xsi:type="dcterms:W3CDTF">2025-09-30T08:12:00Z</dcterms:modified>
  <cp:category/>
</cp:coreProperties>
</file>