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mechanistic GPU DEM including fixed Rung1 99k 100% inside + clean 109.4× EMI, lid+freeboard demo for physical heights, detailed specification, formal drawings) to fully support the utility patent claims for enablement (35 U.S.C. §112) and written description. The Rung 0-5 + Rung1-fixed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(fixed)**: 99k steps with current clip runner: **100.0% inside** both legs; clean EMI **109.4×** (reg bed ratio) on fully contained data. New audit + diagnostics (KE bias, dead%, loft%) in Rung1_Fixed_Contained_Audit_99k.md. Lid+freeboard demo: physical ~59 mm heights with mechanism preserved (see Lid_Freeboard_Demo.txt). Rung 0/5/1 now primary contained.</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**Further modeling completed for enablement (zero cost)**: Rung1 re-run/audited to current contained runner (99k steps, 100% inside both legs, EMI 109.4× clean on contained). Lid+freeboard damping demo (fast post-process + code added to test runner) produces physical ~59 mm reg bed heights with mechanism preserved (EMI 3.2× vs no-iron, iron still agitating). Rung1_Fixed_Contained_Audit_99k.md + Lid_Freeboard_Demo.txt + demo .npz added to package. No further required; these close the main particle-scale mechanism gap.</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EMI/inside qualified per cold review (Rung0/5 remain 100% citable). See COLD_CLAIMS_AND_MATH_REVIEW.md.</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(fixed): 99k steps current runner **100.0% inside** both legs; clean EMI **109.4×** on contained (new audit Rung1_Fixed_Contained_Audit_99k.md); lid+freeboard demo yields physical ~59 mm heights with differential preserved (see Lid demo + COLD review). Rung0/5/1 now all contained citable.</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Final internal review of specification draft, exhibits, audits (incl. new Rung1 fixed + lid), and FIG. 1–7.</w:t>
      </w:r>
    </w:p>
    <w:p>
      <w:r>
        <w:t xml:space="preserve">2. Integrate formal claims text and inventor declaration (outside repo).</w:t>
      </w:r>
    </w:p>
    <w:p>
      <w:r>
        <w:t xml:space="preserve">3. Optional: assemble exhibits + spec into Word.</w:t>
      </w:r>
    </w:p>
    <w:p>
      <w:r>
        <w:t xml:space="preserve">4. Enablement fixes completed (zero hardware cost): Rung1 re-audited for 100% containment + clean EMI 109.4× (contained); lid+freeboard damping implemented + demo (physical heights ~59 mm while mechanism intact). Added Rung1_Fixed_Contained_Audit + Lid_Freeboard_Demo to evidence. No physical prototype, bench testing, or hardware work of any kind planned or funded.</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2026-06-04T09:38:30.505Z</dcterms:created>
  <dcterms:modified xsi:type="dcterms:W3CDTF">2026-06-04T09:38:30.506Z</dcterms:modified>
</cp:coreProperties>
</file>

<file path=docProps/custom.xml><?xml version="1.0" encoding="utf-8"?>
<Properties xmlns="http://schemas.openxmlformats.org/officeDocument/2006/custom-properties" xmlns:vt="http://schemas.openxmlformats.org/officeDocument/2006/docPropsVTypes"/>
</file>