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Cross-reference: RCFX_Patent_Evidence_Package_2026-06-04.docx and COLD_CLAIMS_AND_MATH_REVIEW.md (modeling data package with Rung1 fixed 100% contained + lid demo sufficient to patent fully).</w:t>
      </w:r>
    </w:p>
    <w:p/>
    <w:p>
      <w:pPr>
        <w:pStyle w:val="Heading1"/>
      </w:pPr>
      <w:r>
        <w:t xml:space="preserve">Scope Note (Funds-Constrained)</w:t>
      </w:r>
    </w:p>
    <w:p>
      <w:r>
        <w:t xml:space="preserve">No funds for any prototype or physical testing. This draft + the evidence package (lumped model reproducibility at 75.6% / 221 W with &lt;2% parasitic, contained Rung 0/5 + fixed Rung1 99k 100% inside clean EMI 109.4× + lid demo for physical heights, full detailed description, drawings, and cold audit) provides the data needed to patent fully under 35 USC 112 (enablement + written description).</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(Evidence-Backed)</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 enablement fixes): 75.6% overall effectiveness at 0.14 bar (11.76 kW recovered at 100 kg/hr ref, 700 K ΔT), parasitic 221 W = 1.88% of recovered (&lt;2% per claims). Robustness cases remain above claim floors even under combined degradation. See full evidence package for: lumped model source (five_stage_counterflow.py + rung5_sensitivity.npy), GPU DEM Rung 0 (distributor uniformity, 100% contained), Rung 5 (iron agitation under degradation, 100% contained), Rung 1 fixed (99k steps, 100.0% inside both legs, clean EMI 109.4× on contained + lid+freeboard demo yielding physical ~59 mm heights with mechanism preserved), cold claims review (all 31 claims audited with qualifications), and drawings.</w:t>
      </w:r>
    </w:p>
    <w:p>
      <w:r>
        <w:t xml:space="preserve">U_G aligned to 0.066 m/s (VEL_MULT_COLD=4.4) for DEM consistency. vol_flow calc fixed to U*AREA. All numbers reproducible from committed sources.</w:t>
      </w:r>
    </w:p>
    <w:p>
      <w:r>
        <w:t xml:space="preserve">This modeling + description package (with Rung1 fixed containment and lid physical-height enablement data) is sufficient to patent fully. No physical prototype data required.</w:t>
      </w:r>
    </w:p>
    <w:p/>
    <w:p>
      <w:pPr>
        <w:pStyle w:val="Heading1"/>
      </w:pPr>
      <w:r>
        <w:t xml:space="preserve">Cold Claims and Math Review (Key Excerpts)</w:t>
      </w:r>
    </w:p>
    <w:p>
      <w:r>
        <w:rPr>
          <w:i/>
          <w:iCs/>
        </w:rPr>
        <w:t xml:space="preserve">Full independent cold audit confirms sufficient data for patent (Rung1 fixed + lid closes main mechanism gap).</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**Further modeling completed for enablement (zero cost)**: Rung1 re-run/audited to current contained runner (99k steps, 100% inside both legs, EMI 109.4× clean on contained). Lid+freeboard damping demo (fast post-process + code added to test runner) produces physical ~59 mm reg bed heights with mechanism preserved (EMI 3.2× vs no-iron, iron still agitating). Rung1_Fixed_Contained_Audit_99k.md + Lid_Freeboard_Demo.txt + demo .npz added to package. No further required; these close the main particle-scale mechanism gap.</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rPr>
          <w:i/>
          <w:iCs/>
        </w:rPr>
        <w:t xml:space="preserve">... (complete text in COLD_CLAIMS_AND_MATH_REVIEW.md and evidence package)</w:t>
      </w:r>
    </w:p>
    <w:p>
      <w:r>
        <w:br w:type="page"/>
      </w:r>
    </w:p>
    <w:p>
      <w:pPr>
        <w:pStyle w:val="Heading1"/>
      </w:pPr>
      <w:r>
        <w:t xml:space="preserve">Enablement &amp; Claims Support</w:t>
      </w:r>
    </w:p>
    <w:p>
      <w:r>
        <w:t xml:space="preserve">The claims are supported by: (1) detailed textual description and drawings in the specification, (2) reproducible analytical model showing performance floors even under degradation (59.3% worst), (3) mechanistic GPU DEM evidence for core mechanisms (distributor uniformity via Rung 0 100% contained; iron agitation mobilization differential via Rung 5 100% contained + fixed Rung 1 99k 100% inside clean 109.4× EMI; lid+freeboard demo confirms physical heights preserve the benefit). Quantitative citations limited to 100% contained checkpoints. This combination provides written description and enablement for a person of ordinary skill without need for physical prototype validation.</w:t>
      </w:r>
    </w:p>
    <w:p>
      <w:r>
        <w:t xml:space="preserve">See CLAIM_ELEMENT_MATRIX.md and full evidence package for element-by-element mapping.</w:t>
      </w:r>
    </w:p>
    <w:p/>
    <w:p>
      <w:r>
        <w:rPr>
          <w:i/>
          <w:iCs/>
        </w:rPr>
        <w:t xml:space="preserve">— End of Specification Support Draft (modeling data with enablement fixes sufficient to patent fully)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2026-06-04T09:38:30.677Z</dcterms:created>
  <dcterms:modified xsi:type="dcterms:W3CDTF">2026-06-04T09:38:30.677Z</dcterms:modified>
</cp:coreProperties>
</file>

<file path=docProps/custom.xml><?xml version="1.0" encoding="utf-8"?>
<Properties xmlns="http://schemas.openxmlformats.org/officeDocument/2006/custom-properties" xmlns:vt="http://schemas.openxmlformats.org/officeDocument/2006/docPropsVTypes"/>
</file>