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No-iron control (400 steps): reg bed 3.2 ±1.9 mm baseline.</w:t>
      </w:r>
    </w:p>
    <w:p>
      <w:r>
        <w:t xml:space="preserve">  - With-iron (400 steps, same lid physics): reg bed 12.5 ±7.1 mm (iron 14.2 mm), EMI 3.87× vs no-iron baseline, inside 100.0%, zmax 27 mm (capped), dead% reg 0.0%, vmean 52 m/s, KE bias 2138×.</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2026-06-04T10:38:11.637Z</dcterms:created>
  <dcterms:modified xsi:type="dcterms:W3CDTF">2026-06-04T10:38:11.637Z</dcterms:modified>
</cp:coreProperties>
</file>

<file path=docProps/custom.xml><?xml version="1.0" encoding="utf-8"?>
<Properties xmlns="http://schemas.openxmlformats.org/officeDocument/2006/custom-properties" xmlns:vt="http://schemas.openxmlformats.org/officeDocument/2006/docPropsVTypes"/>
</file>