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no hardware/prototype work)</w:t>
      </w:r>
    </w:p>
    <w:p>
      <w:r>
        <w:rPr>
          <w:b/>
          <w:bCs/>
          <w:sz w:val="22"/>
          <w:szCs w:val="22"/>
        </w:rPr>
        <w:t xml:space="preserve">CONFIDENTIAL — Attorney Work Product</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detailed specification, formal drawings) to fully support the utility patent claims for enablement (35 U.S.C. §112) and written description. The Rung 0-5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EMI ~**100.6×** (recomputed; campaign 107.9×) on ~78-79% inside ckpt at 0.14 bar rep. **See COLD_CLAIMS_AND_MATH_REVIEW.md**: does not meet 100.0% inside citable rule; use qualitatively only. Rung 0/5 are fully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Filing-ready gaps (attorney / next engineering)</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No prototype or physical testing (bench or otherwise) planned or funded. Objective is strictly to generate sufficient modeling + descriptive data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Remove or heavily qualify 107.9× from Exhibit B / CLAIM_ELEMENT_MATRIX / spec draft / executive. Retain qualitative "dramatic mobilization differential vs no-iron control at identical U_G" with actual inside % and note on pre-final-containment run. Re-run Rung1 with current clip code if 100% inside is required for filing.</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In evidence and drawings (FIG.3/7), emphasize relative proxies (iron vs reg bed height ratio, dead% fraction, visual mobilization in snapshots) and state "simulation domain; particles undergo repeated wall collisions and ballistic trajectories; metric demonstrates differential mobilization, not literal expanded bed height in a full-scale stage."</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handoff,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Strong for architecture + low-P iron agitation concept via model + contained DEM (Rung0/5). Quantitative performance floors enabled by reproducible model even under degradation. Particle-scale mechanism for "why it works at 0.14 bar" is the main gap (unphysical states in iron runs), but qualitative support + identical-physics rule across rungs + full detailed description in the spec provides sufficient written description and enablement for utility patent claims. No physical prototype or bench testing is required or funded to patent fully. The model + DEM + spec together are the data package.</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**Attorney handoff**: Include the full Rev 5.2 PDF (has claims + detailed support + risk/roadmap) + this review + raw contained .npz for Rung0 + Rung5 + model source. The draft.md is useful support outline but not the formal spec.</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**Optional further modeling** (to strengthen patent enablement data if desired, zero hardware cost): Re-execute Rung1 leg with current runner + full clips from step 0; lock a clean 100% inside EMI data set if the 100× differential remains useful. Add simple vessel lid + freeboard damping to DEM for more physical bed heights in future rungs (not required for current filing support).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and iron-agitation mobilization under degradation (Rung 5). The core inventive concept — low-pressure (0.14 bar) operation enabled by iron shot dual-role (sensible + mechanical agitation of Geldart C fines) — has sufficient written description and enablement via the tied model + particle-scale evidence.</w:t>
      </w:r>
    </w:p>
    <w:p>
      <w:r>
        <w:t xml:space="preserve"/>
      </w:r>
    </w:p>
    <w:p>
      <w:r>
        <w:t xml:space="preserve">**Primary cold flags (pre-audit)**: (1) Rung1 107.9× / 100% inside statements are factually incorrect on the cited artifacts (corrected in current package; Rung1 now qualified); (2) DEM iron cases show unphysically high velocities and loft (use only for qualitative differential, not m-scale bed metrics; documented); (3) power/U_G math hygiene (vol_flow bug fixed, model/evidence re-locked to 221 W / 0.066 m/s aligned, &lt;2% parasitic validated). All flags addressed in this session's updates.</w:t>
      </w:r>
    </w:p>
    <w:p>
      <w:r>
        <w:t xml:space="preserve"/>
      </w:r>
    </w:p>
    <w:p>
      <w:r>
        <w:t xml:space="preserve">With the corrections above, the package (Exhibits + drawings + spec support) is in good shape for counsel review / provisional or utility support. The claims are not "over-claiming" the data once the quantitative DEM language is tempered.</w:t>
      </w:r>
    </w:p>
    <w:p>
      <w:r>
        <w:t xml:space="preserve"/>
      </w:r>
    </w:p>
    <w:p>
      <w:r>
        <w:t xml:space="preserve">**Scope note (funds-constrained, per current direction)**: No prototype, no bench-scale hardware testing, no Phase 2 or Phase 3 physical work planned or funded. The objective is strictly to generate sufficient data (reproducible lumped model + mechanistic contained DEM + full detailed description in spec + formal drawings) to support a complete utility patent filing with strong enablement and written description. The Rung 0-5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(attorney review)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and attorney prosecution workflow.</w:t>
      </w:r>
    </w:p>
    <w:p>
      <w:r>
        <w:t xml:space="preserve">3. Optional **Word (.docx)** assembly of exhibits + spec for counsel.</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See COLD_CLAIMS_AND_MATH_REVIEW.md and updated Rung Campaign Plan.</w:t>
      </w:r>
    </w:p>
    <w:p>
      <w:r>
        <w:t xml:space="preserve"/>
      </w:r>
    </w:p>
    <w:p>
      <w:r>
        <w:t xml:space="preserve">## Recommended counsel handoff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PASS (qualitative differential only); **GPU DEM** (raw .npz: ~78-79% inside; recomputed EMI ~100.6× on contained subset; high velocities indicate loft — use for mobilization benefit only; see COLD_CLAIMS_AND_MATH_REVIEW.md)</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Attorney review of specification draft, exhibits, and FIG. 1–7.</w:t>
      </w:r>
    </w:p>
    <w:p>
      <w:r>
        <w:t xml:space="preserve">2. Integrate formal claims text and inventor declaration (outside repo).</w:t>
      </w:r>
    </w:p>
    <w:p>
      <w:r>
        <w:t xml:space="preserve">3. Optional: assemble exhibits + spec into Word for counsel.</w:t>
      </w:r>
    </w:p>
    <w:p>
      <w:r>
        <w:t xml:space="preserve">4. Optional additional modeling (to further strengthen enablement data for full patent filing, zero hardware cost): higher-N cell-list DEM, 0.12 bar robustness backfill (see RUNG_CAMPAIGN_RESULTS.md Rung 2 notes).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is explicitly scoped to generate sufficient computational data (lumped model + GPU DEM + sensitivity)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2026-06-04T09:23:44.627Z</dcterms:created>
  <dcterms:modified xsi:type="dcterms:W3CDTF">2026-06-04T09:23:44.627Z</dcterms:modified>
</cp:coreProperties>
</file>

<file path=docProps/custom.xml><?xml version="1.0" encoding="utf-8"?>
<Properties xmlns="http://schemas.openxmlformats.org/officeDocument/2006/custom-properties" xmlns:vt="http://schemas.openxmlformats.org/officeDocument/2006/docPropsVTypes"/>
</file>