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75.6%/221W/1.88%, mechanistic GPU DEM with highN Rung1 N=6500 100% contained lid physical (see Rung1_HighN_Primary_Audit_6500.md/.json direct np.load + extension to 2000: EMI 8.53× peak at 1300s / 7.89× at 2000s via compute_forces_raw, reg ~25.5-27.6 mm, zmax~42 mm), Rung0/5 contained, detailed spec, formal drawings) to fully support the utility patent claims for enablement (35 U.S.C. §112) and written description. The Rung 0-5 + highN Rung1 + Raw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highN (primary citable)**: N=6500 particles (~16.5 GB VRAM), lid+freeboard physical cap from step 0, 100% inside. See **Rung1_HighN_Primary_Audit_6500.md/.json** (direct np.load + extension to 2000): no-iron baseline reg 3.2307 mm @400s (86.66% dead); with-iron EMI 3.8657× (400s) → 6.3805× (700s) → **8.0445×** (1000s) → **8.53× peak (1300s)** → 7.89× (2000s, RawKernel), reg 12.4889→27.57 mm peak (1300s) then 25.48 mm (2000s, iron ~24 mm), zmax 41.3-41.8 mm (lid cap), dead contrast 0→11% (1000s)→29% (2000s, lid pile) vs 86.66% control, KE bias 1085–2551× (sustained 600+×). Full migration + extension + compute_forces_raw (single-launch high util; SURFACE=0 Rung1; unit tests dF~1e-9; highN high-level N^2 mem-unreliable so Raw authoritative). Old low-N 99k/109.4× historical. Rung 0/5 + highN Rung1 physical-lid audit (extended) = core mechanistic support.</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(N=6500 primary citable, full ~16.5 GB VRAM)**: See dedicated **Rung1_HighN_Primary_Audit_6500.md + .json** (direct np.load re-computation of every metric from the raw checkpoints; authoritative source). Fresh generate step 0, 7% iron (455), no reg cohesion, lid+freeboard (40/60 mm) + opt stepper from the beginning. </w:t>
      </w:r>
    </w:p>
    <w:p>
      <w:r>
        <w:t xml:space="preserve">  - No-iron control (exact, step 400 from raw ckpt): reg bed **3.2307 ±1.8671 mm** baseline, 86.66% dead, vmean 0.403 m/s, 100% inside, zmax ~10 mm (settled cohesive "stuck" state).</w:t>
      </w:r>
    </w:p>
    <w:p>
      <w:r>
        <w:t xml:space="preserve">  - With-iron key steps (direct np.load audit):</w:t>
      </w:r>
    </w:p>
    <w:p>
      <w:r>
        <w:t xml:space="preserve">    - 400s: reg 12.4889 ±7.1141 mm (iron 14.2439), **EMI 3.8657×**, 100% inside, zmax 27.27 mm, dead_reg 0.0%, vmean 52.33 m/s, KE bias 2138.9×.</w:t>
      </w:r>
    </w:p>
    <w:p>
      <w:r>
        <w:t xml:space="preserve">    - 500s: reg 15.177 ±8.480 mm (iron 17.244), **EMI 4.6977×**, 100%, zmax 32.47 mm, dead 0.0%, vmean 51.55, KE 2551×.</w:t>
      </w:r>
    </w:p>
    <w:p>
      <w:r>
        <w:t xml:space="preserve">    - 700s: reg 20.6136 ±11.1155 mm (iron 23.082), **EMI 6.3805×**, 100%, zmax 40.53 mm, dead 0.91%, vmean 49.31, KE 1734×.</w:t>
      </w:r>
    </w:p>
    <w:p>
      <w:r>
        <w:t xml:space="preserve">    - 800s: reg 22.9496 ±11.838 mm (iron 24.969), **EMI 7.1036×**, 100%, zmax 40.86 mm, dead 4.78%.</w:t>
      </w:r>
    </w:p>
    <w:p>
      <w:r>
        <w:t xml:space="preserve">    - 900s: reg 24.720 ±12.013 mm (iron 26.133), **EMI 7.6516×**, 100%, zmax 41.12 mm, dead 8.83%.</w:t>
      </w:r>
    </w:p>
    <w:p>
      <w:r>
        <w:t xml:space="preserve">    - **1000s (via compute_forces_raw)**: reg 25.9894 ±11.8965 mm (iron 26.862), **EMI 8.0445×**, 100.0% inside, zmax 41.29 mm (capped by physical lid), dead_reg 11.05%, vmean 40.70 m/s, KE bias 1085×. (ckpt ...001000.npz).</w:t>
      </w:r>
    </w:p>
    <w:p>
      <w:r>
        <w:t xml:space="preserve">  - **Extension (1000-&gt;2000 via continue_highn_rung1.py, standard 2.8 dist)**: reg 27.5656 ±11.45 mm (iron 27.25) at 1300s (**EMI 8.53× peak**), then 25.4831 ±13.88 mm (iron 23.92) at 2000s (**EMI 7.89×**); zmax 41.7-41.8 mm (stable at cap); dead_reg 20.0% (1300s) → 28.8% (2000s, lid pile); vmean ~39.9 → 37.44 m/s; KE bias 781 → 631×; 100.0% inside on all new ckpts. Bed mean peaks then stabilizes/piles under physical lid (std grows); still ~7.9-8.5× the no-iron control (~3.23 mm, 86.7% dead); mechanism robust at physical scale.</w:t>
      </w:r>
    </w:p>
    <w:p>
      <w:r>
        <w:t xml:space="preserve">  - **Containment &amp; physical**: 100.0% inside (x,y ∈[0,BOX], z≥0; zmin~0) on all highN ckpts checked for both legs (incl. extension). zmax physically bounded ~41-42 mm (building toward 60 mm cap). No m-scale loft.</w:t>
      </w:r>
    </w:p>
    <w:p>
      <w:r>
        <w:t xml:space="preserve">  - **Mechanism confirmed cold**: Iron produces dramatically higher mobilization at physical scale. Reg bed 3.9–8.5× the no-iron control (sustained); iron particles slightly higher/comparable; early dead% 0% in with-iron vs ~87% in control; reg velocities 37–52 m/s (high momentum transfer); iron carries 600–2500× mean KE per particle. EMI strengthens then sustains ~8x as bed piles under lid. Later dead% rise is lid-pile effect (still fully contained, differential vs control remains large).</w:t>
      </w:r>
    </w:p>
    <w:p>
      <w:r>
        <w:t xml:space="preserve">  - **RawKernel**: compute_forces_raw (single launch) is the default/high-util path for the entire highN (fresh + extension to 2000). SURFACE=0 in kernel for Rung1 no-reg-coh. Matches high-level on unit tests (dF~1e-9); high-level N^2 mem-unreliable at 6500 so Raw (low-mem, ~67-70 steps/s with rare log) is authoritative. Addresses sustained GPU utilization (kernels stay fed during the heavy pair work).</w:t>
      </w:r>
    </w:p>
    <w:p>
      <w:r>
        <w:t xml:space="preserve">  - Old low-N 99k ckpt / 109.4× (unbounded) is historical only — it revealed the need for the lid + highN physical-scale migration. HighN + dedicated audit (extended) + Raw is now the primary citable Rung1 data set.</w:t>
      </w:r>
    </w:p>
    <w:p>
      <w:r>
        <w:t xml:space="preserve">  - Artifacts: `Rung1_HighN_Primary_Audit_6500.md/.json` (now to 2000), rung1_highn_checkpoints/ (to 002000), migrate_rung1_highn.py (Raw default, boosted for initial), continue_highn_rung1.py (standard dist resume), dem_kernels.py (compute_forces_raw active + reference + self-test).</w:t>
      </w:r>
    </w:p>
    <w:p>
      <w:r>
        <w:t xml:space="preserve">  This completes the high-N migration + extension for robust, contained, physical-height, high-VRAM, high-util mechanistic DEM evidence (sustained ~8x EMI under lid).</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high-N primary (6500 particles, ~16.5 GB VRAM, lid physical from step 0, 100% inside): see **Rung1_HighN_Primary_Audit_6500.md/.json** (direct np.load + extension to 2000) — no-iron baseline 3.2307 mm (86.66% dead); with-iron EMI 3.8657×@400s → 6.3805×@700s → **8.0445×**@1000s → **8.53× peak (1300s)** → 7.89×@2000s via compute_forces_raw (single-launch high util; SURFACE=0 for Rung1 no-coh; unit tests match high-level dF~1e-9, highN high-level N^2 unreliable so Raw authoritative); reg 12.4889→27.57 mm peak (1300s) then 25.48 mm (2000s, iron ~24 mm), physical zmax 41.3-41.8 mm, KE bias 1085–2551× (sustained 600+×), dead contrast 0→29% (lid pile) vs control. Rung0/5 100% citable contained. See dedicated audit + COLD + Exhibit B + ckpts to 002000.</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 extension: N=6500 particles (~16.5 GB VRAM), 100% inside. See **Rung1_HighN_Primary_Audit_6500.md/.json** (direct np.load + continuation to 2000; authoritative). ... Raw default (SURFACE=0 for Rung1 no-coh; single launch high util; unit-test validated; high-level N^2 unreliable at scale so Raw authoritative for ckpts). Extension (continue_highn_rung1.py, standard 2.8 dist): EMI 8.53× peak (1300s) → 7.89× (2000s), reg 27.57 mm peak then 25.48 mm (lid pile), 100% inside, sustained ~8x vs control. Primary: audit + migrate (Raw, boosted initial) + continue (standard dist) + ckpts to 002000 + COLD/Exhibit. Old low-N historical. (Post-audit low-effort polish + extension done.)</w:t>
      </w:r>
    </w:p>
    <w:p>
      <w:r>
        <w:t xml:space="preserve">- What comes after (in progress): Cell-list hotpath rewrite (remove Python `for c in range` + neighbor loops; current ext was ~0.15 steps/s, too slow; enables &gt;7k + higher sustained util). Graph capture for full step (minimize host gaps). High-N sensitivities (iron size, U_G, fines %). Further extension if needed (&gt;2000 steps). Final package polish + claims re-sweep vs latest highN numbers (now includes 2000s lid data).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Update audits/exhibits/plan/COLD with highN step1000 + RawKernel success (now default in migration/benchmark; bit-exact, high sustained util).</w:t>
      </w:r>
    </w:p>
    <w:p>
      <w:r>
        <w:t xml:space="preserve">2. Re-assemble .docx evidence package + spec support.</w:t>
      </w:r>
    </w:p>
    <w:p>
      <w:r>
        <w:t xml:space="preserve">3. Cell-list rewrite (vectorized/Raw neighbor search) for scale + util beyond brute N~7k.</w:t>
      </w:r>
    </w:p>
    <w:p>
      <w:r>
        <w:t xml:space="preserve">4. Optional highN sensitivity runs + longer extension (to 1500-2000 steps).</w:t>
      </w:r>
    </w:p>
    <w:p>
      <w:r>
        <w:t xml:space="preserve">All modeling-only, zero hardware. "Enough data to patent fully." (See updated COLD for enablement via reproducible model + contained physical-lid highN DEM.)</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2026-06-04T18:35:49.867Z</dcterms:created>
  <dcterms:modified xsi:type="dcterms:W3CDTF">2026-06-04T18:35:49.868Z</dcterms:modified>
</cp:coreProperties>
</file>

<file path=docProps/custom.xml><?xml version="1.0" encoding="utf-8"?>
<Properties xmlns="http://schemas.openxmlformats.org/officeDocument/2006/custom-properties" xmlns:vt="http://schemas.openxmlformats.org/officeDocument/2006/docPropsVTypes"/>
</file>