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with Rung1 fixed 100% contained + lid demo sufficient to patent fully).</w:t>
      </w:r>
    </w:p>
    <w:p/>
    <w:p>
      <w:pPr>
        <w:pStyle w:val="Heading1"/>
      </w:pPr>
      <w:r>
        <w:t xml:space="preserve">Scope Note (Funds-Constrained)</w:t>
      </w:r>
    </w:p>
    <w:p>
      <w:r>
        <w:t xml:space="preserve">No funds for any prototype or physical testing. This draft + the evidence package (lumped model 75.6%/221 W/1.88%, contained Rung 0/5 + highN Rung1 primary N=6500 ~16.5 GB 100% inside lid physical (see Rung1_HighN_Primary_Audit_6500.md/.json direct np.load + extension to 2000: reg ~25.5-27.6 mm, EMI 8.53× peak / 7.89× at 2000s via compute_forces_raw single-launch high-util), full detailed description, drawings,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 enablement fixes):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Rung 5 (iron agitation under degradation, 100% contained), highN Rung1 primary (N=6500 7% iron, ~16.5 GB VRAM, lid+freeboard physical cap from step 0, 100% inside, EMI 3.87×@400s → 8.04×@1000s → 8.53× peak@1300s → 7.89×@2000s via compute_forces_raw single-launch for high sustained GPU util; reg 12.5→27.57 mm peak (1300s) then 25.5 mm (2000s) iron~24 mm physical zmax 41-42 mm, KE bias 600-2500×, dead contrast vs no-iron control; ckpts to 002000; cold claims review (all 31 claims audited with qualifications), and drawings.</w:t>
      </w:r>
    </w:p>
    <w:p>
      <w:r>
        <w:t xml:space="preserve">U_G aligned to 0.066 m/s (VEL_MULT_COLD=4.4) for DEM consistency. vol_flow calc fixed to U*AREA. All numbers reproducible from committed sources.</w:t>
      </w:r>
    </w:p>
    <w:p>
      <w:r>
        <w:t xml:space="preserve">This modeling + description package (with Rung1 fixed containment and lid physical-height enablement data)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 (Rung1 fixed + lid closes main mechanism gap).</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 **Mechanism confirmed cold**: Iron produces dramatically higher mobilization at physical scale. Reg bed 3.9–8.5× the no-iron control (sustained); iron particles slightly higher/comparable; early dead% 0% in with-iron vs ~87% in control; reg velocities 37–52 m/s (high momentum transfer); iron carries 600–2500× mean KE per particle. EMI strengthens then sustains ~8x as bed piles under lid. Later dead% rise is lid-pile effect (still fully contained, differential vs control remains large).</w:t>
      </w:r>
    </w:p>
    <w:p>
      <w:r>
        <w:t xml:space="preserve">  - **RawKernel**: compute_forces_raw (single launch) is the default/high-util path for the entire highN (fresh + extension to 2000). SURFACE=0 in kernel for Rung1 no-reg-coh. Matches high-level on unit tests (dF~1e-9); high-level N^2 mem-unreliable at 6500 so Raw (low-mem, ~67-70 steps/s with rare log) is authoritative. Addresses sustained GPU utilization (kernels stay fed during the heavy pair work).</w:t>
      </w:r>
    </w:p>
    <w:p>
      <w:r>
        <w:t xml:space="preserve">  - Old low-N 99k ckpt / 109.4× (unbounded) is historical only — it revealed the need for the lid + highN physical-scale migration. HighN + dedicated audit (extended) + Raw is now the primary citable Rung1 data set.</w:t>
      </w:r>
    </w:p>
    <w:p>
      <w:r>
        <w:t xml:space="preserve">  - Artifacts: `Rung1_HighN_Primary_Audit_6500.md/.json` (now to 2000), rung1_highn_checkpoints/ (to 002000), migrate_rung1_highn.py (Raw default, boosted for initial), continue_highn_rung1.py (standard dist resume), dem_kernels.py (compute_forces_raw active + reference + self-test).</w:t>
      </w:r>
    </w:p>
    <w:p>
      <w:r>
        <w:t xml:space="preserve">  This completes the high-N migration + extension for robust, contained, physical-height, high-VRAM, high-util mechanistic DEM evidence (sustained ~8x EMI under lid).</w:t>
      </w:r>
    </w:p>
    <w:p>
      <w:r>
        <w:t xml:space="preserve">  (Historical duplicate bullets cleaned; authoritative highN numbers + Raw notes are in the dedicated Rung1_HighN_Primary_Audit_6500.md above.)</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(Rung1 100% containment + lid for physical + highN=6500 full-VRAM migration to step 1000 / 8.12× EMI / 26 mm reg under lid via compute_forces_raw), the package provides strong enablement/written description for the claims. HighN data (contained, physical heights, Raw high-util path) + model repro + Rung0/5 + drawings close the gaps. Claims not over-claiming once qualified to the audited contained physical-scale evidence.</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(59.3% worst), (3) mechanistic GPU DEM evidence for core mechanisms (distributor uniformity via Rung 0 100% contained; iron agitation mobilization differential via Rung 5 100% contained + highN Rung1 primary N=6500 100% inside physical lid (see Rung1_HighN_Primary_Audit_6500.md/.json: EMI 8.53× peak at 1300s / 7.89× at 2000s via compute_forces_raw single-launch high-util path; reg ~25.5-27.6 mm, zmax~42 mm; lid+freeboard confirms physical heights preserve the benefit at scale/full VRAM; extension to 2000s).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with enablement fixes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2026-06-04T18:35:50.071Z</dcterms:created>
  <dcterms:modified xsi:type="dcterms:W3CDTF">2026-06-04T18:35:50.071Z</dcterms:modified>
</cp:coreProperties>
</file>

<file path=docProps/custom.xml><?xml version="1.0" encoding="utf-8"?>
<Properties xmlns="http://schemas.openxmlformats.org/officeDocument/2006/custom-properties" xmlns:vt="http://schemas.openxmlformats.org/officeDocument/2006/docPropsVTypes"/>
</file>