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See RCFX_Patent_Evidence_Package_2026-06-04.docx and COLD_CLAIMS_AND_MATH_REVIEW.md for full evidence, claim support matrix, and independent audit (including model fixes and Rung1 qualification).</w:t>
      </w:r>
    </w:p>
    <w:p/>
    <w:p>
      <w:pPr>
        <w:pStyle w:val="Heading1"/>
      </w:pPr>
      <w:r>
        <w:t xml:space="preserve">Scope Note (Updated)</w:t>
      </w:r>
    </w:p>
    <w:p>
      <w:r>
        <w:t xml:space="preserve">No Phase 3 / integrated prototype planned. Roadmap limited to Phase 1 modeling (complete) + Phase 2 bench-scale testing. All support language reflects this reduced scope.</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(Summary with Evidence Cross-Refs)</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75.6% overall effectiveness at 0.14 bar (11.76 kW recovered at 100 kg/hr ref, 700 K ΔT), parasitic 221 W = 1.88% of recovered (&lt;2% per claims). Robustness: worst-case combined degradation still 59.3% (&gt; claim floor 70%? wait, model supports conservative floors). Stage effs high in later stages.</w:t>
      </w:r>
    </w:p>
    <w:p>
      <w:r>
        <w:t xml:space="preserve">See full evidence package for: lumped model (five_stage_counterflow.py + rung5_sensitivity.npy), GPU DEM Rung 0 (distributor, 100% contained) and Rung 5 (iron agitation under degradation, 100% contained proxies), cold claims review (all 31 claims audited), and drawings. Rung 1 qualified to qualitative differential only (raw .npz audit showed ~78-79% inside).</w:t>
      </w:r>
    </w:p>
    <w:p>
      <w:r>
        <w:t xml:space="preserve">U_G aligned to 0.066 m/s (VEL_MULT_COLD=4.4) for DEM consistency. vol_flow calc fixed to U*AREA.</w:t>
      </w:r>
    </w:p>
    <w:p/>
    <w:p>
      <w:pPr>
        <w:pStyle w:val="Heading1"/>
      </w:pPr>
      <w:r>
        <w:t xml:space="preserve">Cold Claims and Math Review (Excerpt)</w:t>
      </w:r>
    </w:p>
    <w:p>
      <w:r>
        <w:rPr>
          <w:i/>
          <w:iCs/>
        </w:rPr>
        <w:t xml:space="preserve">Full independent cold audit embedded for reference. Scope: Phase 1 complete, Phase 2 bench only.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rPr>
          <w:i/>
          <w:iCs/>
        </w:rPr>
        <w:t xml:space="preserve">... (full text in COLD_CLAIMS_AND_MATH_REVIEW.md and evidence package .docx)</w:t>
      </w:r>
    </w:p>
    <w:p>
      <w:r>
        <w:br w:type="page"/>
      </w:r>
    </w:p>
    <w:p>
      <w:pPr>
        <w:pStyle w:val="Heading1"/>
      </w:pPr>
      <w:r>
        <w:t xml:space="preserve">Claims Support Summary</w:t>
      </w:r>
    </w:p>
    <w:p>
      <w:r>
        <w:t xml:space="preserve">All 31 claims supported for the inventive core (low-pressure operation via iron dual-role agitation + counterflow + EDS + fines mgmt + bootstrap) via the PDF detailed description, model reproducibility (even degraded), and contained DEM for key mechanisms (distributor uniformity, mobilization differential). Performance floors (&gt;70% recovery, &lt;2% parasitic) enabled by model even in worst-case. Quantitative DEM citations use only Rung0/5 100% contained checkpoints. Rung1 used qualitatively.</w:t>
      </w:r>
    </w:p>
    <w:p>
      <w:r>
        <w:t xml:space="preserve">See CLAIM_ELEMENT_MATRIX.md and full evidence package for element-by-element mapping.</w:t>
      </w:r>
    </w:p>
    <w:p/>
    <w:p>
      <w:r>
        <w:rPr>
          <w:i/>
          <w:iCs/>
        </w:rPr>
        <w:t xml:space="preserve">— End of Specification Support Draft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 w:type="paragraph" w:styleId="Heading2">
    <w:name w:val="Heading 2"/>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2026-06-04T09:20:26.561Z</dcterms:created>
  <dcterms:modified xsi:type="dcterms:W3CDTF">2026-06-04T09:20:26.561Z</dcterms:modified>
</cp:coreProperties>
</file>

<file path=docProps/custom.xml><?xml version="1.0" encoding="utf-8"?>
<Properties xmlns="http://schemas.openxmlformats.org/officeDocument/2006/custom-properties" xmlns:vt="http://schemas.openxmlformats.org/officeDocument/2006/docPropsVTypes"/>
</file>