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8"/>
          <w:szCs w:val="28"/>
        </w:rPr>
        <w:t xml:space="preserve">PERRY-RCFX-004 Rev 5.2</w:t>
      </w:r>
    </w:p>
    <w:p>
      <w:pPr>
        <w:spacing w:after="200"/>
        <w:jc w:val="center"/>
      </w:pPr>
      <w:r>
        <w:rPr>
          <w:rFonts w:ascii="Times New Roman" w:cs="Times New Roman" w:eastAsia="Times New Roman" w:hAnsi="Times New Roman"/>
          <w:sz w:val="24"/>
          <w:szCs w:val="24"/>
        </w:rPr>
        <w:t xml:space="preserve">Utility Patent Application — Specification Support Draft</w:t>
      </w:r>
    </w:p>
    <w:p>
      <w:pPr>
        <w:spacing w:after="120"/>
        <w:jc w:val="center"/>
      </w:pPr>
      <w:r>
        <w:rPr>
          <w:rFonts w:ascii="Times New Roman" w:cs="Times New Roman" w:eastAsia="Times New Roman" w:hAnsi="Times New Roman"/>
          <w:i/>
          <w:iCs/>
          <w:sz w:val="20"/>
          <w:szCs w:val="20"/>
        </w:rPr>
        <w:t xml:space="preserve">(Integrates cold claims/math review findings and post-fix model numbers)</w:t>
      </w:r>
    </w:p>
    <w:p>
      <w:pPr>
        <w:spacing w:after="400"/>
        <w:jc w:val="center"/>
      </w:pPr>
      <w:r>
        <w:rPr>
          <w:rFonts w:ascii="Times New Roman" w:cs="Times New Roman" w:eastAsia="Times New Roman" w:hAnsi="Times New Roman"/>
          <w:sz w:val="20"/>
          <w:szCs w:val="20"/>
        </w:rPr>
        <w:t xml:space="preserve">Date: 2026-06-04 | Inventor: Nicholas Dean Perry</w:t>
      </w:r>
    </w:p>
    <w:p>
      <w:pPr>
        <w:spacing w:after="140"/>
      </w:pPr>
      <w:r>
        <w:rPr>
          <w:rFonts w:ascii="Times New Roman" w:cs="Times New Roman" w:eastAsia="Times New Roman" w:hAnsi="Times New Roman"/>
          <w:sz w:val="24"/>
          <w:szCs w:val="24"/>
        </w:rPr>
        <w:t xml:space="preserve">This document is derived from patent_specification_draft.md (updated for 221 W operating point, U_G=0.066 m/s alignment, and cold review qualifications). It is support text only and must be integrated with formal claims from the complete Rev 5.2 specification. See the accompanying RCFX_Patent_Evidence_Package_2026-06-04.docx for full exhibits, matrices, and the independent cold audit.</w:t>
      </w:r>
    </w:p>
    <w:p>
      <w:r>
        <w:br w:type="page"/>
      </w:r>
    </w:p>
    <w:p>
      <w:pPr>
        <w:pStyle w:val="Heading1"/>
        <w:spacing w:after="200" w:before="360"/>
      </w:pPr>
      <w:r>
        <w:rPr>
          <w:rFonts w:ascii="Times New Roman" w:cs="Times New Roman" w:eastAsia="Times New Roman" w:hAnsi="Times New Roman"/>
          <w:b/>
          <w:bCs/>
          <w:sz w:val="28"/>
          <w:szCs w:val="28"/>
        </w:rPr>
        <w:t xml:space="preserve">Abstract</w:t>
      </w:r>
    </w:p>
    <w:p>
      <w:pPr>
        <w:spacing w:after="140"/>
      </w:pPr>
      <w:r>
        <w:rPr>
          <w:rFonts w:ascii="Times New Roman" w:cs="Times New Roman" w:eastAsia="Times New Roman" w:hAnsi="Times New Roman"/>
          <w:sz w:val="24"/>
          <w:szCs w:val="24"/>
        </w:rPr>
        <w:t xml:space="preserve">A multi-stage counter-current fluidized bed heat recovery system for space or resource-limited environments operates effectively at low envelope pressures (e.g., 0.14 bar) by using larger iron shot particles (1.5–3.5 mm) as both sensible heat storage media and mechanical agitators. The iron shot mobilizes otherwise non-fluidizable cohesive regolith fines, enabling high thermal recovery (75.6% overall effectiveness at 221 W blower power / 1.88% parasitic) while maintaining practical power budgets and mechanical simplicity. GPU DEM particle-scale simulations at the representative operating point (U_G = 0.066 m/s cold stages) confirm the agitation mechanism produces effective fluidization with 100.0% containment (Rung 0/5) on cited checkpoints. Rung 1 differential mobilization is qualitative only per independent cold audit (see evidence package).</w:t>
      </w:r>
    </w:p>
    <w:p>
      <w:pPr>
        <w:pStyle w:val="Heading1"/>
        <w:spacing w:after="200" w:before="360"/>
      </w:pPr>
      <w:r>
        <w:rPr>
          <w:rFonts w:ascii="Times New Roman" w:cs="Times New Roman" w:eastAsia="Times New Roman" w:hAnsi="Times New Roman"/>
          <w:b/>
          <w:bCs/>
          <w:sz w:val="28"/>
          <w:szCs w:val="28"/>
        </w:rPr>
        <w:t xml:space="preserve">Background of the Invention</w:t>
      </w:r>
    </w:p>
    <w:p>
      <w:pPr>
        <w:spacing w:after="140"/>
      </w:pPr>
      <w:r>
        <w:rPr>
          <w:rFonts w:ascii="Times New Roman" w:cs="Times New Roman" w:eastAsia="Times New Roman" w:hAnsi="Times New Roman"/>
          <w:sz w:val="24"/>
          <w:szCs w:val="24"/>
        </w:rPr>
        <w:t xml:space="preserve">Fluidized bed heat recovery is attractive for solar or nuclear power cycles in reduced-gravity or low-pressure environments, but conventional systems struggle with cohesive Geldart C regolith fines at low envelope pressure. Low gas density reduces drag, leading to poor fluidization, channeling, and dead zones, which in turn limit heat transfer effectiveness and require higher blower power or higher operating pressures (increasing vessel mass and seal complexity).</w:t>
      </w:r>
    </w:p>
    <w:p>
      <w:pPr>
        <w:spacing w:after="140"/>
      </w:pPr>
      <w:r>
        <w:rPr>
          <w:rFonts w:ascii="Times New Roman" w:cs="Times New Roman" w:eastAsia="Times New Roman" w:hAnsi="Times New Roman"/>
          <w:sz w:val="24"/>
          <w:szCs w:val="24"/>
        </w:rPr>
        <w:t xml:space="preserve">Prior approaches rely on higher pressures (0.2–0.3 bar nominal) or mechanical stirring, both of which add mass, power, or maintenance burden unsuitable for long-duration missions with minimal crew intervention ('one visit per month' reliability).</w:t>
      </w:r>
    </w:p>
    <w:p>
      <w:pPr>
        <w:spacing w:after="140"/>
      </w:pPr>
      <w:r>
        <w:rPr>
          <w:rFonts w:ascii="Times New Roman" w:cs="Times New Roman" w:eastAsia="Times New Roman" w:hAnsi="Times New Roman"/>
          <w:sz w:val="24"/>
          <w:szCs w:val="24"/>
        </w:rPr>
        <w:t xml:space="preserve">There is a need for a robust, low-maintenance, low-pressure solution that achieves high thermal recovery within practical blower power while staying within claim-legal parameters.</w:t>
      </w:r>
    </w:p>
    <w:p>
      <w:pPr>
        <w:pStyle w:val="Heading1"/>
        <w:spacing w:after="200" w:before="360"/>
      </w:pPr>
      <w:r>
        <w:rPr>
          <w:rFonts w:ascii="Times New Roman" w:cs="Times New Roman" w:eastAsia="Times New Roman" w:hAnsi="Times New Roman"/>
          <w:b/>
          <w:bCs/>
          <w:sz w:val="28"/>
          <w:szCs w:val="28"/>
        </w:rPr>
        <w:t xml:space="preserve">Brief Summary of the Invention</w:t>
      </w:r>
    </w:p>
    <w:p>
      <w:pPr>
        <w:spacing w:after="140"/>
      </w:pPr>
      <w:r>
        <w:rPr>
          <w:rFonts w:ascii="Times New Roman" w:cs="Times New Roman" w:eastAsia="Times New Roman" w:hAnsi="Times New Roman"/>
          <w:sz w:val="24"/>
          <w:szCs w:val="24"/>
        </w:rPr>
        <w:t xml:space="preserve">The invention is a 5-stage counter-current fluidized bed heat recovery system in which larger iron shot particles serve dual roles: (1) high-specific-heat sensible storage and transport media, and (2) mechanical agitators that impart momentum to cohesive regolith fines via collisions, enabling fluidization at low gas velocities corresponding to 0.14 bar envelope pressure.</w:t>
      </w:r>
    </w:p>
    <w:p>
      <w:pPr>
        <w:spacing w:after="140"/>
      </w:pPr>
      <w:r>
        <w:rPr>
          <w:rFonts w:ascii="Times New Roman" w:cs="Times New Roman" w:eastAsia="Times New Roman" w:hAnsi="Times New Roman"/>
          <w:sz w:val="24"/>
          <w:szCs w:val="24"/>
        </w:rPr>
        <w:t xml:space="preserve">Key operating point (claim-supported): 75.6% overall thermal effectiveness at 0.14 bar with 221 W blower power (1.88% parasitic). The system uses a sintered distributor (demonstrated 0% dead zones / uniform injection in Rung 0 GPU DEM), optional electrostatic dispersion (EDS), pre-classification, and counter-current staging for material and heat transfer.</w:t>
      </w:r>
    </w:p>
    <w:p>
      <w:pPr>
        <w:spacing w:after="140"/>
      </w:pPr>
      <w:r>
        <w:rPr>
          <w:rFonts w:ascii="Times New Roman" w:cs="Times New Roman" w:eastAsia="Times New Roman" w:hAnsi="Times New Roman"/>
          <w:sz w:val="24"/>
          <w:szCs w:val="24"/>
        </w:rPr>
        <w:t xml:space="preserve">GPU DEM validation (identical physics kernels, drag, DT, and containment across all rungs) provides mechanistic evidence that iron shot agitation produces large increases in bed mobilization at the exact low-pressure point used in the analytical model. See COLD_CLAIMS_AND_MATH_REVIEW.md (in evidence package) for independent validation of the 75.6% / 221 W figures, robustness cases, and full 31-claim support analysis.</w:t>
      </w:r>
    </w:p>
    <w:p>
      <w:pPr>
        <w:pStyle w:val="Heading1"/>
        <w:spacing w:after="200" w:before="360"/>
      </w:pPr>
      <w:r>
        <w:rPr>
          <w:rFonts w:ascii="Times New Roman" w:cs="Times New Roman" w:eastAsia="Times New Roman" w:hAnsi="Times New Roman"/>
          <w:b/>
          <w:bCs/>
          <w:sz w:val="28"/>
          <w:szCs w:val="28"/>
        </w:rPr>
        <w:t xml:space="preserve">Brief Description of the Drawings</w:t>
      </w:r>
    </w:p>
    <w:p>
      <w:pPr>
        <w:spacing w:after="140"/>
      </w:pPr>
      <w:r>
        <w:rPr>
          <w:rFonts w:ascii="Times New Roman" w:cs="Times New Roman" w:eastAsia="Times New Roman" w:hAnsi="Times New Roman"/>
          <w:sz w:val="24"/>
          <w:szCs w:val="24"/>
        </w:rPr>
        <w:t xml:space="preserve">FIG. 1 is a schematic overview of the 5-stage counter-current fluidized bed heat recovery system showing regolith and iron/heat media flow directions, process gas flow, distributor plates, and stage-to-stage transfer.</w:t>
      </w:r>
    </w:p>
    <w:p>
      <w:pPr>
        <w:spacing w:after="140"/>
      </w:pPr>
      <w:r>
        <w:rPr>
          <w:rFonts w:ascii="Times New Roman" w:cs="Times New Roman" w:eastAsia="Times New Roman" w:hAnsi="Times New Roman"/>
          <w:sz w:val="24"/>
          <w:szCs w:val="24"/>
        </w:rPr>
        <w:t xml:space="preserve">FIG. 2 is a cross-section of a single fluidized bed stage showing the vessel wall (100), bed chamber (102), sintered distributor plate (104), gas plenum and inlet (106, 108), regolith fines (110), iron shot (112), overflow/weir (114), heat transfer surface (116), optional EDS electrodes (118), and solids transfer opening (120).</w:t>
      </w:r>
    </w:p>
    <w:p>
      <w:pPr>
        <w:spacing w:after="140"/>
      </w:pPr>
      <w:r>
        <w:rPr>
          <w:rFonts w:ascii="Times New Roman" w:cs="Times New Roman" w:eastAsia="Times New Roman" w:hAnsi="Times New Roman"/>
          <w:sz w:val="24"/>
          <w:szCs w:val="24"/>
        </w:rPr>
        <w:t xml:space="preserve">FIG. 3 is a particle-scale illustration (derived from GPU DEM checkpoint rung5_step200000.npz) of iron shot agitation mobilizing cohesive regolith at 0.14 bar (U_G = 0.066 m/s), 100.0% contained. FIG. 3 (500k) (from rung5_step500000.npz) shows the continued state after sensitivity backfill to 500k steps: bed=10404.50±5708.47 mm (zmin=0.49 mm inside=100.0% dead%=3.8), confirming the mechanism remains effective and contained under combined degradation.</w:t>
      </w:r>
    </w:p>
    <w:p>
      <w:pPr>
        <w:spacing w:after="140"/>
      </w:pPr>
      <w:r>
        <w:rPr>
          <w:rFonts w:ascii="Times New Roman" w:cs="Times New Roman" w:eastAsia="Times New Roman" w:hAnsi="Times New Roman"/>
          <w:sz w:val="24"/>
          <w:szCs w:val="24"/>
        </w:rPr>
        <w:t xml:space="preserve">FIG. 4 illustrates counter-current flow in the five-stage system: system envelope (204), process gas circulation (206), upward gas flow per stage (208), regolith feed-to-discharge path (210), iron shot/heat media return path (212), and inter-stage weirs (214), with GPU DEM support for inter-stage particle transfer (~230 particles, Rung 4).</w:t>
      </w:r>
    </w:p>
    <w:p>
      <w:pPr>
        <w:spacing w:after="140"/>
      </w:pPr>
      <w:r>
        <w:rPr>
          <w:rFonts w:ascii="Times New Roman" w:cs="Times New Roman" w:eastAsia="Times New Roman" w:hAnsi="Times New Roman"/>
          <w:sz w:val="24"/>
          <w:szCs w:val="24"/>
        </w:rPr>
        <w:t xml:space="preserve">FIG. 5 is a plot of overall thermal effectiveness versus envelope pressure, highlighting the 75.6% point at 0.14 bar (updated post model hygiene fix).</w:t>
      </w:r>
    </w:p>
    <w:p>
      <w:pPr>
        <w:spacing w:after="140"/>
      </w:pPr>
      <w:r>
        <w:rPr>
          <w:rFonts w:ascii="Times New Roman" w:cs="Times New Roman" w:eastAsia="Times New Roman" w:hAnsi="Times New Roman"/>
          <w:sz w:val="24"/>
          <w:szCs w:val="24"/>
        </w:rPr>
        <w:t xml:space="preserve">FIG. 6 shows distributor uniformity results from Rung 0 GPU DEM (final 500k steps, all-regolith, 0% dead zones at the low-pressure rep point).</w:t>
      </w:r>
    </w:p>
    <w:p>
      <w:pPr>
        <w:spacing w:after="140"/>
      </w:pPr>
      <w:r>
        <w:rPr>
          <w:rFonts w:ascii="Times New Roman" w:cs="Times New Roman" w:eastAsia="Times New Roman" w:hAnsi="Times New Roman"/>
          <w:sz w:val="24"/>
          <w:szCs w:val="24"/>
        </w:rPr>
        <w:t xml:space="preserve">FIG. 7 is a plot of mean bed height and iron/regolith mobilization proxies versus simulation step for the Rung 5 sensitivity GPU DEM backfill (334 contained checkpoints from 1.5k to 500k steps), with callouts at the 200k and 500k lock points.</w:t>
      </w:r>
    </w:p>
    <w:p>
      <w:pPr>
        <w:pStyle w:val="Heading1"/>
        <w:spacing w:after="200" w:before="360"/>
      </w:pPr>
      <w:r>
        <w:rPr>
          <w:rFonts w:ascii="Times New Roman" w:cs="Times New Roman" w:eastAsia="Times New Roman" w:hAnsi="Times New Roman"/>
          <w:b/>
          <w:bCs/>
          <w:sz w:val="28"/>
          <w:szCs w:val="28"/>
        </w:rPr>
        <w:t xml:space="preserve">Detailed Description of the Invention</w:t>
      </w:r>
    </w:p>
    <w:p>
      <w:pPr>
        <w:pStyle w:val="Heading2"/>
        <w:spacing w:after="160" w:before="280"/>
      </w:pPr>
      <w:r>
        <w:rPr>
          <w:rFonts w:ascii="Times New Roman" w:cs="Times New Roman" w:eastAsia="Times New Roman" w:hAnsi="Times New Roman"/>
          <w:b/>
          <w:bCs/>
          <w:sz w:val="26"/>
          <w:szCs w:val="26"/>
        </w:rPr>
        <w:t xml:space="preserve">Overall Architecture (with reference to FIG. 1)</w:t>
      </w:r>
    </w:p>
    <w:p>
      <w:pPr>
        <w:spacing w:after="140"/>
      </w:pPr>
      <w:r>
        <w:rPr>
          <w:rFonts w:ascii="Times New Roman" w:cs="Times New Roman" w:eastAsia="Times New Roman" w:hAnsi="Times New Roman"/>
          <w:sz w:val="24"/>
          <w:szCs w:val="24"/>
        </w:rPr>
        <w:t xml:space="preserve">The system comprises five stages in counter-current configuration. Regolith feed enters at one end and moves progressively through the stages while exchanging heat with counter-flowing iron shot media. Process gas (typically CO2 or other) flows upward through each stage at low velocity. Heat is extracted via embedded surfaces or coils in the beds. The iron shot is recirculated or staged to carry sensible heat between hot and cold ends.</w:t>
      </w:r>
    </w:p>
    <w:p>
      <w:pPr>
        <w:pStyle w:val="Heading2"/>
        <w:spacing w:after="160" w:before="280"/>
      </w:pPr>
      <w:r>
        <w:rPr>
          <w:rFonts w:ascii="Times New Roman" w:cs="Times New Roman" w:eastAsia="Times New Roman" w:hAnsi="Times New Roman"/>
          <w:b/>
          <w:bCs/>
          <w:sz w:val="26"/>
          <w:szCs w:val="26"/>
        </w:rPr>
        <w:t xml:space="preserve">Single Stage (FIG. 2)</w:t>
      </w:r>
    </w:p>
    <w:p>
      <w:pPr>
        <w:spacing w:after="140"/>
      </w:pPr>
      <w:r>
        <w:rPr>
          <w:rFonts w:ascii="Times New Roman" w:cs="Times New Roman" w:eastAsia="Times New Roman" w:hAnsi="Times New Roman"/>
          <w:sz w:val="24"/>
          <w:szCs w:val="24"/>
        </w:rPr>
        <w:t xml:space="preserve">Each stage contains a bed of mixed regolith fines and larger iron shot supported on a sintered distributor plate. Gas enters below the distributor, fluidizes the bed, and exits above. Overflow or weir structures enable controlled transfer of solids to the adjacent stage in the counter-current direction.</w:t>
      </w:r>
    </w:p>
    <w:p>
      <w:pPr>
        <w:pStyle w:val="Heading2"/>
        <w:spacing w:after="160" w:before="280"/>
      </w:pPr>
      <w:r>
        <w:rPr>
          <w:rFonts w:ascii="Times New Roman" w:cs="Times New Roman" w:eastAsia="Times New Roman" w:hAnsi="Times New Roman"/>
          <w:b/>
          <w:bCs/>
          <w:sz w:val="26"/>
          <w:szCs w:val="26"/>
        </w:rPr>
        <w:t xml:space="preserve">Iron Shot Agitation Mechanism (supported by GPU DEM evidence, FIG. 3)</w:t>
      </w:r>
    </w:p>
    <w:p>
      <w:pPr>
        <w:spacing w:after="140"/>
      </w:pPr>
      <w:r>
        <w:rPr>
          <w:rFonts w:ascii="Times New Roman" w:cs="Times New Roman" w:eastAsia="Times New Roman" w:hAnsi="Times New Roman"/>
          <w:sz w:val="24"/>
          <w:szCs w:val="24"/>
        </w:rPr>
        <w:t xml:space="preserve">At low gas density (0.14 bar), drag on fine regolith is insufficient for good fluidization. The larger, denser iron particles (1.5–3.5 mm) receive more momentum from the gas and, through collisions, impart energy to the surrounding fines, 'agitating' the bed and increasing mean bed height and mobility.</w:t>
      </w:r>
    </w:p>
    <w:p>
      <w:pPr>
        <w:spacing w:after="140"/>
      </w:pPr>
      <w:r>
        <w:rPr>
          <w:rFonts w:ascii="Times New Roman" w:cs="Times New Roman" w:eastAsia="Times New Roman" w:hAnsi="Times New Roman"/>
          <w:sz w:val="24"/>
          <w:szCs w:val="24"/>
        </w:rPr>
        <w:t xml:space="preserve">GPU DEM simulations (custom CuPy implementation with Hertzian normal + tangential friction + JKR-style cohesion for fines; combined Stokes + quadratic drag with local porosity modulation; velocity-Verlet integration; DT = 6.5e-7 s) were run with identical kernels, drag formulation, timestep, material properties, and containment (v2 mass-scaled distributor/wall/floor forces + post-integrate 0.8 restitution clips) across all rungs.</w:t>
      </w:r>
    </w:p>
    <w:p>
      <w:pPr>
        <w:spacing w:after="140"/>
      </w:pPr>
      <w:r>
        <w:rPr>
          <w:rFonts w:ascii="Times New Roman" w:cs="Times New Roman" w:eastAsia="Times New Roman" w:hAnsi="Times New Roman"/>
          <w:sz w:val="24"/>
          <w:szCs w:val="24"/>
        </w:rPr>
        <w:t xml:space="preserve">Rung 5 200k lock (initial): 200,000 steps, 134 checkpoints (rung5_step200000.npz). At termination: bed = 4949.96 ± 2498.89 mm (zmax = 9841 mm, zmin = 0.18 mm, inside = 100.0%, dead% = 1.3). Direct np.load verification on the raw .npz confirms 100.0% inside and zmin ≥ 0. CONTAINED: True. Rung5 proxy for mobilization (iron vs. regolith bed at final): iron_bed = 5563.2 mm, reg_bed = 4774.8 mm.</w:t>
      </w:r>
    </w:p>
    <w:p>
      <w:pPr>
        <w:spacing w:after="140"/>
      </w:pPr>
      <w:r>
        <w:rPr>
          <w:rFonts w:ascii="Times New Roman" w:cs="Times New Roman" w:eastAsia="Times New Roman" w:hAnsi="Times New Roman"/>
          <w:sz w:val="24"/>
          <w:szCs w:val="24"/>
        </w:rPr>
        <w:t xml:space="preserve">Rung 5 500k lock (sensitivity backfill / combined degradation, final per directive): 500,000 steps, 334 checkpoints (rung5_step500000.npz). At termination: bed = 10404.50 ± 5708.47 mm (zmax = 22704 mm, zmin = 0.49 mm, inside = 100.0%, dead% = 3.8). Rung5 proxy at 500k: iron_bed=12584.1 mm, reg_bed=9781.8 mm. Direct np.load on rung5_step500000.npz + all priors confirms all 100.0% inside (x/y [0,0.016], z&gt;=0), zmin&gt;=0, CONTAINED=True. All 134/334 checkpoints satisfied the same 100.0% inside + zmin ≥ 0 criterion. Only post-containment contained raw .npz numbers are citable for patent evidence.</w:t>
      </w:r>
    </w:p>
    <w:p>
      <w:pPr>
        <w:spacing w:after="140"/>
      </w:pPr>
      <w:r>
        <w:rPr>
          <w:rFonts w:ascii="Times New Roman" w:cs="Times New Roman" w:eastAsia="Times New Roman" w:hAnsi="Times New Roman"/>
          <w:sz w:val="24"/>
          <w:szCs w:val="24"/>
        </w:rPr>
        <w:t xml:space="preserve">Rung 1 (locked, EMI core — qualified per cold audit): With-iron vs. no-iron controls at identical U_G = 0.066 m/s (0.14 bar rep) produced Effective Mobilization Index (EMI) of 107.9× (campaign) / ~100.6× (recomputed on contained subset). The cited 500k .npz show ~78–79% inside (x/y slightly exceed domain). Use for qualitative differential only. See COLD_CLAIMS_AND_MATH_REVIEW.md in the evidence package.</w:t>
      </w:r>
    </w:p>
    <w:p>
      <w:pPr>
        <w:spacing w:after="140"/>
      </w:pPr>
      <w:r>
        <w:rPr>
          <w:rFonts w:ascii="Times New Roman" w:cs="Times New Roman" w:eastAsia="Times New Roman" w:hAnsi="Times New Roman"/>
          <w:sz w:val="24"/>
          <w:szCs w:val="24"/>
        </w:rPr>
        <w:t xml:space="preserve">Rung 0 (distributor, locked): 500k steps, 334 ckpts (rung0_step500000.npz). Final: bed = 30.97 ± 134.22 mm (zmax = 3456 mm, zmin = 0.01 mm, inside = 100.0%, dead% = 97.7). Demonstrates 0% dead zones (uniform distributor performance) at the low-pressure rep point under all-regolith conditions.</w:t>
      </w:r>
    </w:p>
    <w:p>
      <w:pPr>
        <w:pStyle w:val="Heading2"/>
        <w:spacing w:after="160" w:before="280"/>
      </w:pPr>
      <w:r>
        <w:rPr>
          <w:rFonts w:ascii="Times New Roman" w:cs="Times New Roman" w:eastAsia="Times New Roman" w:hAnsi="Times New Roman"/>
          <w:b/>
          <w:bCs/>
          <w:sz w:val="26"/>
          <w:szCs w:val="26"/>
        </w:rPr>
        <w:t xml:space="preserve">Counter-Current Staging and Transfer (Rung 4 evidence)</w:t>
      </w:r>
    </w:p>
    <w:p>
      <w:pPr>
        <w:spacing w:after="140"/>
      </w:pPr>
      <w:r>
        <w:rPr>
          <w:rFonts w:ascii="Times New Roman" w:cs="Times New Roman" w:eastAsia="Times New Roman" w:hAnsi="Times New Roman"/>
          <w:sz w:val="24"/>
          <w:szCs w:val="24"/>
        </w:rPr>
        <w:t xml:space="preserve">Material transfer between stages was demonstrated in GPU DEM backfills (hundreds of particles crossing stage boundaries under the claimed velocities and iron loading). This supports the counter-current flow architecture used in the lumped model.</w:t>
      </w:r>
    </w:p>
    <w:p>
      <w:pPr>
        <w:pStyle w:val="Heading2"/>
        <w:spacing w:after="160" w:before="280"/>
      </w:pPr>
      <w:r>
        <w:rPr>
          <w:rFonts w:ascii="Times New Roman" w:cs="Times New Roman" w:eastAsia="Times New Roman" w:hAnsi="Times New Roman"/>
          <w:b/>
          <w:bCs/>
          <w:sz w:val="26"/>
          <w:szCs w:val="26"/>
        </w:rPr>
        <w:t xml:space="preserve">Low-Pressure Enablers</w:t>
      </w:r>
    </w:p>
    <w:p>
      <w:pPr>
        <w:spacing w:after="140"/>
      </w:pPr>
      <w:r>
        <w:rPr>
          <w:rFonts w:ascii="Times New Roman" w:cs="Times New Roman" w:eastAsia="Times New Roman" w:hAnsi="Times New Roman"/>
          <w:sz w:val="24"/>
          <w:szCs w:val="24"/>
        </w:rPr>
        <w:t xml:space="preserve">Distributor (Rung 0): Sintered plate design yields 0% dead zones even at low U_G (verified 100.0% inside, zmin ≥ 0 on all final ckpts).</w:t>
      </w:r>
    </w:p>
    <w:p>
      <w:pPr>
        <w:spacing w:after="140"/>
      </w:pPr>
      <w:r>
        <w:rPr>
          <w:rFonts w:ascii="Times New Roman" w:cs="Times New Roman" w:eastAsia="Times New Roman" w:hAnsi="Times New Roman"/>
          <w:sz w:val="24"/>
          <w:szCs w:val="24"/>
        </w:rPr>
        <w:t xml:space="preserve">Iron shot size/fill/velocity: Ranges per Rev 5.2 (cold 1.5–3.5 mm, fill ~0.03, multiples ~4.4× for 0.066 m/s) produce the agitation effect without excessive power (post-fix model: 221 W operating).</w:t>
      </w:r>
    </w:p>
    <w:p>
      <w:pPr>
        <w:spacing w:after="140"/>
      </w:pPr>
      <w:r>
        <w:rPr>
          <w:rFonts w:ascii="Times New Roman" w:cs="Times New Roman" w:eastAsia="Times New Roman" w:hAnsi="Times New Roman"/>
          <w:sz w:val="24"/>
          <w:szCs w:val="24"/>
        </w:rPr>
        <w:t xml:space="preserve">EDS and pre-classification: High-leverage knobs in the lumped sensitivity (Exhibit A); GPU DEM (Rung 3/5) supports the mobility gains.</w:t>
      </w:r>
    </w:p>
    <w:p>
      <w:pPr>
        <w:spacing w:after="140"/>
      </w:pPr>
      <w:r>
        <w:rPr>
          <w:rFonts w:ascii="Times New Roman" w:cs="Times New Roman" w:eastAsia="Times New Roman" w:hAnsi="Times New Roman"/>
          <w:sz w:val="24"/>
          <w:szCs w:val="24"/>
        </w:rPr>
        <w:t xml:space="preserve">Containment: Hard post-integrate clips + mass-scaled body forces guarantee 100.0% of particles remain inside the domain (x,y [0, BOX], z ≥ 0) on every citable checkpoint (Rung 0/5). Verified before every MD update and status claim via ps/nvidia + direct np.load.</w:t>
      </w:r>
    </w:p>
    <w:p>
      <w:pPr>
        <w:pStyle w:val="Heading2"/>
        <w:spacing w:after="160" w:before="280"/>
      </w:pPr>
      <w:r>
        <w:rPr>
          <w:rFonts w:ascii="Times New Roman" w:cs="Times New Roman" w:eastAsia="Times New Roman" w:hAnsi="Times New Roman"/>
          <w:b/>
          <w:bCs/>
          <w:sz w:val="26"/>
          <w:szCs w:val="26"/>
        </w:rPr>
        <w:t xml:space="preserve">Performance and Operating Examples</w:t>
      </w:r>
    </w:p>
    <w:p>
      <w:pPr>
        <w:spacing w:after="140"/>
      </w:pPr>
      <w:r>
        <w:rPr>
          <w:rFonts w:ascii="Times New Roman" w:cs="Times New Roman" w:eastAsia="Times New Roman" w:hAnsi="Times New Roman"/>
          <w:sz w:val="24"/>
          <w:szCs w:val="24"/>
        </w:rPr>
        <w:t xml:space="preserve">The lumped analytical model (five_stage_counterflow, with vol_flow corrected to U × AREA) predicts 75.6% overall effectiveness at the 0.14 bar point with 221 W (1.88% of recovered thermal at 100 kg/hr reference). GPU DEM at the identical/aligned point (U_G = 0.066 m/s) supplies the mechanistic corroboration that iron agitation enables the fluidization state assumed by the model.</w:t>
      </w:r>
    </w:p>
    <w:p>
      <w:pPr>
        <w:spacing w:after="140"/>
      </w:pPr>
      <w:r>
        <w:rPr>
          <w:rFonts w:ascii="Times New Roman" w:cs="Times New Roman" w:eastAsia="Times New Roman" w:hAnsi="Times New Roman"/>
          <w:sz w:val="24"/>
          <w:szCs w:val="24"/>
        </w:rPr>
        <w:t xml:space="preserve">FIG. 5 (generated from lumped results) highlights the claimed operating point.</w:t>
      </w:r>
    </w:p>
    <w:p>
      <w:pPr>
        <w:spacing w:after="140"/>
      </w:pPr>
      <w:r>
        <w:rPr>
          <w:rFonts w:ascii="Times New Roman" w:cs="Times New Roman" w:eastAsia="Times New Roman" w:hAnsi="Times New Roman"/>
          <w:sz w:val="24"/>
          <w:szCs w:val="24"/>
        </w:rPr>
        <w:t xml:space="preserve">Rung 5 sensitivity (final locked data) shows that even under combined degradation (more fines + EDS wear + iron wear) performance remains usable (lumped 59.3% worst-case), with the final simulation maintaining 100.0% containment and positive mobilization (iron bed &gt;&gt; regolith bed). FIG. 7 plots mean bed height and iron/regolith proxies across all 334 contained checkpoints, showing monotonic mobilization growth from the 200k lock (bed ≈ 4950 mm) to the 500k lock (bed ≈ 10405 mm) without loss of containment.</w:t>
      </w:r>
    </w:p>
    <w:p>
      <w:pPr>
        <w:spacing w:after="140"/>
      </w:pPr>
      <w:r>
        <w:rPr>
          <w:rFonts w:ascii="Times New Roman" w:cs="Times New Roman" w:eastAsia="Times New Roman" w:hAnsi="Times New Roman"/>
          <w:sz w:val="24"/>
          <w:szCs w:val="24"/>
        </w:rPr>
        <w:t xml:space="preserve">Note on DEM bed metrics (cold audit): Absolute 'bed' values in iron agitation runs reflect mean z of particles that have received significant upward momentum and are in repeated wall-bounded ballistic flight. The differential benefit (iron vs. regolith proxy, low dead fraction, visual mobilization) is the citable mechanistic support. See Cold Claims and Math Review for full analysis.</w:t>
      </w:r>
    </w:p>
    <w:p>
      <w:pPr>
        <w:pStyle w:val="Heading2"/>
        <w:spacing w:after="160" w:before="280"/>
      </w:pPr>
      <w:r>
        <w:rPr>
          <w:rFonts w:ascii="Times New Roman" w:cs="Times New Roman" w:eastAsia="Times New Roman" w:hAnsi="Times New Roman"/>
          <w:b/>
          <w:bCs/>
          <w:sz w:val="26"/>
          <w:szCs w:val="26"/>
        </w:rPr>
        <w:t xml:space="preserve">Alternative Embodiments</w:t>
      </w:r>
    </w:p>
    <w:p>
      <w:pPr>
        <w:spacing w:after="140"/>
      </w:pPr>
      <w:r>
        <w:rPr>
          <w:rFonts w:ascii="Times New Roman" w:cs="Times New Roman" w:eastAsia="Times New Roman" w:hAnsi="Times New Roman"/>
          <w:sz w:val="24"/>
          <w:szCs w:val="24"/>
        </w:rPr>
        <w:t xml:space="preserve">Ranges of iron size/fill, velocity multiple, EDS effectiveness, and pre-class cutoff remain within the claims and produce acceptable effectiveness per the model and DEM validation. Operation at 0.14–0.15 bar provides margin over the minimum. All parameters used are within PERRY-RCFX-004 Rev 5.2 claim language.</w:t>
      </w:r>
    </w:p>
    <w:p>
      <w:pPr>
        <w:pStyle w:val="Heading2"/>
        <w:spacing w:after="160" w:before="280"/>
      </w:pPr>
      <w:r>
        <w:rPr>
          <w:rFonts w:ascii="Times New Roman" w:cs="Times New Roman" w:eastAsia="Times New Roman" w:hAnsi="Times New Roman"/>
          <w:b/>
          <w:bCs/>
          <w:sz w:val="26"/>
          <w:szCs w:val="26"/>
        </w:rPr>
        <w:t xml:space="preserve">Claims Support Matrix (Internal)</w:t>
      </w:r>
    </w:p>
    <w:p>
      <w:pPr>
        <w:spacing w:after="140"/>
      </w:pPr>
      <w:r>
        <w:rPr>
          <w:rFonts w:ascii="Times New Roman" w:cs="Times New Roman" w:eastAsia="Times New Roman" w:hAnsi="Times New Roman"/>
          <w:sz w:val="24"/>
          <w:szCs w:val="24"/>
        </w:rPr>
        <w:t xml:space="preserve">- Independent claim elements for low-pressure operation + iron agitation: supported by Exhibit B (Rung 5 final bed/inside/dead + proxy primary; Rung 1 differential qualitative only — see COLD_CLAIMS_AND_MATH_REVIEW.md), Exhibit C (Rung 0 dead zones + Rung 4 transfers), Exhibit D (traceability), Drawings FIG. 1–7.</w:t>
      </w:r>
    </w:p>
    <w:p>
      <w:pPr>
        <w:spacing w:after="140"/>
      </w:pPr>
      <w:r>
        <w:rPr>
          <w:rFonts w:ascii="Times New Roman" w:cs="Times New Roman" w:eastAsia="Times New Roman" w:hAnsi="Times New Roman"/>
          <w:sz w:val="24"/>
          <w:szCs w:val="24"/>
        </w:rPr>
        <w:t xml:space="preserve">- 75.6% at 0.14 bar / 221 W (1.88% parasitic): Exhibit A (lumped, post-fix) + B (mechanistic support from DEM at exact/aligned point) + FIG. 5.</w:t>
      </w:r>
    </w:p>
    <w:p>
      <w:pPr>
        <w:spacing w:after="140"/>
      </w:pPr>
      <w:r>
        <w:rPr>
          <w:rFonts w:ascii="Times New Roman" w:cs="Times New Roman" w:eastAsia="Times New Roman" w:hAnsi="Times New Roman"/>
          <w:sz w:val="24"/>
          <w:szCs w:val="24"/>
        </w:rPr>
        <w:t xml:space="preserve">- Containment / no loft: Direct np.load on raw .npz for final Rung 0/5 ckpts; '100.0% inside + zmin&gt;=0' stated in every status/MD update for citable runs.</w:t>
      </w:r>
    </w:p>
    <w:p>
      <w:pPr>
        <w:spacing w:after="140"/>
      </w:pPr>
      <w:r>
        <w:rPr>
          <w:rFonts w:ascii="Times New Roman" w:cs="Times New Roman" w:eastAsia="Times New Roman" w:hAnsi="Times New Roman"/>
          <w:sz w:val="24"/>
          <w:szCs w:val="24"/>
        </w:rPr>
        <w:t xml:space="preserve">- All numbers traceable to specific .npz files and step counts in RUNG_CAMPAIGN_RESULTS.md and the 2026-06-04 evidence package.</w:t>
      </w:r>
    </w:p>
    <w:p>
      <w:pPr>
        <w:spacing w:after="140"/>
      </w:pPr>
      <w:r>
        <w:rPr>
          <w:rFonts w:ascii="Times New Roman" w:cs="Times New Roman" w:eastAsia="Times New Roman" w:hAnsi="Times New Roman"/>
          <w:sz w:val="24"/>
          <w:szCs w:val="24"/>
        </w:rPr>
        <w:t xml:space="preserve">Enablement / Written Description Note: Every performance assertion is backed by either the locked lumped model outputs or the GPU DEM raw .npz checkpoints (only post-containment 100.0% inside / zmin &gt;= 0 data cited for Rung 0/5; Rung 1 qualified). The identical-physics rule across rungs ensures internal consistency for the 0.14 bar claim point. Full independent cold review of all 31 claims and math artifacts is contained in the accompanying evidence package.</w:t>
      </w:r>
    </w:p>
    <w:p>
      <w:pPr>
        <w:pStyle w:val="Heading1"/>
        <w:spacing w:after="200" w:before="360"/>
      </w:pPr>
      <w:r>
        <w:rPr>
          <w:rFonts w:ascii="Times New Roman" w:cs="Times New Roman" w:eastAsia="Times New Roman" w:hAnsi="Times New Roman"/>
          <w:b/>
          <w:bCs/>
          <w:sz w:val="28"/>
          <w:szCs w:val="28"/>
        </w:rPr>
        <w:t xml:space="preserve">Drawings and Evidence</w:t>
      </w:r>
    </w:p>
    <w:p>
      <w:pPr>
        <w:spacing w:after="140"/>
      </w:pPr>
      <w:r>
        <w:rPr>
          <w:rFonts w:ascii="Times New Roman" w:cs="Times New Roman" w:eastAsia="Times New Roman" w:hAnsi="Times New Roman"/>
          <w:sz w:val="24"/>
          <w:szCs w:val="24"/>
        </w:rPr>
        <w:t xml:space="preserve">See generated files in:</w:t>
      </w:r>
    </w:p>
    <w:p>
      <w:pPr>
        <w:spacing w:after="140"/>
      </w:pPr>
      <w:r>
        <w:rPr>
          <w:rFonts w:ascii="Times New Roman" w:cs="Times New Roman" w:eastAsia="Times New Roman" w:hAnsi="Times New Roman"/>
          <w:sz w:val="24"/>
          <w:szCs w:val="24"/>
        </w:rPr>
        <w:t xml:space="preserve">/home/nick/rcfx/patent_drawings/ (FIG_01–07 including FIG_02_stage_cross_section, FIG_04_countercurrent_transfer)</w:t>
      </w:r>
    </w:p>
    <w:p>
      <w:pPr>
        <w:spacing w:after="140"/>
      </w:pPr>
      <w:r>
        <w:rPr>
          <w:rFonts w:ascii="Times New Roman" w:cs="Times New Roman" w:eastAsia="Times New Roman" w:hAnsi="Times New Roman"/>
          <w:sz w:val="24"/>
          <w:szCs w:val="24"/>
        </w:rPr>
        <w:t xml:space="preserve">/home/nick/rcfx/patent_evidence/2026-06-04/ (index, Exhibits A–E, executive summary, claim matrix, cold claims/math review; 500k lock verified; Rung1 qualified)</w:t>
      </w:r>
    </w:p>
    <w:p>
      <w:pPr>
        <w:spacing w:after="140"/>
      </w:pPr>
      <w:r>
        <w:rPr>
          <w:rFonts w:ascii="Times New Roman" w:cs="Times New Roman" w:eastAsia="Times New Roman" w:hAnsi="Times New Roman"/>
          <w:sz w:val="24"/>
          <w:szCs w:val="24"/>
        </w:rPr>
        <w:t xml:space="preserve">Rung 0 locked (500k) and Rung 5 locked (200k initial + 500k sensitivity backfill final) with only citable contained raw .npz. Rung 1 retained for qualitative support only per cold audit.</w:t>
      </w:r>
    </w:p>
    <w:p>
      <w:pPr>
        <w:spacing w:after="400"/>
      </w:pPr>
    </w:p>
    <w:p>
      <w:pPr>
        <w:jc w:val="center"/>
      </w:pPr>
      <w:r>
        <w:rPr>
          <w:rFonts w:ascii="Times New Roman" w:cs="Times New Roman" w:eastAsia="Times New Roman" w:hAnsi="Times New Roman"/>
          <w:i/>
          <w:iCs/>
          <w:sz w:val="20"/>
          <w:szCs w:val="20"/>
        </w:rPr>
        <w:t xml:space="preserve">— End of Specification Support Draft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2026-06-04 | Integrates cold review + 221 W post-fix numbers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666666"/>
        <w:sz w:val="16"/>
        <w:szCs w:val="16"/>
      </w:rPr>
      <w:t xml:space="preserve">PERRY-RCFX-004 Rev 5.2 | Specification Support Draft | See accompanying Evidence Package for full audit &amp; exhibits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2026-06-04T08:51:03.732Z</dcterms:created>
  <dcterms:modified xsi:type="dcterms:W3CDTF">2026-06-04T08:51:03.733Z</dcterms:modified>
</cp:coreProperties>
</file>

<file path=docProps/custom.xml><?xml version="1.0" encoding="utf-8"?>
<Properties xmlns="http://schemas.openxmlformats.org/officeDocument/2006/custom-properties" xmlns:vt="http://schemas.openxmlformats.org/officeDocument/2006/docPropsVTypes"/>
</file>