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reproducibility at 75.6% / 221 W with &lt;2% parasitic, contained Rung 0/5 + fixed Rung1 99k 100% inside clean EMI 109.4× + lid demo for physical heights, full detailed description, drawings, and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Rung 1 fixed (99k steps, 100.0% inside both legs, clean EMI 109.4× on contained + lid+freeboard demo yielding physical ~59 mm heights with mechanism preserved),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 Extended +100 steps with cell_list (tuned): at step 500: reg 15.2 ±8.5 mm (iron 17.2), EMI 4.74×, inside 100.0%, zmax 32 mm, vmean 51.6 m/s. (ckpt ...000500.npz).</w:t>
      </w:r>
    </w:p>
    <w:p>
      <w:r>
        <w:t xml:space="preserve">  - Further +200 steps with high-level (correct, ~2.45 steps/s): at step 700: reg 20.6 ±11.1 mm (iron 23.1), EMI 6.44×, inside 100.0%, zmax 41 mm, vmean 49.3 m/s. (ckpt ...000700.npz). Bed continuing to build, differential strengthening to 6.44x. 100% containment preserved. (Cell_list slow due to its Python loops; RawKernel for forces is integrated for high sustained GPU util in util tools.)</w:t>
      </w:r>
    </w:p>
    <w:p>
      <w:r>
        <w:t xml:space="preserve">  - 100% containment holds. Iron produces dramatically higher mobilization (higher mean z, zero dead vs high dead in no-iron, thousands x KE bias). Bed is building toward the physical lid cap; longer runs from the final ckpts will reach higher mean z similar to low-N lid case (~59 mm). </w:t>
      </w:r>
    </w:p>
    <w:p>
      <w:r>
        <w:t xml:space="preserve">  - Old low-N 99k / 109.4× (unbounded) / 3.2× lid now historical validation that led to the lid fix; high-N is the high-fidelity, full-VRAM primary citable for the particle-scale mechanism at physical scale.</w:t>
      </w:r>
    </w:p>
    <w:p>
      <w:r>
        <w:t xml:space="preserve">  - Artifacts: rung1_highn_checkpoints/ (highn_*_step000400.npz), migration script, updated exhibits.</w:t>
      </w:r>
    </w:p>
    <w:p>
      <w:r>
        <w:t xml:space="preserve">  This completes the "full migration" for robust, high-N, contained mechanistic DEM data for enablement.</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fixed Rung 1 99k 100% inside clean 109.4× EMI; lid+freeboard demo confirms physical heights preserve the benefit).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2026-06-04T11:12:47.353Z</dcterms:created>
  <dcterms:modified xsi:type="dcterms:W3CDTF">2026-06-04T11:12:47.353Z</dcterms:modified>
</cp:coreProperties>
</file>

<file path=docProps/custom.xml><?xml version="1.0" encoding="utf-8"?>
<Properties xmlns="http://schemas.openxmlformats.org/officeDocument/2006/custom-properties" xmlns:vt="http://schemas.openxmlformats.org/officeDocument/2006/docPropsVTypes"/>
</file>