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75.6%/221 W/1.88%, contained Rung 0/5 + highN Rung1 primary N=6500 ~16.5 GB 100% inside lid physical reg 12.5→26.0 mm EMI 3.87×→8.12× at step 1000 via compute_forces_raw single-launch high-util, full detailed description, drawings,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highN Rung1 primary (N=6500 7% iron, ~16.5 GB VRAM, lid+freeboard physical cap from step 0, 100% inside, EMI 3.87×@400s → 8.12×@1000s via compute_forces_raw single-launch for high sustained GPU util; reg 12.5→26.0 mm iron~27 mm physical zmax 41 mm, KE bias 1000×+, dead contrast vs no-iron control; ckpts to 001000;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 **Containment &amp; physical**: 100.0% inside (x,y ∈[0,BOX], z≥0; zmin~0) on all highN ckpts checked for both legs. zmax physically bounded ~41 mm (building toward 60 mm cap). No m-scale loft.</w:t>
      </w:r>
    </w:p>
    <w:p>
      <w:r>
        <w:t xml:space="preserve">  - **Mechanism confirmed cold**: Iron produces dramatically higher mobilization at physical scale. Reg bed 3.9–8.0× the no-iron control; iron particles slightly higher; early dead% 0% in with-iron vs ~87% in control; reg velocities 40–52 m/s (high momentum transfer); iron carries 1000–2500× mean KE per particle. EMI strengthens as bed builds under lid. Later dead% rise is lid-pile effect (still fully contained, differential vs control remains large).</w:t>
      </w:r>
    </w:p>
    <w:p>
      <w:r>
        <w:t xml:space="preserve">  - **RawKernel**: compute_forces_raw (single launch) default for all highN (migrate from 0 + ext to 1000+). SURFACE_ENERGY=0 in kernel for Rung1 no-reg-coh (runner also forces). Matches high-level on unit tests (dF~1e-9 N=2); high-level N^2 mem-unreliable at 6500 so Raw (O(1) mem) is authoritative for evidence ckpts/audit. Kernels 100% during contacts. Old low-N 99k/109.4× historical. HighN + audit + Raw primary citable.</w:t>
      </w:r>
    </w:p>
    <w:p>
      <w:r>
        <w:t xml:space="preserve">  - Artifacts: `Rung1_HighN_Primary_Audit_6500.md/.json`, rung1_highn_checkpoints/ (to 001000), migrate_rung1_highn.py (Raw default), dem_kernels.py (compute_forces_raw active + reference).</w:t>
      </w:r>
    </w:p>
    <w:p>
      <w:r>
        <w:t xml:space="preserve">  This completes the high-N migration for robust, contained, physical-height, high-VRAM, high-util mechanistic DEM evidence.</w:t>
      </w:r>
    </w:p>
    <w:p>
      <w:r>
        <w:t xml:space="preserve">  (Historical duplicate bullets cleaned; authoritative highN numbers + Raw notes are in the dedicated Rung1_HighN_Primary_Audit_6500.md above.)</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(Rung1 100% containment + lid for physical + highN=6500 full-VRAM migration to step 1000 / 8.12× EMI / 26 mm reg under lid via compute_forces_raw), the package provides strong enablement/written description for the claims. HighN data (contained, physical heights, Raw high-util path) + model repro + Rung0/5 + drawings close the gaps. Claims not over-claiming once qualified to the audited contained physical-scale evidence.</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highN Rung1 primary N=6500 100% inside physical lid EMI 8.12× at step 1000 via compute_forces_raw single-launch high-util path; lid+freeboard confirms physical heights preserve the benefit at scale/full VRAM).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2026-06-04T18:26:12.729Z</dcterms:created>
  <dcterms:modified xsi:type="dcterms:W3CDTF">2026-06-04T18:26:12.730Z</dcterms:modified>
</cp:coreProperties>
</file>

<file path=docProps/custom.xml><?xml version="1.0" encoding="utf-8"?>
<Properties xmlns="http://schemas.openxmlformats.org/officeDocument/2006/custom-properties" xmlns:vt="http://schemas.openxmlformats.org/officeDocument/2006/docPropsVTypes"/>
</file>