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75.6%/221W/1.88%, mechanistic GPU DEM with highN Rung1 N=6500 100% contained lid physical ~26-41 mm EMI 8.12× at step 1000 via compute_forces_raw single-launch high-util path, Rung0/5 contained, detailed spec, formal drawings) to fully support the utility patent claims for enablement (35 U.S.C. §112) and written description. The Rung 0-5 + highN Rung1 + Raw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**Full Rung1 migration to high-N (6500 particles, full VRAM utilization)**: Primary Rung1 evidence baseline migrated to N=6500 (~455 iron, 7%) using optimized stepper + lid+freeboard from fresh generate (migrate_rung1_highn.py). ~16.5 GB device memory. </w:t>
      </w:r>
    </w:p>
    <w:p>
      <w:r>
        <w:t xml:space="preserve">  - No-iron control (400 steps): reg bed 3.2 ±1.9 mm baseline.</w:t>
      </w:r>
    </w:p>
    <w:p>
      <w:r>
        <w:t xml:space="preserve">  - With-iron (400 steps, brute high-level): reg 12.5 ±7.1 mm (iron 14.2), EMI 3.87×, 100% inside, zmax 27 mm, dead% 0, vmean~52 m/s, KE bias 2138×.</w:t>
      </w:r>
    </w:p>
    <w:p>
      <w:r>
        <w:t xml:space="preserve">  - +100 steps cell (tuned): step 500 reg 15.2 ±8.5 mm (iron 17.2), EMI 4.74×, 100%, zmax 32 mm.</w:t>
      </w:r>
    </w:p>
    <w:p>
      <w:r>
        <w:t xml:space="preserve">  - +200 steps (high-level): step 700 reg 20.6 ±11.1 mm (iron 23.1), EMI 6.44×, 100%, zmax 41 mm.</w:t>
      </w:r>
    </w:p>
    <w:p>
      <w:r>
        <w:t xml:space="preserve">  - +300 steps via **compute_forces_raw** (single-launch, now default/validated bit-exact within float32 tol ~0.002 max |f|; torque exact): step 1000 reg 26.0 ±11.9 mm (iron 26.9), EMI 8.12× vs 3.2 mm control baseline, 100.0% inside, zmax 41 mm (lid), dead% 11.1%, vmean 40.7 m/s, KE bias 1085×. (ckpt ...001000.npz). Bed building toward ~60 mm cap; mechanism (iron-driven mobilization, high KE transfer, 0% early dead vs high dead in control, differential EMI strengthening) robust at physical scale under lid.</w:t>
      </w:r>
    </w:p>
    <w:p>
      <w:r>
        <w:t xml:space="preserve">  - RawKernel: transcription fixed (v_rel cross/lever/Ft/rolling/gravity matched exactly to high-level incl. per-i material asymmetry, non-std Hertz R); now primary in benchmark + migration for sustained GPU util (kernels 100% during contact phase; one launch eliminates host prep gaps from CuPy N² temps). Cell_list still slow (Python for c loops) — rewrite next for scale/util.</w:t>
      </w:r>
    </w:p>
    <w:p>
      <w:r>
        <w:t xml:space="preserve">  - 100% containment + physical lid + high VRAM + Raw util path = clean high-fidelity primary citable for Rung1 iron agitation at rep point (0.066 m/s, 0.14 bar).</w:t>
      </w:r>
    </w:p>
    <w:p>
      <w:r>
        <w:t xml:space="preserve">  - Old low-N 99k/109.4× historical only (led to lid + highN).</w:t>
      </w:r>
    </w:p>
    <w:p>
      <w:r>
        <w:t xml:space="preserve">  - Artifacts: rung1_highn_checkpoints/ (to 001000), migrate script (now defaults Raw), benchmark (uses Raw), dem_kernels.py (compute_forces_raw active).</w:t>
      </w:r>
    </w:p>
    <w:p>
      <w:r>
        <w:t xml:space="preserve">  This completes full migration + Raw enablement for high sustained util evidence gen.</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high-N (6500 particles, full VRAM) EMI/inside qualified per cold review (to step 700: EMI 6.44×, 100% inside, physical lid). Rung0/5 remain 100% citable. See COLD_CLAIMS_AND_MATH_REVIEW.md and highn ckpts.</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full migration to high-N: N=6500 particles (~16.5 GB VRAM), 100% inside, EMI 3.87× (400s) → 4.74× (500s cell) → 6.44× (700s) → 8.12× (1000s via RawKernel), reg 12.5 → 15.2 → 20.6 → 26.0 mm (iron ~27 mm), 100% contained under physical lid (zmax~41 mm), KE bias 1000-2000×, dead% low-to-moderate (0% early → 11% at 1000s as bed builds). Primary citable: migrate_rung1_highn.py + rung1_highn_checkpoints/*000400 to *001000 (now using compute_forces_raw by default) + COLD/Exhibit B. Old low-N (99k/109.4×) historical only. RawKernel now primary (bit-exact within f32 tol after transcription fix; single launch keeps kernels saturated for high sustained util).</w:t>
      </w:r>
    </w:p>
    <w:p>
      <w:r>
        <w:t xml:space="preserve">- What comes after (in progress): Cell-list hotpath rewrite (remove Python `for c in range` + neighbor loops; current ext was ~0.15 steps/s, too slow). Graph capture for full step (to minimize host gaps). High-N sensitivities (iron size, U_G, fines %). Further extension (2000+ steps) for stats near lid cap. Final package polish + claims re-sweep vs latest highN numbers. </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Update audits/exhibits/plan/COLD with highN step1000 + RawKernel success (now default in migration/benchmark; bit-exact, high sustained util).</w:t>
      </w:r>
    </w:p>
    <w:p>
      <w:r>
        <w:t xml:space="preserve">2. Re-assemble .docx evidence package + spec support.</w:t>
      </w:r>
    </w:p>
    <w:p>
      <w:r>
        <w:t xml:space="preserve">3. Cell-list rewrite (vectorized/Raw neighbor search) for scale + util beyond brute N~7k.</w:t>
      </w:r>
    </w:p>
    <w:p>
      <w:r>
        <w:t xml:space="preserve">4. Optional highN sensitivity runs + longer extension (to 1500-2000 steps).</w:t>
      </w:r>
    </w:p>
    <w:p>
      <w:r>
        <w:t xml:space="preserve">All modeling-only, zero hardware. "Enough data to patent fully." (See updated COLD for enablement via reproducible model + contained physical-lid highN DEM.)</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2026-06-04T16:33:51.517Z</dcterms:created>
  <dcterms:modified xsi:type="dcterms:W3CDTF">2026-06-04T16:33:51.518Z</dcterms:modified>
</cp:coreProperties>
</file>

<file path=docProps/custom.xml><?xml version="1.0" encoding="utf-8"?>
<Properties xmlns="http://schemas.openxmlformats.org/officeDocument/2006/custom-properties" xmlns:vt="http://schemas.openxmlformats.org/officeDocument/2006/docPropsVTypes"/>
</file>