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75.6%/221 W/1.88%, contained Rung 0/5 + highN Rung1 primary N=6500 ~16.5 GB 100% inside lid physical reg 12.5→26.0 mm EMI 3.87×→8.12× at step 1000 via compute_forces_raw single-launch high-util, full detailed description, drawings,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highN Rung1 primary (N=6500 7% iron, ~16.5 GB VRAM, lid+freeboard physical cap from step 0, 100% inside, EMI 3.87×@400s → 8.12×@1000s via compute_forces_raw single-launch for high sustained GPU util; reg 12.5→26.0 mm iron~27 mm physical zmax 41 mm, KE bias 1000×+, dead contrast vs no-iron control; ckpts to 001000;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 +300 steps via **compute_forces_raw** (single-launch, now default/validated bit-exact within float32 tol ~0.002 max |f|; torque exact): step 1000 reg 26.0 ±11.9 mm (iron 26.9), EMI 8.12× vs 3.2 mm control baseline, 100.0% inside, zmax 41 mm (lid), dead% 11.1%, vmean 40.7 m/s, KE bias 1085×. (ckpt ...001000.npz). Bed building toward ~60 mm cap; mechanism (iron-driven mobilization, high KE transfer, 0% early dead vs high dead in control, differential EMI strengthening) robust at physical scale under lid.</w:t>
      </w:r>
    </w:p>
    <w:p>
      <w:r>
        <w:t xml:space="preserve">  - RawKernel: transcription fixed (v_rel cross/lever/Ft/rolling/gravity matched exactly to high-level incl. per-i material asymmetry, non-std Hertz R); now primary in benchmark + migration for sustained GPU util (kernels 100% during contact phase; one launch eliminates host prep gaps from CuPy N² temps). Cell_list still slow (Python for c loops) — rewrite next for scale/util.</w:t>
      </w:r>
    </w:p>
    <w:p>
      <w:r>
        <w:t xml:space="preserve">  - 100% containment + physical lid + high VRAM + Raw util path = clean high-fidelity primary citable for Rung1 iron agitation at rep point (0.066 m/s, 0.14 bar).</w:t>
      </w:r>
    </w:p>
    <w:p>
      <w:r>
        <w:t xml:space="preserve">  - Old low-N 99k/109.4× historical only (led to lid + highN).</w:t>
      </w:r>
    </w:p>
    <w:p>
      <w:r>
        <w:t xml:space="preserve">  - Artifacts: rung1_highn_checkpoints/ (to 001000), migrate script (now defaults Raw), benchmark (uses Raw), dem_kernels.py (compute_forces_raw active).</w:t>
      </w:r>
    </w:p>
    <w:p>
      <w:r>
        <w:t xml:space="preserve">  This completes full migration + Raw enablement for high sustained util evidence gen.</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(Rung1 100% containment + lid for physical + highN=6500 full-VRAM migration to step 1000 / 8.12× EMI / 26 mm reg under lid via compute_forces_raw), the package provides strong enablement/written description for the claims. HighN data (contained, physical heights, Raw high-util path) + model repro + Rung0/5 + drawings close the gaps. Claims not over-claiming once qualified to the audited contained physical-scale evidence.</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highN Rung1 primary N=6500 100% inside physical lid EMI 8.12× at step 1000 via compute_forces_raw single-launch high-util path; lid+freeboard confirms physical heights preserve the benefit at scale/full VRAM).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2026-06-04T16:33:51.727Z</dcterms:created>
  <dcterms:modified xsi:type="dcterms:W3CDTF">2026-06-04T16:33:51.727Z</dcterms:modified>
</cp:coreProperties>
</file>

<file path=docProps/custom.xml><?xml version="1.0" encoding="utf-8"?>
<Properties xmlns="http://schemas.openxmlformats.org/officeDocument/2006/custom-properties" xmlns:vt="http://schemas.openxmlformats.org/officeDocument/2006/docPropsVTypes"/>
</file>