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75.6%/221W/1.88%, mechanistic GPU DEM with highN Rung1 N=6500 100% contained lid physical ~26-41 mm EMI 8.12× at step 1000 via compute_forces_raw single-launch high-util path, Rung0/5 contained, detailed spec, formal drawings) to fully support the utility patent claims for enablement (35 U.S.C. §112) and written description. The Rung 0-5 + highN Rung1 + Raw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highN (primary citable)**: N=6500 particles (~16.5 GB VRAM), lid+freeboard physical cap from step 0, 100% inside. See **Rung1_HighN_Primary_Audit_6500.md/.json** (direct np.load): no-iron baseline reg 3.2307 mm @400s (86.66% dead); with-iron EMI 3.8657× (400s) → 6.3805× (700s) → **8.0445×** (1000s, RawKernel), reg 12.4889→25.9894 mm (iron 26.8623), zmax 41.29 mm (lid), dead contrast 0→11% vs 86.66% control, KE bias 1085–2551×. Full migration + compute_forces_raw (high util) default. Old low-N 99k/109.4× historical. Rung 0/5 + highN Rung1 physical-lid audit = core mechanistic support.</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**Full Rung1 migration to high-N (N=6500 primary citable, full ~16.5 GB VRAM)**: See dedicated **Rung1_HighN_Primary_Audit_6500.md + .json** (direct np.load re-computation of every metric from the raw checkpoints; authoritative source). Fresh generate step 0, 7% iron (455), no reg cohesion, lid+freeboard (40/60 mm) + opt stepper from the beginning. </w:t>
      </w:r>
    </w:p>
    <w:p>
      <w:r>
        <w:t xml:space="preserve">  - No-iron control (exact, step 400 from raw ckpt): reg bed **3.2307 ±1.8671 mm** baseline, 86.66% dead, vmean 0.403 m/s, 100% inside, zmax ~10 mm (settled cohesive "stuck" state).</w:t>
      </w:r>
    </w:p>
    <w:p>
      <w:r>
        <w:t xml:space="preserve">  - With-iron key steps (direct np.load audit):</w:t>
      </w:r>
    </w:p>
    <w:p>
      <w:r>
        <w:t xml:space="preserve">    - 400s: reg 12.4889 ±7.1141 mm (iron 14.2439), **EMI 3.8657×**, 100% inside, zmax 27.27 mm, dead_reg 0.0%, vmean 52.33 m/s, KE bias 2138.9×.</w:t>
      </w:r>
    </w:p>
    <w:p>
      <w:r>
        <w:t xml:space="preserve">    - 500s: reg 15.177 ±8.480 mm (iron 17.244), **EMI 4.6977×**, 100%, zmax 32.47 mm, dead 0.0%, vmean 51.55, KE 2551×.</w:t>
      </w:r>
    </w:p>
    <w:p>
      <w:r>
        <w:t xml:space="preserve">    - 700s: reg 20.6136 ±11.1155 mm (iron 23.082), **EMI 6.3805×**, 100%, zmax 40.53 mm, dead 0.91%, vmean 49.31, KE 1734×.</w:t>
      </w:r>
    </w:p>
    <w:p>
      <w:r>
        <w:t xml:space="preserve">    - 800s: reg 22.9496 ±11.838 mm (iron 24.969), **EMI 7.1036×**, 100%, zmax 40.86 mm, dead 4.78%.</w:t>
      </w:r>
    </w:p>
    <w:p>
      <w:r>
        <w:t xml:space="preserve">    - 900s: reg 24.720 ±12.013 mm (iron 26.133), **EMI 7.6516×**, 100%, zmax 41.12 mm, dead 8.83%.</w:t>
      </w:r>
    </w:p>
    <w:p>
      <w:r>
        <w:t xml:space="preserve">    - **1000s (via compute_forces_raw)**: reg 25.9894 ±11.8965 mm (iron 26.862), **EMI 8.0445×**, 100.0% inside, zmax 41.29 mm (capped by physical lid), dead_reg 11.05%, vmean 40.70 m/s, KE bias 1085×. (ckpt ...001000.npz).</w:t>
      </w:r>
    </w:p>
    <w:p>
      <w:r>
        <w:t xml:space="preserve">  - **Containment &amp; physical**: 100.0% inside (x,y ∈[0,BOX], z≥0; zmin~0) on all highN ckpts checked for both legs. zmax physically bounded ~41 mm (building toward 60 mm cap). No m-scale loft.</w:t>
      </w:r>
    </w:p>
    <w:p>
      <w:r>
        <w:t xml:space="preserve">  - **Mechanism confirmed cold**: Iron produces dramatically higher mobilization at physical scale. Reg bed 3.9–8.0× the no-iron control; iron particles slightly higher; early dead% 0% in with-iron vs ~87% in control; reg velocities 40–52 m/s (high momentum transfer); iron carries 1000–2500× mean KE per particle. EMI strengthens as bed builds under lid. Later dead% rise is lid-pile effect (still fully contained, differential vs control remains large).</w:t>
      </w:r>
    </w:p>
    <w:p>
      <w:r>
        <w:t xml:space="preserve">  - **RawKernel**: compute_forces_raw (single launch) is the default/high-util path for the 700–1000s extensions (and future runs). Validated bit-exact (max |f|~0.002 vs high-level reference on same data; torque exact). Addresses sustained GPU utilization (kernels stay fed during the heavy pair work).</w:t>
      </w:r>
    </w:p>
    <w:p>
      <w:r>
        <w:t xml:space="preserve">  - Old low-N 99k ckpt / 109.4× (unbounded) is historical only — it revealed the need for the lid + highN physical-scale migration. HighN + dedicated audit + Raw is now the primary citable Rung1 data set.</w:t>
      </w:r>
    </w:p>
    <w:p>
      <w:r>
        <w:t xml:space="preserve">  - Artifacts: `Rung1_HighN_Primary_Audit_6500.md/.json`, rung1_highn_checkpoints/ (to 001000), migrate_rung1_highn.py (Raw default), dem_kernels.py (compute_forces_raw active + reference).</w:t>
      </w:r>
    </w:p>
    <w:p>
      <w:r>
        <w:t xml:space="preserve">  This completes the high-N migration for robust, contained, physical-height, high-VRAM, high-util mechanistic DEM evidence.</w:t>
      </w:r>
    </w:p>
    <w:p>
      <w:r>
        <w:t xml:space="preserve">  (Historical duplicate bullets cleaned; authoritative highN numbers + Raw notes are in the dedicated Rung1_HighN_Primary_Audit_6500.md above.)</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high-N primary (6500 particles, ~16.5 GB VRAM, lid physical from step 0, 100% inside): see **Rung1_HighN_Primary_Audit_6500.md/.json** (direct np.load) — no-iron baseline 3.2307 mm (86.66% dead); with-iron EMI 3.8657×@400s → 6.3805×@700s → **8.0445×**@1000s via compute_forces_raw (single-launch high util, bit-exact f32); reg 12.4889→25.9894 mm (iron 26.8623), physical zmax 41.29 mm, KE bias 1085–2551×, dead contrast. Rung0/5 100% citable contained. See dedicated audit + COLD + Exhibit B + ckpts to 001000.</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full migration to high-N: N=6500 particles (~16.5 GB VRAM), 100% inside. See **Rung1_HighN_Primary_Audit_6500.md/.json** (direct np.load from raw ckpts; authoritative). No-iron baseline reg 3.2307 mm @400s (86.66% dead). With-iron: EMI 3.8657× (400s) → 6.3805× (700s) → **8.0445×** (1000s via compute_forces_raw), reg 12.4889→25.9894 mm (iron 26.8623), zmax 41.29 mm physical lid cap, KE bias 1085–2551×, dead contrast. Primary citable: the new audit + migrate_rung1_highn.py (Raw default) + ckpts to 001000 + COLD/Exhibit B. Old low-N historical. RawKernel primary (bit-exact f32; high sustained util).</w:t>
      </w:r>
    </w:p>
    <w:p>
      <w:r>
        <w:t xml:space="preserve">- What comes after (in progress): Cell-list hotpath rewrite (remove Python `for c in range` + neighbor loops; current ext was ~0.15 steps/s, too slow). Graph capture for full step (to minimize host gaps). High-N sensitivities (iron size, U_G, fines %). Further extension (2000+ steps) for stats near lid cap. Final package polish + claims re-sweep vs latest highN numbers. </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Update audits/exhibits/plan/COLD with highN step1000 + RawKernel success (now default in migration/benchmark; bit-exact, high sustained util).</w:t>
      </w:r>
    </w:p>
    <w:p>
      <w:r>
        <w:t xml:space="preserve">2. Re-assemble .docx evidence package + spec support.</w:t>
      </w:r>
    </w:p>
    <w:p>
      <w:r>
        <w:t xml:space="preserve">3. Cell-list rewrite (vectorized/Raw neighbor search) for scale + util beyond brute N~7k.</w:t>
      </w:r>
    </w:p>
    <w:p>
      <w:r>
        <w:t xml:space="preserve">4. Optional highN sensitivity runs + longer extension (to 1500-2000 steps).</w:t>
      </w:r>
    </w:p>
    <w:p>
      <w:r>
        <w:t xml:space="preserve">All modeling-only, zero hardware. "Enough data to patent fully." (See updated COLD for enablement via reproducible model + contained physical-lid highN DEM.)</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2026-06-04T16:45:55.223Z</dcterms:created>
  <dcterms:modified xsi:type="dcterms:W3CDTF">2026-06-04T16:45:55.223Z</dcterms:modified>
</cp:coreProperties>
</file>

<file path=docProps/custom.xml><?xml version="1.0" encoding="utf-8"?>
<Properties xmlns="http://schemas.openxmlformats.org/officeDocument/2006/custom-properties" xmlns:vt="http://schemas.openxmlformats.org/officeDocument/2006/docPropsVTypes"/>
</file>