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95" w:type="dxa"/>
        <w:tblCellSpacing w:w="15" w:type="dxa"/>
        <w:tblBorders>
          <w:left w:val="single" w:sz="6" w:space="0" w:color="9E9E9E"/>
          <w:bottom w:val="single" w:sz="6" w:space="0" w:color="9E9E9E"/>
          <w:right w:val="single" w:sz="6" w:space="0" w:color="9E9E9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686"/>
        <w:gridCol w:w="2016"/>
        <w:gridCol w:w="2440"/>
        <w:gridCol w:w="1028"/>
      </w:tblGrid>
      <w:tr w:rsidR="002614D4" w:rsidRPr="002614D4" w14:paraId="408EC3C4" w14:textId="77777777" w:rsidTr="002614D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72A16F42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Feature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3636366E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Mean ± 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58D2F2C0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Diabetes (</w:t>
            </w:r>
            <w:r w:rsidRPr="002614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</w:t>
            </w:r>
            <w:r w:rsidRPr="002614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= 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2FB792F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614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Nondiabetes</w:t>
            </w:r>
            <w:proofErr w:type="spellEnd"/>
            <w:r w:rsidRPr="002614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r w:rsidRPr="002614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</w:t>
            </w:r>
            <w:r w:rsidRPr="002614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= 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308D875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</w:t>
            </w:r>
            <w:r w:rsidRPr="002614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value</w:t>
            </w:r>
          </w:p>
        </w:tc>
      </w:tr>
      <w:tr w:rsidR="002614D4" w:rsidRPr="002614D4" w14:paraId="506AE91E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FF90CE5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Age (years)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0708D19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33.24 ± 11.8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8E1E51B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D1EFB4C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89B7F2F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</w:tr>
      <w:tr w:rsidR="002614D4" w:rsidRPr="002614D4" w14:paraId="653CD881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07E02D5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(&lt;25)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D3F8489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8CC6FD6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31 (11.8%)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5EB2628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188 (38.0%)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92395F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&lt;0.05</w:t>
            </w:r>
          </w:p>
        </w:tc>
      </w:tr>
      <w:tr w:rsidR="002614D4" w:rsidRPr="002614D4" w14:paraId="42B17905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A4ABA7B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(25–30)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FE0F6EB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46D8757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53 (20.0%)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8EDD2A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124 (25.2%)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6B6ED11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1CF3A348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D7C9879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(30–35)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FF223C4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752C67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42 (15.5%)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D944F72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50 (9.6%)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DB89332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2E58C632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9CBCAE3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(35–40)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A33361E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9AFD39A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34 (12.9%)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9555EF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39 (8.3%)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B29D18D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6EBB6BFE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EB839F1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(&gt;40)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C939ADC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5A8A843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108 (40.0%)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24BF0FA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99 (19.9%)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6686A1C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314C79DF" w14:textId="77777777" w:rsidTr="002614D4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72AD57A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 </w:t>
            </w:r>
          </w:p>
        </w:tc>
      </w:tr>
      <w:tr w:rsidR="002614D4" w:rsidRPr="002614D4" w14:paraId="591D1F8F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DEC1D9A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No. of pregnancies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638829F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3.8 ± 3.4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0F7FA43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448906A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ED9159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</w:tr>
      <w:tr w:rsidR="002614D4" w:rsidRPr="002614D4" w14:paraId="3A02549F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D50A084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92AD38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B029BC4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38 (14.0%)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E1E9C59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73 (14.0%)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760DCC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&lt;0.05</w:t>
            </w:r>
          </w:p>
        </w:tc>
      </w:tr>
      <w:tr w:rsidR="002614D4" w:rsidRPr="002614D4" w14:paraId="63513879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675368D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(1–3)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9BA6A1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F847D92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75 (28.2%)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8D230F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238 (45.6%)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2AE49C7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134803B5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DF06A5A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(4–6)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B2CC3DB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F627523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60 (22.0%)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F348B9E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115 (25.7%)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DDD0650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008E3056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CC2E5A9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(&gt;6)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BF152FE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409C8DF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95 (35.8%)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66BCA63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74 (14.7%)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03FF45C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79F964EF" w14:textId="77777777" w:rsidTr="002614D4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9E10E95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 </w:t>
            </w:r>
          </w:p>
        </w:tc>
      </w:tr>
      <w:tr w:rsidR="002614D4" w:rsidRPr="002614D4" w14:paraId="66F193AE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FA22553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Insulin level (u U/ml)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A7ECEC6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79.8 ± 15.2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DCF51E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584F750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91071FB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</w:tr>
      <w:tr w:rsidR="002614D4" w:rsidRPr="002614D4" w14:paraId="4FBCAD1D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CBB70D2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(Less than 200)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DE416BC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248FA18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221 (83.0%)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4AF55B7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458 (92.0%)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578360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&lt;0.05</w:t>
            </w:r>
          </w:p>
        </w:tc>
      </w:tr>
      <w:tr w:rsidR="002614D4" w:rsidRPr="002614D4" w14:paraId="723483F3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44A08D4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(More than 200)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74177F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5A34AF8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47 (18.0%)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47FCDA9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42 (8.0%)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6017D66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7C119C43" w14:textId="77777777" w:rsidTr="002614D4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3B6EF92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 </w:t>
            </w:r>
          </w:p>
        </w:tc>
      </w:tr>
      <w:tr w:rsidR="002614D4" w:rsidRPr="002614D4" w14:paraId="6B8A5F7B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AA4A994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BMI (kg/m^2)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A0A7AB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31.9 ± 7.9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F11AFAA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48D050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10658D4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</w:tr>
      <w:tr w:rsidR="002614D4" w:rsidRPr="002614D4" w14:paraId="613067AE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67DE0CE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6260C3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CB04BF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 (3.0%)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25FFBDC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108 (22.0%)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74DDD52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&lt;0.05</w:t>
            </w:r>
          </w:p>
        </w:tc>
      </w:tr>
      <w:tr w:rsidR="002614D4" w:rsidRPr="002614D4" w14:paraId="021BE9C7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90676B3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Overweight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804678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C03755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122 (46.0%)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BBA3EC9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239 (46.9%)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307823A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389B5E6A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3E430C4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Obesity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42F8EE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F89C0C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139 (52.0%)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2B625F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153 (31.1%)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0DAE54C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0059A792" w14:textId="77777777" w:rsidTr="002614D4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B81DF20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 </w:t>
            </w:r>
          </w:p>
        </w:tc>
      </w:tr>
      <w:tr w:rsidR="002614D4" w:rsidRPr="002614D4" w14:paraId="58EA9427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A7E3075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Blood pressure (</w:t>
            </w:r>
            <w:proofErr w:type="spellStart"/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mm·Hg</w:t>
            </w:r>
            <w:proofErr w:type="spellEnd"/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615B69F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69 ± 19.4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A0BC9DF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14C2B9F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232260E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</w:tr>
      <w:tr w:rsidR="002614D4" w:rsidRPr="002614D4" w14:paraId="5944CDB3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A42930B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Low (&lt;65)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70FF14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9A6FF70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46 (18.0%)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6A247B4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155 (31.4%)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AA579F8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&lt;0.05</w:t>
            </w:r>
          </w:p>
        </w:tc>
      </w:tr>
      <w:tr w:rsidR="002614D4" w:rsidRPr="002614D4" w14:paraId="4C376E77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F94251E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 (65–85)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160C89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8FD0B4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173 (64.6%)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EA646E8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288 (57.2%)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BFB2140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140A5045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5959962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 (&gt;85)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72A0962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2B6EB1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49 (17.4%)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E64A552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57 (11.4%)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62712D5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690AE24F" w14:textId="77777777" w:rsidTr="002614D4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AB62734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 </w:t>
            </w:r>
          </w:p>
        </w:tc>
      </w:tr>
      <w:tr w:rsidR="002614D4" w:rsidRPr="002614D4" w14:paraId="62EA7ECE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198EA88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Glucose (mg/dL)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26A4A9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120.9 ± 32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2BC148B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46CC6E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C1669ED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</w:tr>
      <w:tr w:rsidR="002614D4" w:rsidRPr="002614D4" w14:paraId="69CE9814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90F8DF6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 (&lt;140)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4C5EA23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7B41D66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131 (49.9%)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3D8C658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438 (88.6%)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E3DF436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&lt;0.05</w:t>
            </w:r>
          </w:p>
        </w:tc>
      </w:tr>
      <w:tr w:rsidR="002614D4" w:rsidRPr="002614D4" w14:paraId="1013B5D2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5AD16A6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 (&gt;140)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C4AC0E9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AD785FB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137 (50.1%)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93BD82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62 (11.4%)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7DF6432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430A8656" w14:textId="77777777" w:rsidTr="002614D4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F330318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 </w:t>
            </w:r>
          </w:p>
        </w:tc>
      </w:tr>
      <w:tr w:rsidR="002614D4" w:rsidRPr="002614D4" w14:paraId="066D6093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5D06A30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Skin fold (mm)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78657DB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20.5 ± 16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7E52AAC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DA2F893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027156A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</w:tr>
      <w:tr w:rsidR="002614D4" w:rsidRPr="002614D4" w14:paraId="4012BC94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D1E8B72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(&lt;20)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7D8560E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16A0F0F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103 (38.6%)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CD0803A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235 (47.4%)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5D3F960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&lt;0.05</w:t>
            </w:r>
          </w:p>
        </w:tc>
      </w:tr>
      <w:tr w:rsidR="002614D4" w:rsidRPr="002614D4" w14:paraId="7CDEE996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9D95867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(20–40)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2212AB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1D701994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123 (45.9%)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092029A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217 (43.0%)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C7AC4DC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3B5F7CF4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EB40C24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(&gt;40)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2C42833E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EB1A3EA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42 (15.5%)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4FE9F8EF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48 (9.6%)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DFFDA1D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6EACE862" w14:textId="77777777" w:rsidTr="002614D4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9495E20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  </w:t>
            </w:r>
          </w:p>
        </w:tc>
      </w:tr>
      <w:tr w:rsidR="002614D4" w:rsidRPr="002614D4" w14:paraId="016CA2B2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A5BF3FB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Pedigree function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4ABD21B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0.47 ± 0.3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EA81B44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22AE827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31901F3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</w:tr>
      <w:tr w:rsidR="002614D4" w:rsidRPr="002614D4" w14:paraId="1CC9AA3A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FAA2ADB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(&lt;0.5)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E3AE321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42870E9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163 (60.8%)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0E80614E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319 (63.8%)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6E21ABD3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&lt;0.05</w:t>
            </w:r>
          </w:p>
        </w:tc>
      </w:tr>
      <w:tr w:rsidR="002614D4" w:rsidRPr="002614D4" w14:paraId="4BFF86F6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F942E2F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(0.5–1.0)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72BCCD56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501E5DA5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87 (32.5%)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0" w:type="dxa"/>
              <w:right w:w="180" w:type="dxa"/>
            </w:tcMar>
            <w:hideMark/>
          </w:tcPr>
          <w:p w14:paraId="37FB5118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145 (29.0%)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F62CA81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14D4" w:rsidRPr="002614D4" w14:paraId="5A54ECD2" w14:textId="77777777" w:rsidTr="002614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E96BE0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 </w:t>
            </w: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(&gt;1.0)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DC486B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D2F4C3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 (6.7%)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047FAE" w14:textId="77777777" w:rsidR="002614D4" w:rsidRPr="002614D4" w:rsidRDefault="002614D4" w:rsidP="002614D4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14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36 (7.2%)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1A321D0" w14:textId="77777777" w:rsidR="002614D4" w:rsidRPr="002614D4" w:rsidRDefault="002614D4" w:rsidP="002614D4">
            <w:pPr>
              <w:spacing w:after="225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26E3BABA" w14:textId="4FB17EC5" w:rsidR="00234279" w:rsidRDefault="00234279" w:rsidP="002614D4"/>
    <w:p w14:paraId="67591BF6" w14:textId="77777777" w:rsidR="00670698" w:rsidRDefault="00670698" w:rsidP="002614D4"/>
    <w:p w14:paraId="43FB5A3C" w14:textId="1FF677A2" w:rsidR="002614D4" w:rsidRPr="00670698" w:rsidRDefault="002614D4" w:rsidP="002614D4">
      <w:pPr>
        <w:rPr>
          <w:b/>
          <w:bCs/>
          <w:sz w:val="36"/>
          <w:szCs w:val="36"/>
        </w:rPr>
      </w:pPr>
      <w:r w:rsidRPr="00670698">
        <w:rPr>
          <w:b/>
          <w:bCs/>
          <w:sz w:val="36"/>
          <w:szCs w:val="36"/>
        </w:rPr>
        <w:t xml:space="preserve">Dan juga </w:t>
      </w:r>
      <w:proofErr w:type="spellStart"/>
      <w:r w:rsidRPr="00670698">
        <w:rPr>
          <w:b/>
          <w:bCs/>
          <w:sz w:val="36"/>
          <w:szCs w:val="36"/>
        </w:rPr>
        <w:t>penambahan</w:t>
      </w:r>
      <w:proofErr w:type="spellEnd"/>
      <w:r w:rsidRPr="00670698">
        <w:rPr>
          <w:b/>
          <w:bCs/>
          <w:sz w:val="36"/>
          <w:szCs w:val="36"/>
        </w:rPr>
        <w:t xml:space="preserve"> </w:t>
      </w:r>
      <w:proofErr w:type="spellStart"/>
      <w:r w:rsidRPr="00670698">
        <w:rPr>
          <w:b/>
          <w:bCs/>
          <w:sz w:val="36"/>
          <w:szCs w:val="36"/>
        </w:rPr>
        <w:t>fitur</w:t>
      </w:r>
      <w:proofErr w:type="spellEnd"/>
      <w:r w:rsidRPr="00670698">
        <w:rPr>
          <w:b/>
          <w:bCs/>
          <w:sz w:val="36"/>
          <w:szCs w:val="36"/>
        </w:rPr>
        <w:t xml:space="preserve"> </w:t>
      </w:r>
      <w:proofErr w:type="spellStart"/>
      <w:r w:rsidRPr="00670698">
        <w:rPr>
          <w:b/>
          <w:bCs/>
          <w:sz w:val="36"/>
          <w:szCs w:val="36"/>
        </w:rPr>
        <w:t>usia</w:t>
      </w:r>
      <w:proofErr w:type="spellEnd"/>
      <w:r w:rsidRPr="00670698">
        <w:rPr>
          <w:b/>
          <w:bCs/>
          <w:sz w:val="36"/>
          <w:szCs w:val="36"/>
        </w:rPr>
        <w:t xml:space="preserve"> </w:t>
      </w:r>
      <w:proofErr w:type="spellStart"/>
      <w:r w:rsidRPr="00670698">
        <w:rPr>
          <w:b/>
          <w:bCs/>
          <w:sz w:val="36"/>
          <w:szCs w:val="36"/>
        </w:rPr>
        <w:t>berdasarkan</w:t>
      </w:r>
      <w:proofErr w:type="spellEnd"/>
      <w:r w:rsidRPr="00670698">
        <w:rPr>
          <w:b/>
          <w:bCs/>
          <w:sz w:val="36"/>
          <w:szCs w:val="36"/>
        </w:rPr>
        <w:t xml:space="preserve"> range </w:t>
      </w:r>
      <w:proofErr w:type="spellStart"/>
      <w:r w:rsidRPr="00670698">
        <w:rPr>
          <w:b/>
          <w:bCs/>
          <w:sz w:val="36"/>
          <w:szCs w:val="36"/>
        </w:rPr>
        <w:t>usia</w:t>
      </w:r>
      <w:proofErr w:type="spellEnd"/>
    </w:p>
    <w:p w14:paraId="4D584DE7" w14:textId="77777777" w:rsidR="00670698" w:rsidRPr="00670698" w:rsidRDefault="00670698" w:rsidP="002614D4">
      <w:pPr>
        <w:rPr>
          <w:b/>
          <w:bCs/>
          <w:sz w:val="32"/>
          <w:szCs w:val="32"/>
        </w:rPr>
      </w:pPr>
    </w:p>
    <w:p w14:paraId="0DE9A17E" w14:textId="77777777" w:rsidR="002614D4" w:rsidRDefault="002614D4" w:rsidP="002614D4">
      <w:pPr>
        <w:pStyle w:val="NormalWeb"/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Style w:val="Emphasis"/>
        </w:rPr>
        <w:t>Pima Indian Diabetes Dataset</w:t>
      </w:r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diabetes,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>:</w:t>
      </w:r>
    </w:p>
    <w:p w14:paraId="56E522A8" w14:textId="77777777" w:rsidR="002614D4" w:rsidRDefault="002614D4" w:rsidP="002614D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Pregnancies (</w:t>
      </w:r>
      <w:proofErr w:type="spellStart"/>
      <w:r>
        <w:rPr>
          <w:rStyle w:val="Strong"/>
        </w:rPr>
        <w:t>Jumlah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Kehamilan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diabetes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metabolisme</w:t>
      </w:r>
      <w:proofErr w:type="spellEnd"/>
      <w:r>
        <w:t xml:space="preserve"> dan </w:t>
      </w:r>
      <w:proofErr w:type="spellStart"/>
      <w:r>
        <w:t>resistensi</w:t>
      </w:r>
      <w:proofErr w:type="spellEnd"/>
      <w:r>
        <w:t xml:space="preserve"> insulin.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metabolik</w:t>
      </w:r>
      <w:proofErr w:type="spellEnd"/>
      <w:r>
        <w:t xml:space="preserve"> pada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diabetes,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diabetes </w:t>
      </w:r>
      <w:proofErr w:type="spellStart"/>
      <w:r>
        <w:t>gestasional</w:t>
      </w:r>
      <w:proofErr w:type="spellEnd"/>
      <w:r>
        <w:t>.</w:t>
      </w:r>
    </w:p>
    <w:p w14:paraId="2F6F769A" w14:textId="77777777" w:rsidR="002614D4" w:rsidRDefault="002614D4" w:rsidP="002614D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 xml:space="preserve">Glucose (Kadar </w:t>
      </w:r>
      <w:proofErr w:type="spellStart"/>
      <w:r>
        <w:rPr>
          <w:rStyle w:val="Strong"/>
        </w:rPr>
        <w:t>Glukosa</w:t>
      </w:r>
      <w:proofErr w:type="spellEnd"/>
      <w:r>
        <w:rPr>
          <w:rStyle w:val="Strong"/>
        </w:rPr>
        <w:t>)</w:t>
      </w:r>
      <w:r>
        <w:t xml:space="preserve">: Tingkat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puasa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diabetes. Kadar </w:t>
      </w:r>
      <w:proofErr w:type="spellStart"/>
      <w:r>
        <w:t>glukosa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oleh </w:t>
      </w:r>
      <w:proofErr w:type="spellStart"/>
      <w:r>
        <w:t>tubuh</w:t>
      </w:r>
      <w:proofErr w:type="spellEnd"/>
      <w:r>
        <w:t xml:space="preserve">,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resistensi</w:t>
      </w:r>
      <w:proofErr w:type="spellEnd"/>
      <w:r>
        <w:t xml:space="preserve"> insulin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ketidakmampuan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insulin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>.</w:t>
      </w:r>
    </w:p>
    <w:p w14:paraId="6225B72D" w14:textId="77777777" w:rsidR="002614D4" w:rsidRDefault="002614D4" w:rsidP="002614D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Blood Pressure (</w:t>
      </w:r>
      <w:proofErr w:type="spellStart"/>
      <w:r>
        <w:rPr>
          <w:rStyle w:val="Strong"/>
        </w:rPr>
        <w:t>Tekanan</w:t>
      </w:r>
      <w:proofErr w:type="spellEnd"/>
      <w:r>
        <w:rPr>
          <w:rStyle w:val="Strong"/>
        </w:rPr>
        <w:t xml:space="preserve"> Darah)</w:t>
      </w:r>
      <w:r>
        <w:t xml:space="preserve">: </w:t>
      </w:r>
      <w:proofErr w:type="spellStart"/>
      <w:r>
        <w:t>Hipertensi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resistensi</w:t>
      </w:r>
      <w:proofErr w:type="spellEnd"/>
      <w:r>
        <w:t xml:space="preserve"> insulin,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diabetes </w:t>
      </w:r>
      <w:proofErr w:type="spellStart"/>
      <w:r>
        <w:t>tipe</w:t>
      </w:r>
      <w:proofErr w:type="spellEnd"/>
      <w:r>
        <w:t xml:space="preserve"> 2. </w:t>
      </w:r>
      <w:proofErr w:type="spellStart"/>
      <w:r>
        <w:t>Hipertensi</w:t>
      </w:r>
      <w:proofErr w:type="spellEnd"/>
      <w:r>
        <w:t xml:space="preserve"> </w:t>
      </w:r>
      <w:proofErr w:type="spellStart"/>
      <w:r>
        <w:t>memperburuk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 </w:t>
      </w:r>
      <w:proofErr w:type="spellStart"/>
      <w:r>
        <w:t>vaskular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memperparah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diabetes.</w:t>
      </w:r>
    </w:p>
    <w:p w14:paraId="5BF13341" w14:textId="77777777" w:rsidR="002614D4" w:rsidRDefault="002614D4" w:rsidP="002614D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lastRenderedPageBreak/>
        <w:t>Skin Thickness (</w:t>
      </w:r>
      <w:proofErr w:type="spellStart"/>
      <w:r>
        <w:rPr>
          <w:rStyle w:val="Strong"/>
        </w:rPr>
        <w:t>Ketebalan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Lipatan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Kulit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lipatan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lemak </w:t>
      </w:r>
      <w:proofErr w:type="spellStart"/>
      <w:r>
        <w:t>tubuh</w:t>
      </w:r>
      <w:proofErr w:type="spellEnd"/>
      <w:r>
        <w:t xml:space="preserve">. Lemak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resistensi</w:t>
      </w:r>
      <w:proofErr w:type="spellEnd"/>
      <w:r>
        <w:t xml:space="preserve"> insulin dan diabetes.</w:t>
      </w:r>
    </w:p>
    <w:p w14:paraId="4F4832C2" w14:textId="77777777" w:rsidR="002614D4" w:rsidRDefault="002614D4" w:rsidP="002614D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Insulin</w:t>
      </w:r>
      <w:r>
        <w:t xml:space="preserve">: Tingkat insulin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dan </w:t>
      </w:r>
      <w:proofErr w:type="spellStart"/>
      <w:r>
        <w:t>merespons</w:t>
      </w:r>
      <w:proofErr w:type="spellEnd"/>
      <w:r>
        <w:t xml:space="preserve"> insulin. Kadar insulin yang </w:t>
      </w:r>
      <w:proofErr w:type="spellStart"/>
      <w:r>
        <w:t>tidak</w:t>
      </w:r>
      <w:proofErr w:type="spellEnd"/>
      <w:r>
        <w:t xml:space="preserve"> normal,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pada </w:t>
      </w:r>
      <w:proofErr w:type="spellStart"/>
      <w:r>
        <w:t>metabolisme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diabetes.</w:t>
      </w:r>
    </w:p>
    <w:p w14:paraId="1FD016C4" w14:textId="77777777" w:rsidR="002614D4" w:rsidRDefault="002614D4" w:rsidP="002614D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BMI (Body Mass Index)</w:t>
      </w:r>
      <w:r>
        <w:t xml:space="preserve">: BMI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diabetes </w:t>
      </w:r>
      <w:proofErr w:type="spellStart"/>
      <w:r>
        <w:t>tipe</w:t>
      </w:r>
      <w:proofErr w:type="spellEnd"/>
      <w:r>
        <w:t xml:space="preserve"> 2.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resistensi</w:t>
      </w:r>
      <w:proofErr w:type="spellEnd"/>
      <w:r>
        <w:t xml:space="preserve"> insulin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D063253" w14:textId="77777777" w:rsidR="002614D4" w:rsidRDefault="002614D4" w:rsidP="002614D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Diabetes Pedigree Function</w:t>
      </w:r>
      <w:r>
        <w:t xml:space="preserve">: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predisposisi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diabetes. Riwayat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diabetes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insulin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metabolisme</w:t>
      </w:r>
      <w:proofErr w:type="spellEnd"/>
      <w:r>
        <w:t xml:space="preserve"> </w:t>
      </w:r>
      <w:proofErr w:type="spellStart"/>
      <w:r>
        <w:t>glukosa</w:t>
      </w:r>
      <w:proofErr w:type="spellEnd"/>
      <w:r>
        <w:t>.</w:t>
      </w:r>
    </w:p>
    <w:p w14:paraId="41C55AD1" w14:textId="77777777" w:rsidR="002614D4" w:rsidRDefault="002614D4" w:rsidP="002614D4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Strong"/>
        </w:rPr>
        <w:t>Age (</w:t>
      </w:r>
      <w:proofErr w:type="spellStart"/>
      <w:r>
        <w:rPr>
          <w:rStyle w:val="Strong"/>
        </w:rPr>
        <w:t>Usia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Risiko</w:t>
      </w:r>
      <w:proofErr w:type="spellEnd"/>
      <w:r>
        <w:t xml:space="preserve"> diabetes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metabolisme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insulin,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diabetes pada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tua</w:t>
      </w:r>
      <w:proofErr w:type="spellEnd"/>
      <w:r>
        <w:t>.</w:t>
      </w:r>
    </w:p>
    <w:p w14:paraId="4B39D466" w14:textId="77777777" w:rsidR="002614D4" w:rsidRDefault="002614D4" w:rsidP="002614D4">
      <w:pPr>
        <w:pStyle w:val="NormalWeb"/>
        <w:spacing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diabetes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fisiologis</w:t>
      </w:r>
      <w:proofErr w:type="spellEnd"/>
      <w:r>
        <w:t xml:space="preserve">,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diabetes.</w:t>
      </w:r>
    </w:p>
    <w:p w14:paraId="47206B84" w14:textId="70AB91AF" w:rsidR="002614D4" w:rsidRDefault="002614D4" w:rsidP="002614D4"/>
    <w:p w14:paraId="0100E6A1" w14:textId="6342125F" w:rsidR="002614D4" w:rsidRDefault="002614D4" w:rsidP="002614D4"/>
    <w:p w14:paraId="78C7B148" w14:textId="4696E6D6" w:rsidR="002614D4" w:rsidRDefault="002614D4" w:rsidP="002614D4">
      <w:pPr>
        <w:rPr>
          <w:b/>
          <w:bCs/>
          <w:sz w:val="32"/>
          <w:szCs w:val="32"/>
        </w:rPr>
      </w:pPr>
      <w:proofErr w:type="spellStart"/>
      <w:r w:rsidRPr="002614D4">
        <w:rPr>
          <w:b/>
          <w:bCs/>
          <w:sz w:val="32"/>
          <w:szCs w:val="32"/>
        </w:rPr>
        <w:t>Tambahan</w:t>
      </w:r>
      <w:proofErr w:type="spellEnd"/>
      <w:r w:rsidRPr="002614D4">
        <w:rPr>
          <w:b/>
          <w:bCs/>
          <w:sz w:val="32"/>
          <w:szCs w:val="32"/>
        </w:rPr>
        <w:t xml:space="preserve"> </w:t>
      </w:r>
      <w:proofErr w:type="spellStart"/>
      <w:r w:rsidRPr="002614D4">
        <w:rPr>
          <w:b/>
          <w:bCs/>
          <w:sz w:val="32"/>
          <w:szCs w:val="32"/>
        </w:rPr>
        <w:t>identifikasi</w:t>
      </w:r>
      <w:proofErr w:type="spellEnd"/>
      <w:r w:rsidRPr="002614D4">
        <w:rPr>
          <w:b/>
          <w:bCs/>
          <w:sz w:val="32"/>
          <w:szCs w:val="32"/>
        </w:rPr>
        <w:t xml:space="preserve"> </w:t>
      </w:r>
      <w:proofErr w:type="spellStart"/>
      <w:r w:rsidRPr="002614D4">
        <w:rPr>
          <w:b/>
          <w:bCs/>
          <w:sz w:val="32"/>
          <w:szCs w:val="32"/>
        </w:rPr>
        <w:t>Masalah</w:t>
      </w:r>
      <w:proofErr w:type="spellEnd"/>
    </w:p>
    <w:p w14:paraId="26227CBB" w14:textId="1417D55F" w:rsidR="002614D4" w:rsidRDefault="002614D4" w:rsidP="002614D4">
      <w:pPr>
        <w:rPr>
          <w:b/>
          <w:bCs/>
          <w:sz w:val="32"/>
          <w:szCs w:val="32"/>
        </w:rPr>
      </w:pPr>
    </w:p>
    <w:p w14:paraId="71616344" w14:textId="34BCC7D1" w:rsidR="002614D4" w:rsidRDefault="002614D4" w:rsidP="002614D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Tambahan</w:t>
      </w:r>
      <w:proofErr w:type="spellEnd"/>
      <w:r>
        <w:rPr>
          <w:b/>
          <w:bCs/>
          <w:sz w:val="32"/>
          <w:szCs w:val="32"/>
        </w:rPr>
        <w:t xml:space="preserve"> use case diagram dan activity diagram </w:t>
      </w:r>
    </w:p>
    <w:p w14:paraId="494A6FB9" w14:textId="47ACDB08" w:rsidR="00670698" w:rsidRDefault="00670698" w:rsidP="002614D4">
      <w:pPr>
        <w:rPr>
          <w:b/>
          <w:bCs/>
          <w:sz w:val="32"/>
          <w:szCs w:val="32"/>
        </w:rPr>
      </w:pPr>
    </w:p>
    <w:p w14:paraId="4D5B9F0B" w14:textId="4EF13A5E" w:rsidR="00670698" w:rsidRDefault="00670698" w:rsidP="002614D4">
      <w:pPr>
        <w:rPr>
          <w:b/>
          <w:bCs/>
          <w:sz w:val="32"/>
          <w:szCs w:val="32"/>
        </w:rPr>
      </w:pPr>
    </w:p>
    <w:p w14:paraId="17590C08" w14:textId="4E2F4740" w:rsidR="00670698" w:rsidRDefault="00670698" w:rsidP="002614D4">
      <w:pPr>
        <w:rPr>
          <w:b/>
          <w:bCs/>
          <w:sz w:val="32"/>
          <w:szCs w:val="32"/>
        </w:rPr>
      </w:pPr>
    </w:p>
    <w:p w14:paraId="06CD52DF" w14:textId="0DF0E8B7" w:rsidR="00670698" w:rsidRDefault="00670698" w:rsidP="002614D4">
      <w:pPr>
        <w:rPr>
          <w:b/>
          <w:bCs/>
          <w:sz w:val="32"/>
          <w:szCs w:val="32"/>
        </w:rPr>
      </w:pPr>
    </w:p>
    <w:p w14:paraId="6E1C74B1" w14:textId="06EADC07" w:rsidR="00670698" w:rsidRDefault="00670698" w:rsidP="002614D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Penguji</w:t>
      </w:r>
      <w:proofErr w:type="spellEnd"/>
      <w:r>
        <w:rPr>
          <w:b/>
          <w:bCs/>
          <w:sz w:val="32"/>
          <w:szCs w:val="32"/>
        </w:rPr>
        <w:t xml:space="preserve"> 1</w:t>
      </w:r>
    </w:p>
    <w:p w14:paraId="7B07B216" w14:textId="7147E303" w:rsidR="002424CA" w:rsidRDefault="002424CA" w:rsidP="002614D4">
      <w:pPr>
        <w:rPr>
          <w:b/>
          <w:bCs/>
          <w:sz w:val="32"/>
          <w:szCs w:val="32"/>
        </w:rPr>
      </w:pPr>
    </w:p>
    <w:p w14:paraId="6DDCCF04" w14:textId="77777777" w:rsidR="002424CA" w:rsidRPr="002424CA" w:rsidRDefault="002424CA" w:rsidP="002614D4">
      <w:pPr>
        <w:rPr>
          <w:b/>
          <w:bCs/>
          <w:sz w:val="24"/>
          <w:szCs w:val="24"/>
        </w:rPr>
      </w:pPr>
    </w:p>
    <w:p w14:paraId="566F5EA6" w14:textId="77777777" w:rsidR="00670698" w:rsidRPr="002614D4" w:rsidRDefault="00670698" w:rsidP="002614D4">
      <w:pPr>
        <w:rPr>
          <w:b/>
          <w:bCs/>
          <w:sz w:val="32"/>
          <w:szCs w:val="32"/>
        </w:rPr>
      </w:pPr>
    </w:p>
    <w:sectPr w:rsidR="00670698" w:rsidRPr="0026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45DD3"/>
    <w:multiLevelType w:val="multilevel"/>
    <w:tmpl w:val="84E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D4"/>
    <w:rsid w:val="000D6012"/>
    <w:rsid w:val="001200EC"/>
    <w:rsid w:val="001417D7"/>
    <w:rsid w:val="001F1166"/>
    <w:rsid w:val="00225FD4"/>
    <w:rsid w:val="00234279"/>
    <w:rsid w:val="002424CA"/>
    <w:rsid w:val="002614D4"/>
    <w:rsid w:val="002D0898"/>
    <w:rsid w:val="003C3547"/>
    <w:rsid w:val="004400CF"/>
    <w:rsid w:val="00483B3A"/>
    <w:rsid w:val="00620AFD"/>
    <w:rsid w:val="00670698"/>
    <w:rsid w:val="006F2F42"/>
    <w:rsid w:val="007209F2"/>
    <w:rsid w:val="00A21A79"/>
    <w:rsid w:val="00A50289"/>
    <w:rsid w:val="00EA56AD"/>
    <w:rsid w:val="00F9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B4F6"/>
  <w15:chartTrackingRefBased/>
  <w15:docId w15:val="{3AC7B943-4BB8-4410-9D45-F551DE4C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2614D4"/>
    <w:rPr>
      <w:i/>
      <w:iCs/>
    </w:rPr>
  </w:style>
  <w:style w:type="character" w:styleId="Strong">
    <w:name w:val="Strong"/>
    <w:basedOn w:val="DefaultParagraphFont"/>
    <w:uiPriority w:val="22"/>
    <w:qFormat/>
    <w:rsid w:val="00261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andi</dc:creator>
  <cp:keywords/>
  <dc:description/>
  <cp:lastModifiedBy>rizky andi</cp:lastModifiedBy>
  <cp:revision>3</cp:revision>
  <dcterms:created xsi:type="dcterms:W3CDTF">2024-11-15T03:31:00Z</dcterms:created>
  <dcterms:modified xsi:type="dcterms:W3CDTF">2024-11-15T10:30:00Z</dcterms:modified>
</cp:coreProperties>
</file>