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b/>
          <w:bCs/>
          <w:color w:val="1F4E78"/>
          <w:sz w:val="40"/>
          <w:szCs w:val="40"/>
        </w:rPr>
        <w:t xml:space="preserve">LLM-Driven Actor &amp; Relationship Intelligence System</w:t>
      </w:r>
    </w:p>
    <w:p>
      <w:pPr>
        <w:spacing w:after="100"/>
        <w:jc w:val="center"/>
      </w:pPr>
      <w:r>
        <w:rPr>
          <w:i/>
          <w:iCs/>
          <w:color w:val="444444"/>
          <w:sz w:val="26"/>
          <w:szCs w:val="26"/>
        </w:rPr>
        <w:t xml:space="preserve">Implementation Plan: Training, Extraction, and Graph Population</w:t>
      </w:r>
    </w:p>
    <w:p>
      <w:pPr>
        <w:spacing w:after="800"/>
        <w:jc w:val="center"/>
      </w:pPr>
      <w:r>
        <w:rPr>
          <w:color w:val="888888"/>
          <w:sz w:val="22"/>
          <w:szCs w:val="22"/>
        </w:rPr>
        <w:t xml:space="preserve">Draft v1.0</w:t>
      </w:r>
    </w:p>
    <w:p>
      <w:pPr>
        <w:pStyle w:val="Heading1"/>
        <w:spacing w:after="200" w:before="400"/>
      </w:pPr>
      <w:r>
        <w:t xml:space="preserve">1. Executive Summary</w:t>
      </w:r>
    </w:p>
    <w:p>
      <w:pPr>
        <w:spacing w:after="150"/>
      </w:pPr>
      <w:r>
        <w:t xml:space="preserve">The objective is to build a system where a large language model (LLM) is trained on the organization's existing corpus of data, then used to continuously identify actors, entities, groups, and the relationships between them. Extracted entities and relationships are written into a graph database (e.g., Neo4j) so the network can be explored, queried, and updated as new data and new actors are discovered. This is an iterative pipeline, not a one-time run: the model ingests data, proposes entities/relationships, a review step validates them, the graph updates, and the cycle repeats as fresh data arrives.</w:t>
      </w:r>
    </w:p>
    <w:p>
      <w:pPr>
        <w:spacing w:after="150"/>
      </w:pPr>
      <w:r>
        <w:t xml:space="preserve">At a glance, the plan has six stages: (1) data collection and preparation, (2) model training/fine-tuning, (3) entity and actor extraction, (4) relationship and group extraction, (5) graph construction and continuous updates, and (6) validation, monitoring, and governance.</w:t>
      </w:r>
    </w:p>
    <w:p>
      <w:pPr>
        <w:pStyle w:val="Heading1"/>
        <w:spacing w:after="200" w:before="400"/>
      </w:pPr>
      <w:r>
        <w:t xml:space="preserve">2. High-Level Pipeline</w:t>
      </w:r>
    </w:p>
    <w:p>
      <w:pPr>
        <w:spacing w:after="150"/>
      </w:pPr>
      <w:r>
        <w:rPr>
          <w:sz w:val="20"/>
          <w:szCs w:val="20"/>
        </w:rPr>
        <w:t xml:space="preserve">DATA SOURCES  →  DATA PREP / LABELING  →  MODEL TRAINING (base + fine-tune)  →  EXTRACTION LAYER (NER + relation extraction)  →  ENTITY RESOLUTION (dedupe / merge)  →  GRAPH DATABASE (Neo4j)  →  ANALYST REVIEW  →  FEEDBACK LOOP BACK INTO TRAINING DATA</w:t>
      </w:r>
    </w:p>
    <w:p>
      <w:pPr>
        <w:pStyle w:val="Heading1"/>
        <w:spacing w:after="200" w:before="400"/>
      </w:pPr>
      <w:r>
        <w:t xml:space="preserve">3. Phase 1 — Data Collection &amp; Preparation</w:t>
      </w:r>
    </w:p>
    <w:p>
      <w:pPr>
        <w:pStyle w:val="Heading2"/>
        <w:spacing w:after="150" w:before="300"/>
      </w:pPr>
      <w:r>
        <w:t xml:space="preserve">3.1 Identify and consolidate data sources</w:t>
      </w:r>
    </w:p>
    <w:p>
      <w:pPr>
        <w:pStyle w:val="ListParagraph"/>
        <w:numPr>
          <w:ilvl w:val="0"/>
          <w:numId w:val="1"/>
        </w:numPr>
        <w:spacing w:after="80"/>
      </w:pPr>
      <w:r>
        <w:t xml:space="preserve">Structured data: existing case files, watchlists, transaction records, prior graph exports.</w:t>
      </w:r>
    </w:p>
    <w:p>
      <w:pPr>
        <w:pStyle w:val="ListParagraph"/>
        <w:numPr>
          <w:ilvl w:val="0"/>
          <w:numId w:val="1"/>
        </w:numPr>
        <w:spacing w:after="80"/>
      </w:pPr>
      <w:r>
        <w:t xml:space="preserve">Unstructured data: reports, open-source intelligence (OSINT), news, transcripts, documents.</w:t>
      </w:r>
    </w:p>
    <w:p>
      <w:pPr>
        <w:pStyle w:val="ListParagraph"/>
        <w:numPr>
          <w:ilvl w:val="0"/>
          <w:numId w:val="1"/>
        </w:numPr>
        <w:spacing w:after="80"/>
      </w:pPr>
      <w:r>
        <w:t xml:space="preserve">Semi-structured data: spreadsheets, forms, structured message logs.</w:t>
      </w:r>
    </w:p>
    <w:p>
      <w:pPr>
        <w:pStyle w:val="Heading2"/>
        <w:spacing w:after="150" w:before="300"/>
      </w:pPr>
      <w:r>
        <w:t xml:space="preserve">3.2 Clean and normalize</w:t>
      </w:r>
    </w:p>
    <w:p>
      <w:pPr>
        <w:pStyle w:val="ListParagraph"/>
        <w:numPr>
          <w:ilvl w:val="0"/>
          <w:numId w:val="1"/>
        </w:numPr>
        <w:spacing w:after="80"/>
      </w:pPr>
      <w:r>
        <w:t xml:space="preserve">Deduplicate documents; strip boilerplate/noise; standardize encoding and date/name formats.</w:t>
      </w:r>
    </w:p>
    <w:p>
      <w:pPr>
        <w:pStyle w:val="ListParagraph"/>
        <w:numPr>
          <w:ilvl w:val="0"/>
          <w:numId w:val="1"/>
        </w:numPr>
        <w:spacing w:after="80"/>
      </w:pPr>
      <w:r>
        <w:t xml:space="preserve">Redact or flag sensitive fields per governance policy before they enter the training set.</w:t>
      </w:r>
    </w:p>
    <w:p>
      <w:pPr>
        <w:pStyle w:val="ListParagraph"/>
        <w:numPr>
          <w:ilvl w:val="0"/>
          <w:numId w:val="1"/>
        </w:numPr>
        <w:spacing w:after="80"/>
      </w:pPr>
      <w:r>
        <w:t xml:space="preserve">Chunk long documents into model-appropriate context windows, preserving paragraph/sentence boundaries.</w:t>
      </w:r>
    </w:p>
    <w:p>
      <w:pPr>
        <w:pStyle w:val="Heading2"/>
        <w:spacing w:after="150" w:before="300"/>
      </w:pPr>
      <w:r>
        <w:t xml:space="preserve">3.3 Label a seed dataset</w:t>
      </w:r>
    </w:p>
    <w:p>
      <w:pPr>
        <w:pStyle w:val="ListParagraph"/>
        <w:numPr>
          <w:ilvl w:val="0"/>
          <w:numId w:val="1"/>
        </w:numPr>
        <w:spacing w:after="80"/>
      </w:pPr>
      <w:r>
        <w:t xml:space="preserve">Manually annotate a representative sample: mark actor names, organizations, locations, and relationship phrases ('funded by', 'associated with', 'traveled to').</w:t>
      </w:r>
    </w:p>
    <w:p>
      <w:pPr>
        <w:pStyle w:val="ListParagraph"/>
        <w:numPr>
          <w:ilvl w:val="0"/>
          <w:numId w:val="1"/>
        </w:numPr>
        <w:spacing w:after="80"/>
      </w:pPr>
      <w:r>
        <w:t xml:space="preserve">Define the entity and relationship schema up front (see Section 6) so labels map cleanly to graph node/edge types.</w:t>
      </w:r>
    </w:p>
    <w:p>
      <w:pPr>
        <w:pStyle w:val="ListParagraph"/>
        <w:numPr>
          <w:ilvl w:val="0"/>
          <w:numId w:val="1"/>
        </w:numPr>
        <w:spacing w:after="80"/>
      </w:pPr>
      <w:r>
        <w:t xml:space="preserve">Aim for inter-annotator agreement checks on a subset to catch inconsistent labeling early.</w:t>
      </w:r>
    </w:p>
    <w:p>
      <w:pPr>
        <w:pStyle w:val="Heading1"/>
        <w:spacing w:after="200" w:before="400"/>
      </w:pPr>
      <w:r>
        <w:t xml:space="preserve">4. Phase 2 — Model Training / Fine-Tuning</w:t>
      </w:r>
    </w:p>
    <w:p>
      <w:pPr>
        <w:pStyle w:val="Heading2"/>
        <w:spacing w:after="150" w:before="300"/>
      </w:pPr>
      <w:r>
        <w:t xml:space="preserve">4.1 Choose a base approach</w:t>
      </w:r>
    </w:p>
    <w:p>
      <w:pPr>
        <w:pStyle w:val="ListParagraph"/>
        <w:numPr>
          <w:ilvl w:val="0"/>
          <w:numId w:val="1"/>
        </w:numPr>
        <w:spacing w:after="80"/>
      </w:pPr>
      <w:r>
        <w:t xml:space="preserve">Option A: Fine-tune an open-weight LLM (e.g., a Llama/Mistral-class model) on the labeled corpus for extraction tasks.</w:t>
      </w:r>
    </w:p>
    <w:p>
      <w:pPr>
        <w:pStyle w:val="ListParagraph"/>
        <w:numPr>
          <w:ilvl w:val="0"/>
          <w:numId w:val="1"/>
        </w:numPr>
        <w:spacing w:after="80"/>
      </w:pPr>
      <w:r>
        <w:t xml:space="preserve">Option B: Use a strong general-purpose LLM via API with carefully engineered extraction prompts + few-shot examples, reserving fine-tuning for a smaller specialist model.</w:t>
      </w:r>
    </w:p>
    <w:p>
      <w:pPr>
        <w:pStyle w:val="ListParagraph"/>
        <w:numPr>
          <w:ilvl w:val="0"/>
          <w:numId w:val="1"/>
        </w:numPr>
        <w:spacing w:after="80"/>
      </w:pPr>
      <w:r>
        <w:t xml:space="preserve">Option C (recommended starting point): Hybrid — use prompted extraction from a capable general model to bootstrap labels quickly, then fine-tune a smaller/cheaper model on the resulting data for cost and speed at scale.</w:t>
      </w:r>
    </w:p>
    <w:p>
      <w:pPr>
        <w:pStyle w:val="Heading2"/>
        <w:spacing w:after="150" w:before="300"/>
      </w:pPr>
      <w:r>
        <w:t xml:space="preserve">4.2 Training tasks to target</w:t>
      </w:r>
    </w:p>
    <w:p>
      <w:pPr>
        <w:pStyle w:val="ListParagraph"/>
        <w:numPr>
          <w:ilvl w:val="0"/>
          <w:numId w:val="1"/>
        </w:numPr>
        <w:spacing w:after="80"/>
      </w:pPr>
      <w:r>
        <w:t xml:space="preserve">Named entity recognition (NER): people, organizations, locations, accounts, technologies, events.</w:t>
      </w:r>
    </w:p>
    <w:p>
      <w:pPr>
        <w:pStyle w:val="ListParagraph"/>
        <w:numPr>
          <w:ilvl w:val="0"/>
          <w:numId w:val="1"/>
        </w:numPr>
        <w:spacing w:after="80"/>
      </w:pPr>
      <w:r>
        <w:t xml:space="preserve">Relation extraction: classify the relationship type between two extracted entities (e.g., FUNDS, MEMBER_OF, COMMUNICATES_WITH, TRAVELS_TO).</w:t>
      </w:r>
    </w:p>
    <w:p>
      <w:pPr>
        <w:pStyle w:val="ListParagraph"/>
        <w:numPr>
          <w:ilvl w:val="0"/>
          <w:numId w:val="1"/>
        </w:numPr>
        <w:spacing w:after="80"/>
      </w:pPr>
      <w:r>
        <w:t xml:space="preserve">Coreference resolution: recognizing that 'he', 'the courier', and a named individual refer to the same entity within and across documents.</w:t>
      </w:r>
    </w:p>
    <w:p>
      <w:pPr>
        <w:pStyle w:val="ListParagraph"/>
        <w:numPr>
          <w:ilvl w:val="0"/>
          <w:numId w:val="1"/>
        </w:numPr>
        <w:spacing w:after="80"/>
      </w:pPr>
      <w:r>
        <w:t xml:space="preserve">Summarization/triage: flagging which documents are worth deeper analyst review.</w:t>
      </w:r>
    </w:p>
    <w:p>
      <w:pPr>
        <w:pStyle w:val="Heading2"/>
        <w:spacing w:after="150" w:before="300"/>
      </w:pPr>
      <w:r>
        <w:t xml:space="preserve">4.3 Evaluation before deployment</w:t>
      </w:r>
    </w:p>
    <w:p>
      <w:pPr>
        <w:pStyle w:val="ListParagraph"/>
        <w:numPr>
          <w:ilvl w:val="0"/>
          <w:numId w:val="1"/>
        </w:numPr>
        <w:spacing w:after="80"/>
      </w:pPr>
      <w:r>
        <w:t xml:space="preserve">Hold out a test set never seen during training; measure precision/recall/F1 for entity and relation extraction.</w:t>
      </w:r>
    </w:p>
    <w:p>
      <w:pPr>
        <w:pStyle w:val="ListParagraph"/>
        <w:numPr>
          <w:ilvl w:val="0"/>
          <w:numId w:val="1"/>
        </w:numPr>
        <w:spacing w:after="80"/>
      </w:pPr>
      <w:r>
        <w:t xml:space="preserve">Track false-positive rate specifically — over-eager relationship creation pollutes the graph fast.</w:t>
      </w:r>
    </w:p>
    <w:p>
      <w:pPr>
        <w:pStyle w:val="ListParagraph"/>
        <w:numPr>
          <w:ilvl w:val="0"/>
          <w:numId w:val="1"/>
        </w:numPr>
        <w:spacing w:after="80"/>
      </w:pPr>
      <w:r>
        <w:t xml:space="preserve">Run a human-review pilot on a small batch before scaling to the full corpus.</w:t>
      </w:r>
    </w:p>
    <w:p>
      <w:pPr>
        <w:pStyle w:val="Heading1"/>
        <w:spacing w:after="200" w:before="400"/>
      </w:pPr>
      <w:r>
        <w:t xml:space="preserve">5. Phase 3 — Actor &amp; Entity Extraction</w:t>
      </w:r>
    </w:p>
    <w:p>
      <w:pPr>
        <w:spacing w:after="150"/>
      </w:pPr>
      <w:r>
        <w:t xml:space="preserve">Once trained/tuned, the model processes documents and outputs candidate entities with type labels and confidence scores. Typical actor/entity classes:</w:t>
      </w:r>
    </w:p>
    <w:p>
      <w:pPr>
        <w:pStyle w:val="ListParagraph"/>
        <w:numPr>
          <w:ilvl w:val="0"/>
          <w:numId w:val="1"/>
        </w:numPr>
        <w:spacing w:after="80"/>
      </w:pPr>
      <w:r>
        <w:t xml:space="preserve">Person (named individuals)</w:t>
      </w:r>
    </w:p>
    <w:p>
      <w:pPr>
        <w:pStyle w:val="ListParagraph"/>
        <w:numPr>
          <w:ilvl w:val="0"/>
          <w:numId w:val="1"/>
        </w:numPr>
        <w:spacing w:after="80"/>
      </w:pPr>
      <w:r>
        <w:t xml:space="preserve">Organization / Group / Front company</w:t>
      </w:r>
    </w:p>
    <w:p>
      <w:pPr>
        <w:pStyle w:val="ListParagraph"/>
        <w:numPr>
          <w:ilvl w:val="0"/>
          <w:numId w:val="1"/>
        </w:numPr>
        <w:spacing w:after="80"/>
      </w:pPr>
      <w:r>
        <w:t xml:space="preserve">Location</w:t>
      </w:r>
    </w:p>
    <w:p>
      <w:pPr>
        <w:pStyle w:val="ListParagraph"/>
        <w:numPr>
          <w:ilvl w:val="0"/>
          <w:numId w:val="1"/>
        </w:numPr>
        <w:spacing w:after="80"/>
      </w:pPr>
      <w:r>
        <w:t xml:space="preserve">Financial instrument (account, transaction)</w:t>
      </w:r>
    </w:p>
    <w:p>
      <w:pPr>
        <w:pStyle w:val="ListParagraph"/>
        <w:numPr>
          <w:ilvl w:val="0"/>
          <w:numId w:val="1"/>
        </w:numPr>
        <w:spacing w:after="80"/>
      </w:pPr>
      <w:r>
        <w:t xml:space="preserve">Communication identifier (handle, number, platform)</w:t>
      </w:r>
    </w:p>
    <w:p>
      <w:pPr>
        <w:pStyle w:val="ListParagraph"/>
        <w:numPr>
          <w:ilvl w:val="0"/>
          <w:numId w:val="1"/>
        </w:numPr>
        <w:spacing w:after="80"/>
      </w:pPr>
      <w:r>
        <w:t xml:space="preserve">Technology / infrastructure asset</w:t>
      </w:r>
    </w:p>
    <w:p>
      <w:pPr>
        <w:pStyle w:val="ListParagraph"/>
        <w:numPr>
          <w:ilvl w:val="0"/>
          <w:numId w:val="1"/>
        </w:numPr>
        <w:spacing w:after="80"/>
      </w:pPr>
      <w:r>
        <w:t xml:space="preserve">Event (meeting, transaction, incident)</w:t>
      </w:r>
    </w:p>
    <w:p>
      <w:pPr>
        <w:spacing w:after="150"/>
      </w:pPr>
      <w:r>
        <w:t xml:space="preserve">Each candidate entity carries: source document ID, extracted text span, normalized name, entity type, and confidence score — all needed later for graph provenance and auditability.</w:t>
      </w:r>
    </w:p>
    <w:p>
      <w:pPr>
        <w:pStyle w:val="Heading1"/>
        <w:spacing w:after="200" w:before="400"/>
      </w:pPr>
      <w:r>
        <w:t xml:space="preserve">6. Phase 4 — Relationship &amp; Group Extraction</w:t>
      </w:r>
    </w:p>
    <w:p>
      <w:pPr>
        <w:pStyle w:val="Heading2"/>
        <w:spacing w:after="150" w:before="300"/>
      </w:pPr>
      <w:r>
        <w:t xml:space="preserve">6.1 Relationship schema (aligned to the support-system taxonomy already in use)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000"/>
      </w:tblGrid>
      <w:tr>
        <w:tc>
          <w:tcPr>
            <w:tcW w:type="dxa" w:w="2600"/>
            <w:shd w:fill="1F4E78" w:val="clear"/>
            <w:tcMar>
              <w:top w:type="dxa" w:w="100"/>
              <w:left w:type="dxa" w:w="120"/>
              <w:bottom w:type="dxa" w:w="100"/>
              <w:right w:type="dxa" w:w="120"/>
            </w:tcMar>
          </w:tcPr>
          <w:p>
            <w:r>
              <w:rPr>
                <w:b/>
                <w:bCs/>
                <w:color w:val="FFFFFF"/>
                <w:sz w:val="20"/>
                <w:szCs w:val="20"/>
              </w:rPr>
              <w:t xml:space="preserve">Relationship</w:t>
            </w:r>
          </w:p>
        </w:tc>
        <w:tc>
          <w:tcPr>
            <w:tcW w:type="dxa" w:w="3400"/>
            <w:shd w:fill="1F4E78" w:val="clear"/>
            <w:tcMar>
              <w:top w:type="dxa" w:w="100"/>
              <w:left w:type="dxa" w:w="120"/>
              <w:bottom w:type="dxa" w:w="100"/>
              <w:right w:type="dxa" w:w="120"/>
            </w:tcMar>
          </w:tcPr>
          <w:p>
            <w:r>
              <w:rPr>
                <w:b/>
                <w:bCs/>
                <w:color w:val="FFFFFF"/>
                <w:sz w:val="20"/>
                <w:szCs w:val="20"/>
              </w:rPr>
              <w:t xml:space="preserve">Meaning</w:t>
            </w:r>
          </w:p>
        </w:tc>
        <w:tc>
          <w:tcPr>
            <w:tcW w:type="dxa" w:w="3000"/>
            <w:shd w:fill="1F4E78" w:val="clear"/>
            <w:tcMar>
              <w:top w:type="dxa" w:w="100"/>
              <w:left w:type="dxa" w:w="120"/>
              <w:bottom w:type="dxa" w:w="100"/>
              <w:right w:type="dxa" w:w="120"/>
            </w:tcMar>
          </w:tcPr>
          <w:p>
            <w:r>
              <w:rPr>
                <w:b/>
                <w:bCs/>
                <w:color w:val="FFFFFF"/>
                <w:sz w:val="20"/>
                <w:szCs w:val="20"/>
              </w:rPr>
              <w:t xml:space="preserve">Example edge</w:t>
            </w:r>
          </w:p>
        </w:tc>
      </w:tr>
      <w:tr>
        <w:tc>
          <w:tcPr>
            <w:tcW w:type="dxa" w:w="2600"/>
            <w:tcMar>
              <w:top w:type="dxa" w:w="100"/>
              <w:left w:type="dxa" w:w="120"/>
              <w:bottom w:type="dxa" w:w="100"/>
              <w:right w:type="dxa" w:w="120"/>
            </w:tcMar>
          </w:tcPr>
          <w:p>
            <w:r>
              <w:rPr>
                <w:b w:val="false"/>
                <w:bCs w:val="false"/>
                <w:sz w:val="20"/>
                <w:szCs w:val="20"/>
              </w:rPr>
              <w:t xml:space="preserve">ASSOCIATED_WITH</w:t>
            </w:r>
          </w:p>
        </w:tc>
        <w:tc>
          <w:tcPr>
            <w:tcW w:type="dxa" w:w="3400"/>
            <w:tcMar>
              <w:top w:type="dxa" w:w="100"/>
              <w:left w:type="dxa" w:w="120"/>
              <w:bottom w:type="dxa" w:w="100"/>
              <w:right w:type="dxa" w:w="120"/>
            </w:tcMar>
          </w:tcPr>
          <w:p>
            <w:r>
              <w:rPr>
                <w:b w:val="false"/>
                <w:bCs w:val="false"/>
                <w:sz w:val="20"/>
                <w:szCs w:val="20"/>
              </w:rPr>
              <w:t xml:space="preserve">General known connection between two people/entities</w:t>
            </w:r>
          </w:p>
        </w:tc>
        <w:tc>
          <w:tcPr>
            <w:tcW w:type="dxa" w:w="3000"/>
            <w:tcMar>
              <w:top w:type="dxa" w:w="100"/>
              <w:left w:type="dxa" w:w="120"/>
              <w:bottom w:type="dxa" w:w="100"/>
              <w:right w:type="dxa" w:w="120"/>
            </w:tcMar>
          </w:tcPr>
          <w:p>
            <w:r>
              <w:rPr>
                <w:b w:val="false"/>
                <w:bCs w:val="false"/>
                <w:sz w:val="20"/>
                <w:szCs w:val="20"/>
              </w:rPr>
              <w:t xml:space="preserve">Person A → Person B</w:t>
            </w:r>
          </w:p>
        </w:tc>
      </w:tr>
      <w:tr>
        <w:tc>
          <w:tcPr>
            <w:tcW w:type="dxa" w:w="2600"/>
            <w:tcMar>
              <w:top w:type="dxa" w:w="100"/>
              <w:left w:type="dxa" w:w="120"/>
              <w:bottom w:type="dxa" w:w="100"/>
              <w:right w:type="dxa" w:w="120"/>
            </w:tcMar>
          </w:tcPr>
          <w:p>
            <w:r>
              <w:rPr>
                <w:b w:val="false"/>
                <w:bCs w:val="false"/>
                <w:sz w:val="20"/>
                <w:szCs w:val="20"/>
              </w:rPr>
              <w:t xml:space="preserve">MEMBER_OF</w:t>
            </w:r>
          </w:p>
        </w:tc>
        <w:tc>
          <w:tcPr>
            <w:tcW w:type="dxa" w:w="3400"/>
            <w:tcMar>
              <w:top w:type="dxa" w:w="100"/>
              <w:left w:type="dxa" w:w="120"/>
              <w:bottom w:type="dxa" w:w="100"/>
              <w:right w:type="dxa" w:w="120"/>
            </w:tcMar>
          </w:tcPr>
          <w:p>
            <w:r>
              <w:rPr>
                <w:b w:val="false"/>
                <w:bCs w:val="false"/>
                <w:sz w:val="20"/>
                <w:szCs w:val="20"/>
              </w:rPr>
              <w:t xml:space="preserve">Formal or informal membership in a group</w:t>
            </w:r>
          </w:p>
        </w:tc>
        <w:tc>
          <w:tcPr>
            <w:tcW w:type="dxa" w:w="3000"/>
            <w:tcMar>
              <w:top w:type="dxa" w:w="100"/>
              <w:left w:type="dxa" w:w="120"/>
              <w:bottom w:type="dxa" w:w="100"/>
              <w:right w:type="dxa" w:w="120"/>
            </w:tcMar>
          </w:tcPr>
          <w:p>
            <w:r>
              <w:rPr>
                <w:b w:val="false"/>
                <w:bCs w:val="false"/>
                <w:sz w:val="20"/>
                <w:szCs w:val="20"/>
              </w:rPr>
              <w:t xml:space="preserve">Person → Organization</w:t>
            </w:r>
          </w:p>
        </w:tc>
      </w:tr>
      <w:tr>
        <w:tc>
          <w:tcPr>
            <w:tcW w:type="dxa" w:w="2600"/>
            <w:tcMar>
              <w:top w:type="dxa" w:w="100"/>
              <w:left w:type="dxa" w:w="120"/>
              <w:bottom w:type="dxa" w:w="100"/>
              <w:right w:type="dxa" w:w="120"/>
            </w:tcMar>
          </w:tcPr>
          <w:p>
            <w:r>
              <w:rPr>
                <w:b w:val="false"/>
                <w:bCs w:val="false"/>
                <w:sz w:val="20"/>
                <w:szCs w:val="20"/>
              </w:rPr>
              <w:t xml:space="preserve">FUNDS / FUNDED_BY</w:t>
            </w:r>
          </w:p>
        </w:tc>
        <w:tc>
          <w:tcPr>
            <w:tcW w:type="dxa" w:w="3400"/>
            <w:tcMar>
              <w:top w:type="dxa" w:w="100"/>
              <w:left w:type="dxa" w:w="120"/>
              <w:bottom w:type="dxa" w:w="100"/>
              <w:right w:type="dxa" w:w="120"/>
            </w:tcMar>
          </w:tcPr>
          <w:p>
            <w:r>
              <w:rPr>
                <w:b w:val="false"/>
                <w:bCs w:val="false"/>
                <w:sz w:val="20"/>
                <w:szCs w:val="20"/>
              </w:rPr>
              <w:t xml:space="preserve">Financial support relationship</w:t>
            </w:r>
          </w:p>
        </w:tc>
        <w:tc>
          <w:tcPr>
            <w:tcW w:type="dxa" w:w="3000"/>
            <w:tcMar>
              <w:top w:type="dxa" w:w="100"/>
              <w:left w:type="dxa" w:w="120"/>
              <w:bottom w:type="dxa" w:w="100"/>
              <w:right w:type="dxa" w:w="120"/>
            </w:tcMar>
          </w:tcPr>
          <w:p>
            <w:r>
              <w:rPr>
                <w:b w:val="false"/>
                <w:bCs w:val="false"/>
                <w:sz w:val="20"/>
                <w:szCs w:val="20"/>
              </w:rPr>
              <w:t xml:space="preserve">Entity → Funding source</w:t>
            </w:r>
          </w:p>
        </w:tc>
      </w:tr>
      <w:tr>
        <w:tc>
          <w:tcPr>
            <w:tcW w:type="dxa" w:w="2600"/>
            <w:tcMar>
              <w:top w:type="dxa" w:w="100"/>
              <w:left w:type="dxa" w:w="120"/>
              <w:bottom w:type="dxa" w:w="100"/>
              <w:right w:type="dxa" w:w="120"/>
            </w:tcMar>
          </w:tcPr>
          <w:p>
            <w:r>
              <w:rPr>
                <w:b w:val="false"/>
                <w:bCs w:val="false"/>
                <w:sz w:val="20"/>
                <w:szCs w:val="20"/>
              </w:rPr>
              <w:t xml:space="preserve">COMMUNICATES_WITH</w:t>
            </w:r>
          </w:p>
        </w:tc>
        <w:tc>
          <w:tcPr>
            <w:tcW w:type="dxa" w:w="3400"/>
            <w:tcMar>
              <w:top w:type="dxa" w:w="100"/>
              <w:left w:type="dxa" w:w="120"/>
              <w:bottom w:type="dxa" w:w="100"/>
              <w:right w:type="dxa" w:w="120"/>
            </w:tcMar>
          </w:tcPr>
          <w:p>
            <w:r>
              <w:rPr>
                <w:b w:val="false"/>
                <w:bCs w:val="false"/>
                <w:sz w:val="20"/>
                <w:szCs w:val="20"/>
              </w:rPr>
              <w:t xml:space="preserve">Messaging, calls, or correspondence</w:t>
            </w:r>
          </w:p>
        </w:tc>
        <w:tc>
          <w:tcPr>
            <w:tcW w:type="dxa" w:w="3000"/>
            <w:tcMar>
              <w:top w:type="dxa" w:w="100"/>
              <w:left w:type="dxa" w:w="120"/>
              <w:bottom w:type="dxa" w:w="100"/>
              <w:right w:type="dxa" w:w="120"/>
            </w:tcMar>
          </w:tcPr>
          <w:p>
            <w:r>
              <w:rPr>
                <w:b w:val="false"/>
                <w:bCs w:val="false"/>
                <w:sz w:val="20"/>
                <w:szCs w:val="20"/>
              </w:rPr>
              <w:t xml:space="preserve">Person → Person/Platform</w:t>
            </w:r>
          </w:p>
        </w:tc>
      </w:tr>
      <w:tr>
        <w:tc>
          <w:tcPr>
            <w:tcW w:type="dxa" w:w="2600"/>
            <w:tcMar>
              <w:top w:type="dxa" w:w="100"/>
              <w:left w:type="dxa" w:w="120"/>
              <w:bottom w:type="dxa" w:w="100"/>
              <w:right w:type="dxa" w:w="120"/>
            </w:tcMar>
          </w:tcPr>
          <w:p>
            <w:r>
              <w:rPr>
                <w:b w:val="false"/>
                <w:bCs w:val="false"/>
                <w:sz w:val="20"/>
                <w:szCs w:val="20"/>
              </w:rPr>
              <w:t xml:space="preserve">OWNS / CONTROLS</w:t>
            </w:r>
          </w:p>
        </w:tc>
        <w:tc>
          <w:tcPr>
            <w:tcW w:type="dxa" w:w="3400"/>
            <w:tcMar>
              <w:top w:type="dxa" w:w="100"/>
              <w:left w:type="dxa" w:w="120"/>
              <w:bottom w:type="dxa" w:w="100"/>
              <w:right w:type="dxa" w:w="120"/>
            </w:tcMar>
          </w:tcPr>
          <w:p>
            <w:r>
              <w:rPr>
                <w:b w:val="false"/>
                <w:bCs w:val="false"/>
                <w:sz w:val="20"/>
                <w:szCs w:val="20"/>
              </w:rPr>
              <w:t xml:space="preserve">Ownership or control of an asset/company</w:t>
            </w:r>
          </w:p>
        </w:tc>
        <w:tc>
          <w:tcPr>
            <w:tcW w:type="dxa" w:w="3000"/>
            <w:tcMar>
              <w:top w:type="dxa" w:w="100"/>
              <w:left w:type="dxa" w:w="120"/>
              <w:bottom w:type="dxa" w:w="100"/>
              <w:right w:type="dxa" w:w="120"/>
            </w:tcMar>
          </w:tcPr>
          <w:p>
            <w:r>
              <w:rPr>
                <w:b w:val="false"/>
                <w:bCs w:val="false"/>
                <w:sz w:val="20"/>
                <w:szCs w:val="20"/>
              </w:rPr>
              <w:t xml:space="preserve">Person → Company/Account</w:t>
            </w:r>
          </w:p>
        </w:tc>
      </w:tr>
      <w:tr>
        <w:tc>
          <w:tcPr>
            <w:tcW w:type="dxa" w:w="2600"/>
            <w:tcMar>
              <w:top w:type="dxa" w:w="100"/>
              <w:left w:type="dxa" w:w="120"/>
              <w:bottom w:type="dxa" w:w="100"/>
              <w:right w:type="dxa" w:w="120"/>
            </w:tcMar>
          </w:tcPr>
          <w:p>
            <w:r>
              <w:rPr>
                <w:b w:val="false"/>
                <w:bCs w:val="false"/>
                <w:sz w:val="20"/>
                <w:szCs w:val="20"/>
              </w:rPr>
              <w:t xml:space="preserve">TRAVELS_TO</w:t>
            </w:r>
          </w:p>
        </w:tc>
        <w:tc>
          <w:tcPr>
            <w:tcW w:type="dxa" w:w="3400"/>
            <w:tcMar>
              <w:top w:type="dxa" w:w="100"/>
              <w:left w:type="dxa" w:w="120"/>
              <w:bottom w:type="dxa" w:w="100"/>
              <w:right w:type="dxa" w:w="120"/>
            </w:tcMar>
          </w:tcPr>
          <w:p>
            <w:r>
              <w:rPr>
                <w:b w:val="false"/>
                <w:bCs w:val="false"/>
                <w:sz w:val="20"/>
                <w:szCs w:val="20"/>
              </w:rPr>
              <w:t xml:space="preserve">Movement between locations</w:t>
            </w:r>
          </w:p>
        </w:tc>
        <w:tc>
          <w:tcPr>
            <w:tcW w:type="dxa" w:w="3000"/>
            <w:tcMar>
              <w:top w:type="dxa" w:w="100"/>
              <w:left w:type="dxa" w:w="120"/>
              <w:bottom w:type="dxa" w:w="100"/>
              <w:right w:type="dxa" w:w="120"/>
            </w:tcMar>
          </w:tcPr>
          <w:p>
            <w:r>
              <w:rPr>
                <w:b w:val="false"/>
                <w:bCs w:val="false"/>
                <w:sz w:val="20"/>
                <w:szCs w:val="20"/>
              </w:rPr>
              <w:t xml:space="preserve">Person → Location</w:t>
            </w:r>
          </w:p>
        </w:tc>
      </w:tr>
      <w:tr>
        <w:tc>
          <w:tcPr>
            <w:tcW w:type="dxa" w:w="2600"/>
            <w:tcMar>
              <w:top w:type="dxa" w:w="100"/>
              <w:left w:type="dxa" w:w="120"/>
              <w:bottom w:type="dxa" w:w="100"/>
              <w:right w:type="dxa" w:w="120"/>
            </w:tcMar>
          </w:tcPr>
          <w:p>
            <w:r>
              <w:rPr>
                <w:b w:val="false"/>
                <w:bCs w:val="false"/>
                <w:sz w:val="20"/>
                <w:szCs w:val="20"/>
              </w:rPr>
              <w:t xml:space="preserve">SUPPLIES / PROCURES</w:t>
            </w:r>
          </w:p>
        </w:tc>
        <w:tc>
          <w:tcPr>
            <w:tcW w:type="dxa" w:w="3400"/>
            <w:tcMar>
              <w:top w:type="dxa" w:w="100"/>
              <w:left w:type="dxa" w:w="120"/>
              <w:bottom w:type="dxa" w:w="100"/>
              <w:right w:type="dxa" w:w="120"/>
            </w:tcMar>
          </w:tcPr>
          <w:p>
            <w:r>
              <w:rPr>
                <w:b w:val="false"/>
                <w:bCs w:val="false"/>
                <w:sz w:val="20"/>
                <w:szCs w:val="20"/>
              </w:rPr>
              <w:t xml:space="preserve">Logistics/material support</w:t>
            </w:r>
          </w:p>
        </w:tc>
        <w:tc>
          <w:tcPr>
            <w:tcW w:type="dxa" w:w="3000"/>
            <w:tcMar>
              <w:top w:type="dxa" w:w="100"/>
              <w:left w:type="dxa" w:w="120"/>
              <w:bottom w:type="dxa" w:w="100"/>
              <w:right w:type="dxa" w:w="120"/>
            </w:tcMar>
          </w:tcPr>
          <w:p>
            <w:r>
              <w:rPr>
                <w:b w:val="false"/>
                <w:bCs w:val="false"/>
                <w:sz w:val="20"/>
                <w:szCs w:val="20"/>
              </w:rPr>
              <w:t xml:space="preserve">Entity → Resource</w:t>
            </w:r>
          </w:p>
        </w:tc>
      </w:tr>
      <w:tr>
        <w:tc>
          <w:tcPr>
            <w:tcW w:type="dxa" w:w="2600"/>
            <w:tcMar>
              <w:top w:type="dxa" w:w="100"/>
              <w:left w:type="dxa" w:w="120"/>
              <w:bottom w:type="dxa" w:w="100"/>
              <w:right w:type="dxa" w:w="120"/>
            </w:tcMar>
          </w:tcPr>
          <w:p>
            <w:r>
              <w:rPr>
                <w:b w:val="false"/>
                <w:bCs w:val="false"/>
                <w:sz w:val="20"/>
                <w:szCs w:val="20"/>
              </w:rPr>
              <w:t xml:space="preserve">SUPPORTED_BY</w:t>
            </w:r>
          </w:p>
        </w:tc>
        <w:tc>
          <w:tcPr>
            <w:tcW w:type="dxa" w:w="3400"/>
            <w:tcMar>
              <w:top w:type="dxa" w:w="100"/>
              <w:left w:type="dxa" w:w="120"/>
              <w:bottom w:type="dxa" w:w="100"/>
              <w:right w:type="dxa" w:w="120"/>
            </w:tcMar>
          </w:tcPr>
          <w:p>
            <w:r>
              <w:rPr>
                <w:b w:val="false"/>
                <w:bCs w:val="false"/>
                <w:sz w:val="20"/>
                <w:szCs w:val="20"/>
              </w:rPr>
              <w:t xml:space="preserve">Broader network-level support</w:t>
            </w:r>
          </w:p>
        </w:tc>
        <w:tc>
          <w:tcPr>
            <w:tcW w:type="dxa" w:w="3000"/>
            <w:tcMar>
              <w:top w:type="dxa" w:w="100"/>
              <w:left w:type="dxa" w:w="120"/>
              <w:bottom w:type="dxa" w:w="100"/>
              <w:right w:type="dxa" w:w="120"/>
            </w:tcMar>
          </w:tcPr>
          <w:p>
            <w:r>
              <w:rPr>
                <w:b w:val="false"/>
                <w:bCs w:val="false"/>
                <w:sz w:val="20"/>
                <w:szCs w:val="20"/>
              </w:rPr>
              <w:t xml:space="preserve">Actor → Network</w:t>
            </w:r>
          </w:p>
        </w:tc>
      </w:tr>
    </w:tbl>
    <w:p>
      <w:pPr>
        <w:spacing w:after="200"/>
      </w:pPr>
    </w:p>
    <w:p>
      <w:pPr>
        <w:pStyle w:val="Heading2"/>
        <w:spacing w:after="150" w:before="300"/>
      </w:pPr>
      <w:r>
        <w:t xml:space="preserve">6.2 Group / community detection</w:t>
      </w:r>
    </w:p>
    <w:p>
      <w:pPr>
        <w:pStyle w:val="ListParagraph"/>
        <w:numPr>
          <w:ilvl w:val="0"/>
          <w:numId w:val="1"/>
        </w:numPr>
        <w:spacing w:after="80"/>
      </w:pPr>
      <w:r>
        <w:t xml:space="preserve">After entities and edges are loaded into the graph, run community-detection algorithms (e.g., Louvain, Label Propagation) to surface clusters that were not explicitly labeled as a 'group' in any single document.</w:t>
      </w:r>
    </w:p>
    <w:p>
      <w:pPr>
        <w:pStyle w:val="ListParagraph"/>
        <w:numPr>
          <w:ilvl w:val="0"/>
          <w:numId w:val="1"/>
        </w:numPr>
        <w:spacing w:after="80"/>
      </w:pPr>
      <w:r>
        <w:t xml:space="preserve">Use centrality measures (betweenness, degree) to flag entities that bridge otherwise separate clusters — often the most analytically interesting nodes.</w:t>
      </w:r>
    </w:p>
    <w:p>
      <w:pPr>
        <w:pStyle w:val="ListParagraph"/>
        <w:numPr>
          <w:ilvl w:val="0"/>
          <w:numId w:val="1"/>
        </w:numPr>
        <w:spacing w:after="80"/>
      </w:pPr>
      <w:r>
        <w:t xml:space="preserve">Compare newly detected communities against known/named organizations to see which clusters are already accounted for and which are novel.</w:t>
      </w:r>
    </w:p>
    <w:p>
      <w:pPr>
        <w:pStyle w:val="Heading1"/>
        <w:spacing w:after="200" w:before="400"/>
      </w:pPr>
      <w:r>
        <w:t xml:space="preserve">7. Phase 5 — Graph Construction &amp; Continuous Updates</w:t>
      </w:r>
    </w:p>
    <w:p>
      <w:pPr>
        <w:pStyle w:val="Heading2"/>
        <w:spacing w:after="150" w:before="300"/>
      </w:pPr>
      <w:r>
        <w:t xml:space="preserve">7.1 Entity resolution before writing to the graph</w:t>
      </w:r>
    </w:p>
    <w:p>
      <w:pPr>
        <w:pStyle w:val="ListParagraph"/>
        <w:numPr>
          <w:ilvl w:val="0"/>
          <w:numId w:val="1"/>
        </w:numPr>
        <w:spacing w:after="80"/>
      </w:pPr>
      <w:r>
        <w:t xml:space="preserve">Match new candidate entities against existing graph nodes using name normalization, aliases, and embedding similarity — avoid duplicate nodes for the same real-world actor.</w:t>
      </w:r>
    </w:p>
    <w:p>
      <w:pPr>
        <w:pStyle w:val="ListParagraph"/>
        <w:numPr>
          <w:ilvl w:val="0"/>
          <w:numId w:val="1"/>
        </w:numPr>
        <w:spacing w:after="80"/>
      </w:pPr>
      <w:r>
        <w:t xml:space="preserve">Where confidence is ambiguous, create the node but flag it 'unverified — pending analyst review' rather than auto-merging.</w:t>
      </w:r>
    </w:p>
    <w:p>
      <w:pPr>
        <w:pStyle w:val="Heading2"/>
        <w:spacing w:after="150" w:before="300"/>
      </w:pPr>
      <w:r>
        <w:t xml:space="preserve">7.2 Writing to Neo4j</w:t>
      </w:r>
    </w:p>
    <w:p>
      <w:pPr>
        <w:pStyle w:val="ListParagraph"/>
        <w:numPr>
          <w:ilvl w:val="0"/>
          <w:numId w:val="1"/>
        </w:numPr>
        <w:spacing w:after="80"/>
      </w:pPr>
      <w:r>
        <w:t xml:space="preserve">New actor mentioned for the first time → create node with type, source document, confidence, timestamp.</w:t>
      </w:r>
    </w:p>
    <w:p>
      <w:pPr>
        <w:pStyle w:val="ListParagraph"/>
        <w:numPr>
          <w:ilvl w:val="0"/>
          <w:numId w:val="1"/>
        </w:numPr>
        <w:spacing w:after="80"/>
      </w:pPr>
      <w:r>
        <w:t xml:space="preserve">New relationship extracted → create edge with type, source document, confidence, timestamp; if the edge already exists, increment an evidence counter instead of duplicating.</w:t>
      </w:r>
    </w:p>
    <w:p>
      <w:pPr>
        <w:pStyle w:val="ListParagraph"/>
        <w:numPr>
          <w:ilvl w:val="0"/>
          <w:numId w:val="1"/>
        </w:numPr>
        <w:spacing w:after="80"/>
      </w:pPr>
      <w:r>
        <w:t xml:space="preserve">Every node and edge retains provenance (which document/model run produced it) for auditability.</w:t>
      </w:r>
    </w:p>
    <w:p>
      <w:pPr>
        <w:pStyle w:val="Heading2"/>
        <w:spacing w:after="150" w:before="300"/>
      </w:pPr>
      <w:r>
        <w:t xml:space="preserve">7.3 Continuous ingestion loop</w:t>
      </w:r>
    </w:p>
    <w:p>
      <w:pPr>
        <w:spacing w:after="150"/>
      </w:pPr>
      <w:r>
        <w:t xml:space="preserve">New data → extraction model runs → entity resolution → graph write → community detection re-run → dashboards/alerts update. This should be schedulable (e.g., nightly batch) or event-driven (new document arrives → pipeline triggers).</w:t>
      </w:r>
    </w:p>
    <w:p>
      <w:pPr>
        <w:pStyle w:val="Heading1"/>
        <w:spacing w:after="200" w:before="400"/>
      </w:pPr>
      <w:r>
        <w:t xml:space="preserve">8. Phase 6 — Validation, Human-in-the-Loop, and Governance</w:t>
      </w:r>
    </w:p>
    <w:p>
      <w:pPr>
        <w:pStyle w:val="ListParagraph"/>
        <w:numPr>
          <w:ilvl w:val="0"/>
          <w:numId w:val="1"/>
        </w:numPr>
        <w:spacing w:after="80"/>
      </w:pPr>
      <w:r>
        <w:t xml:space="preserve">No node or edge above a defined risk threshold should be treated as confirmed without analyst sign-off — the model proposes, a human disposes.</w:t>
      </w:r>
    </w:p>
    <w:p>
      <w:pPr>
        <w:pStyle w:val="ListParagraph"/>
        <w:numPr>
          <w:ilvl w:val="0"/>
          <w:numId w:val="1"/>
        </w:numPr>
        <w:spacing w:after="80"/>
      </w:pPr>
      <w:r>
        <w:t xml:space="preserve">Maintain a review queue ranked by confidence score and potential significance (e.g., new links between previously unconnected clusters).</w:t>
      </w:r>
    </w:p>
    <w:p>
      <w:pPr>
        <w:pStyle w:val="ListParagraph"/>
        <w:numPr>
          <w:ilvl w:val="0"/>
          <w:numId w:val="1"/>
        </w:numPr>
        <w:spacing w:after="80"/>
      </w:pPr>
      <w:r>
        <w:t xml:space="preserve">Log every analyst accept/reject decision and feed it back into the training set to improve future extraction accuracy (active learning loop).</w:t>
      </w:r>
    </w:p>
    <w:p>
      <w:pPr>
        <w:pStyle w:val="ListParagraph"/>
        <w:numPr>
          <w:ilvl w:val="0"/>
          <w:numId w:val="1"/>
        </w:numPr>
        <w:spacing w:after="80"/>
      </w:pPr>
      <w:r>
        <w:t xml:space="preserve">Track model drift: periodically re-evaluate precision/recall as new data types appear, and retrain when performance degrades.</w:t>
      </w:r>
    </w:p>
    <w:p>
      <w:pPr>
        <w:pStyle w:val="ListParagraph"/>
        <w:numPr>
          <w:ilvl w:val="0"/>
          <w:numId w:val="1"/>
        </w:numPr>
        <w:spacing w:after="80"/>
      </w:pPr>
      <w:r>
        <w:t xml:space="preserve">Apply data governance and legal safeguards throughout — consistent with the point made in the existing threat-framework notes, that a single behavior or connection should trigger investigation, not a conclusion.</w:t>
      </w:r>
    </w:p>
    <w:p>
      <w:pPr>
        <w:pStyle w:val="Heading1"/>
        <w:spacing w:after="200" w:before="400"/>
      </w:pPr>
      <w:r>
        <w:t xml:space="preserve">9. Suggested Technology Stack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1F4E78" w:val="clear"/>
            <w:tcMar>
              <w:top w:type="dxa" w:w="100"/>
              <w:left w:type="dxa" w:w="120"/>
              <w:bottom w:type="dxa" w:w="100"/>
              <w:right w:type="dxa" w:w="120"/>
            </w:tcMar>
          </w:tcPr>
          <w:p>
            <w:r>
              <w:rPr>
                <w:b/>
                <w:bCs/>
                <w:color w:val="FFFFFF"/>
                <w:sz w:val="20"/>
                <w:szCs w:val="20"/>
              </w:rPr>
              <w:t xml:space="preserve">Layer</w:t>
            </w:r>
          </w:p>
        </w:tc>
        <w:tc>
          <w:tcPr>
            <w:tcW w:type="dxa" w:w="6000"/>
            <w:shd w:fill="1F4E78" w:val="clear"/>
            <w:tcMar>
              <w:top w:type="dxa" w:w="100"/>
              <w:left w:type="dxa" w:w="120"/>
              <w:bottom w:type="dxa" w:w="100"/>
              <w:right w:type="dxa" w:w="120"/>
            </w:tcMar>
          </w:tcPr>
          <w:p>
            <w:r>
              <w:rPr>
                <w:b/>
                <w:bCs/>
                <w:color w:val="FFFFFF"/>
                <w:sz w:val="20"/>
                <w:szCs w:val="20"/>
              </w:rPr>
              <w:t xml:space="preserve">Suggested tooling</w:t>
            </w:r>
          </w:p>
        </w:tc>
      </w:tr>
      <w:tr>
        <w:tc>
          <w:tcPr>
            <w:tcW w:type="dxa" w:w="3000"/>
            <w:tcMar>
              <w:top w:type="dxa" w:w="100"/>
              <w:left w:type="dxa" w:w="120"/>
              <w:bottom w:type="dxa" w:w="100"/>
              <w:right w:type="dxa" w:w="120"/>
            </w:tcMar>
          </w:tcPr>
          <w:p>
            <w:r>
              <w:rPr>
                <w:b w:val="false"/>
                <w:bCs w:val="false"/>
                <w:sz w:val="20"/>
                <w:szCs w:val="20"/>
              </w:rPr>
              <w:t xml:space="preserve">Data storage / prep</w:t>
            </w:r>
          </w:p>
        </w:tc>
        <w:tc>
          <w:tcPr>
            <w:tcW w:type="dxa" w:w="6000"/>
            <w:tcMar>
              <w:top w:type="dxa" w:w="100"/>
              <w:left w:type="dxa" w:w="120"/>
              <w:bottom w:type="dxa" w:w="100"/>
              <w:right w:type="dxa" w:w="120"/>
            </w:tcMar>
          </w:tcPr>
          <w:p>
            <w:r>
              <w:rPr>
                <w:b w:val="false"/>
                <w:bCs w:val="false"/>
                <w:sz w:val="20"/>
                <w:szCs w:val="20"/>
              </w:rPr>
              <w:t xml:space="preserve">Object storage + a document store (e.g., Postgres/Elasticsearch) for raw and cleaned text</w:t>
            </w:r>
          </w:p>
        </w:tc>
      </w:tr>
      <w:tr>
        <w:tc>
          <w:tcPr>
            <w:tcW w:type="dxa" w:w="3000"/>
            <w:tcMar>
              <w:top w:type="dxa" w:w="100"/>
              <w:left w:type="dxa" w:w="120"/>
              <w:bottom w:type="dxa" w:w="100"/>
              <w:right w:type="dxa" w:w="120"/>
            </w:tcMar>
          </w:tcPr>
          <w:p>
            <w:r>
              <w:rPr>
                <w:b w:val="false"/>
                <w:bCs w:val="false"/>
                <w:sz w:val="20"/>
                <w:szCs w:val="20"/>
              </w:rPr>
              <w:t xml:space="preserve">Labeling</w:t>
            </w:r>
          </w:p>
        </w:tc>
        <w:tc>
          <w:tcPr>
            <w:tcW w:type="dxa" w:w="6000"/>
            <w:tcMar>
              <w:top w:type="dxa" w:w="100"/>
              <w:left w:type="dxa" w:w="120"/>
              <w:bottom w:type="dxa" w:w="100"/>
              <w:right w:type="dxa" w:w="120"/>
            </w:tcMar>
          </w:tcPr>
          <w:p>
            <w:r>
              <w:rPr>
                <w:b w:val="false"/>
                <w:bCs w:val="false"/>
                <w:sz w:val="20"/>
                <w:szCs w:val="20"/>
              </w:rPr>
              <w:t xml:space="preserve">Annotation tool (e.g., Label Studio) with the custom entity/relation schema</w:t>
            </w:r>
          </w:p>
        </w:tc>
      </w:tr>
      <w:tr>
        <w:tc>
          <w:tcPr>
            <w:tcW w:type="dxa" w:w="3000"/>
            <w:tcMar>
              <w:top w:type="dxa" w:w="100"/>
              <w:left w:type="dxa" w:w="120"/>
              <w:bottom w:type="dxa" w:w="100"/>
              <w:right w:type="dxa" w:w="120"/>
            </w:tcMar>
          </w:tcPr>
          <w:p>
            <w:r>
              <w:rPr>
                <w:b w:val="false"/>
                <w:bCs w:val="false"/>
                <w:sz w:val="20"/>
                <w:szCs w:val="20"/>
              </w:rPr>
              <w:t xml:space="preserve">Model training</w:t>
            </w:r>
          </w:p>
        </w:tc>
        <w:tc>
          <w:tcPr>
            <w:tcW w:type="dxa" w:w="6000"/>
            <w:tcMar>
              <w:top w:type="dxa" w:w="100"/>
              <w:left w:type="dxa" w:w="120"/>
              <w:bottom w:type="dxa" w:w="100"/>
              <w:right w:type="dxa" w:w="120"/>
            </w:tcMar>
          </w:tcPr>
          <w:p>
            <w:r>
              <w:rPr>
                <w:b w:val="false"/>
                <w:bCs w:val="false"/>
                <w:sz w:val="20"/>
                <w:szCs w:val="20"/>
              </w:rPr>
              <w:t xml:space="preserve">Open-weight LLM fine-tuning (LoRA/QLoRA) or managed fine-tuning API; experiment tracking (e.g., MLflow/W&amp;B)</w:t>
            </w:r>
          </w:p>
        </w:tc>
      </w:tr>
      <w:tr>
        <w:tc>
          <w:tcPr>
            <w:tcW w:type="dxa" w:w="3000"/>
            <w:tcMar>
              <w:top w:type="dxa" w:w="100"/>
              <w:left w:type="dxa" w:w="120"/>
              <w:bottom w:type="dxa" w:w="100"/>
              <w:right w:type="dxa" w:w="120"/>
            </w:tcMar>
          </w:tcPr>
          <w:p>
            <w:r>
              <w:rPr>
                <w:b w:val="false"/>
                <w:bCs w:val="false"/>
                <w:sz w:val="20"/>
                <w:szCs w:val="20"/>
              </w:rPr>
              <w:t xml:space="preserve">Extraction serving</w:t>
            </w:r>
          </w:p>
        </w:tc>
        <w:tc>
          <w:tcPr>
            <w:tcW w:type="dxa" w:w="6000"/>
            <w:tcMar>
              <w:top w:type="dxa" w:w="100"/>
              <w:left w:type="dxa" w:w="120"/>
              <w:bottom w:type="dxa" w:w="100"/>
              <w:right w:type="dxa" w:w="120"/>
            </w:tcMar>
          </w:tcPr>
          <w:p>
            <w:r>
              <w:rPr>
                <w:b w:val="false"/>
                <w:bCs w:val="false"/>
                <w:sz w:val="20"/>
                <w:szCs w:val="20"/>
              </w:rPr>
              <w:t xml:space="preserve">Batch/streaming inference service exposing NER + relation-extraction endpoints</w:t>
            </w:r>
          </w:p>
        </w:tc>
      </w:tr>
      <w:tr>
        <w:tc>
          <w:tcPr>
            <w:tcW w:type="dxa" w:w="3000"/>
            <w:tcMar>
              <w:top w:type="dxa" w:w="100"/>
              <w:left w:type="dxa" w:w="120"/>
              <w:bottom w:type="dxa" w:w="100"/>
              <w:right w:type="dxa" w:w="120"/>
            </w:tcMar>
          </w:tcPr>
          <w:p>
            <w:r>
              <w:rPr>
                <w:b w:val="false"/>
                <w:bCs w:val="false"/>
                <w:sz w:val="20"/>
                <w:szCs w:val="20"/>
              </w:rPr>
              <w:t xml:space="preserve">Entity resolution</w:t>
            </w:r>
          </w:p>
        </w:tc>
        <w:tc>
          <w:tcPr>
            <w:tcW w:type="dxa" w:w="6000"/>
            <w:tcMar>
              <w:top w:type="dxa" w:w="100"/>
              <w:left w:type="dxa" w:w="120"/>
              <w:bottom w:type="dxa" w:w="100"/>
              <w:right w:type="dxa" w:w="120"/>
            </w:tcMar>
          </w:tcPr>
          <w:p>
            <w:r>
              <w:rPr>
                <w:b w:val="false"/>
                <w:bCs w:val="false"/>
                <w:sz w:val="20"/>
                <w:szCs w:val="20"/>
              </w:rPr>
              <w:t xml:space="preserve">Embedding similarity search (vector DB) + rules-based alias matching</w:t>
            </w:r>
          </w:p>
        </w:tc>
      </w:tr>
      <w:tr>
        <w:tc>
          <w:tcPr>
            <w:tcW w:type="dxa" w:w="3000"/>
            <w:tcMar>
              <w:top w:type="dxa" w:w="100"/>
              <w:left w:type="dxa" w:w="120"/>
              <w:bottom w:type="dxa" w:w="100"/>
              <w:right w:type="dxa" w:w="120"/>
            </w:tcMar>
          </w:tcPr>
          <w:p>
            <w:r>
              <w:rPr>
                <w:b w:val="false"/>
                <w:bCs w:val="false"/>
                <w:sz w:val="20"/>
                <w:szCs w:val="20"/>
              </w:rPr>
              <w:t xml:space="preserve">Graph database</w:t>
            </w:r>
          </w:p>
        </w:tc>
        <w:tc>
          <w:tcPr>
            <w:tcW w:type="dxa" w:w="6000"/>
            <w:tcMar>
              <w:top w:type="dxa" w:w="100"/>
              <w:left w:type="dxa" w:w="120"/>
              <w:bottom w:type="dxa" w:w="100"/>
              <w:right w:type="dxa" w:w="120"/>
            </w:tcMar>
          </w:tcPr>
          <w:p>
            <w:r>
              <w:rPr>
                <w:b w:val="false"/>
                <w:bCs w:val="false"/>
                <w:sz w:val="20"/>
                <w:szCs w:val="20"/>
              </w:rPr>
              <w:t xml:space="preserve">Neo4j, with Graph Data Science library for community detection &amp; centrality</w:t>
            </w:r>
          </w:p>
        </w:tc>
      </w:tr>
      <w:tr>
        <w:tc>
          <w:tcPr>
            <w:tcW w:type="dxa" w:w="3000"/>
            <w:tcMar>
              <w:top w:type="dxa" w:w="100"/>
              <w:left w:type="dxa" w:w="120"/>
              <w:bottom w:type="dxa" w:w="100"/>
              <w:right w:type="dxa" w:w="120"/>
            </w:tcMar>
          </w:tcPr>
          <w:p>
            <w:r>
              <w:rPr>
                <w:b w:val="false"/>
                <w:bCs w:val="false"/>
                <w:sz w:val="20"/>
                <w:szCs w:val="20"/>
              </w:rPr>
              <w:t xml:space="preserve">Orchestration</w:t>
            </w:r>
          </w:p>
        </w:tc>
        <w:tc>
          <w:tcPr>
            <w:tcW w:type="dxa" w:w="6000"/>
            <w:tcMar>
              <w:top w:type="dxa" w:w="100"/>
              <w:left w:type="dxa" w:w="120"/>
              <w:bottom w:type="dxa" w:w="100"/>
              <w:right w:type="dxa" w:w="120"/>
            </w:tcMar>
          </w:tcPr>
          <w:p>
            <w:r>
              <w:rPr>
                <w:b w:val="false"/>
                <w:bCs w:val="false"/>
                <w:sz w:val="20"/>
                <w:szCs w:val="20"/>
              </w:rPr>
              <w:t xml:space="preserve">Airflow/Prefect for scheduled or event-driven pipeline runs</w:t>
            </w:r>
          </w:p>
        </w:tc>
      </w:tr>
      <w:tr>
        <w:tc>
          <w:tcPr>
            <w:tcW w:type="dxa" w:w="3000"/>
            <w:tcMar>
              <w:top w:type="dxa" w:w="100"/>
              <w:left w:type="dxa" w:w="120"/>
              <w:bottom w:type="dxa" w:w="100"/>
              <w:right w:type="dxa" w:w="120"/>
            </w:tcMar>
          </w:tcPr>
          <w:p>
            <w:r>
              <w:rPr>
                <w:b w:val="false"/>
                <w:bCs w:val="false"/>
                <w:sz w:val="20"/>
                <w:szCs w:val="20"/>
              </w:rPr>
              <w:t xml:space="preserve">Review UI</w:t>
            </w:r>
          </w:p>
        </w:tc>
        <w:tc>
          <w:tcPr>
            <w:tcW w:type="dxa" w:w="6000"/>
            <w:tcMar>
              <w:top w:type="dxa" w:w="100"/>
              <w:left w:type="dxa" w:w="120"/>
              <w:bottom w:type="dxa" w:w="100"/>
              <w:right w:type="dxa" w:w="120"/>
            </w:tcMar>
          </w:tcPr>
          <w:p>
            <w:r>
              <w:rPr>
                <w:b w:val="false"/>
                <w:bCs w:val="false"/>
                <w:sz w:val="20"/>
                <w:szCs w:val="20"/>
              </w:rPr>
              <w:t xml:space="preserve">Lightweight internal dashboard for the analyst review queue and graph exploration</w:t>
            </w:r>
          </w:p>
        </w:tc>
      </w:tr>
    </w:tbl>
    <w:p>
      <w:pPr>
        <w:spacing w:after="200"/>
      </w:pPr>
    </w:p>
    <w:p>
      <w:pPr>
        <w:pStyle w:val="Heading1"/>
        <w:spacing w:after="200" w:before="400"/>
      </w:pPr>
      <w:r>
        <w:t xml:space="preserve">10. Indicative Timeline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1F4E78" w:val="clear"/>
            <w:tcMar>
              <w:top w:type="dxa" w:w="100"/>
              <w:left w:type="dxa" w:w="120"/>
              <w:bottom w:type="dxa" w:w="100"/>
              <w:right w:type="dxa" w:w="120"/>
            </w:tcMar>
          </w:tcPr>
          <w:p>
            <w:r>
              <w:rPr>
                <w:b/>
                <w:bCs/>
                <w:color w:val="FFFFFF"/>
                <w:sz w:val="20"/>
                <w:szCs w:val="20"/>
              </w:rPr>
              <w:t xml:space="preserve">Weeks 1–2</w:t>
            </w:r>
          </w:p>
        </w:tc>
        <w:tc>
          <w:tcPr>
            <w:tcW w:type="dxa" w:w="6800"/>
            <w:tcMar>
              <w:top w:type="dxa" w:w="100"/>
              <w:left w:type="dxa" w:w="120"/>
              <w:bottom w:type="dxa" w:w="100"/>
              <w:right w:type="dxa" w:w="120"/>
            </w:tcMar>
          </w:tcPr>
          <w:p>
            <w:r>
              <w:rPr>
                <w:b w:val="false"/>
                <w:bCs w:val="false"/>
                <w:sz w:val="20"/>
                <w:szCs w:val="20"/>
              </w:rPr>
              <w:t xml:space="preserve">Consolidate data sources, define entity/relationship schema, set up storage.</w:t>
            </w:r>
          </w:p>
        </w:tc>
      </w:tr>
      <w:tr>
        <w:tc>
          <w:tcPr>
            <w:tcW w:type="dxa" w:w="2200"/>
            <w:shd w:fill="1F4E78" w:val="clear"/>
            <w:tcMar>
              <w:top w:type="dxa" w:w="100"/>
              <w:left w:type="dxa" w:w="120"/>
              <w:bottom w:type="dxa" w:w="100"/>
              <w:right w:type="dxa" w:w="120"/>
            </w:tcMar>
          </w:tcPr>
          <w:p>
            <w:r>
              <w:rPr>
                <w:b/>
                <w:bCs/>
                <w:color w:val="FFFFFF"/>
                <w:sz w:val="20"/>
                <w:szCs w:val="20"/>
              </w:rPr>
              <w:t xml:space="preserve">Weeks 3–4</w:t>
            </w:r>
          </w:p>
        </w:tc>
        <w:tc>
          <w:tcPr>
            <w:tcW w:type="dxa" w:w="6800"/>
            <w:tcMar>
              <w:top w:type="dxa" w:w="100"/>
              <w:left w:type="dxa" w:w="120"/>
              <w:bottom w:type="dxa" w:w="100"/>
              <w:right w:type="dxa" w:w="120"/>
            </w:tcMar>
          </w:tcPr>
          <w:p>
            <w:r>
              <w:rPr>
                <w:b w:val="false"/>
                <w:bCs w:val="false"/>
                <w:sz w:val="20"/>
                <w:szCs w:val="20"/>
              </w:rPr>
              <w:t xml:space="preserve">Label seed dataset; build annotation guidelines; run inter-annotator checks.</w:t>
            </w:r>
          </w:p>
        </w:tc>
      </w:tr>
      <w:tr>
        <w:tc>
          <w:tcPr>
            <w:tcW w:type="dxa" w:w="2200"/>
            <w:shd w:fill="1F4E78" w:val="clear"/>
            <w:tcMar>
              <w:top w:type="dxa" w:w="100"/>
              <w:left w:type="dxa" w:w="120"/>
              <w:bottom w:type="dxa" w:w="100"/>
              <w:right w:type="dxa" w:w="120"/>
            </w:tcMar>
          </w:tcPr>
          <w:p>
            <w:r>
              <w:rPr>
                <w:b/>
                <w:bCs/>
                <w:color w:val="FFFFFF"/>
                <w:sz w:val="20"/>
                <w:szCs w:val="20"/>
              </w:rPr>
              <w:t xml:space="preserve">Weeks 5–7</w:t>
            </w:r>
          </w:p>
        </w:tc>
        <w:tc>
          <w:tcPr>
            <w:tcW w:type="dxa" w:w="6800"/>
            <w:tcMar>
              <w:top w:type="dxa" w:w="100"/>
              <w:left w:type="dxa" w:w="120"/>
              <w:bottom w:type="dxa" w:w="100"/>
              <w:right w:type="dxa" w:w="120"/>
            </w:tcMar>
          </w:tcPr>
          <w:p>
            <w:r>
              <w:rPr>
                <w:b w:val="false"/>
                <w:bCs w:val="false"/>
                <w:sz w:val="20"/>
                <w:szCs w:val="20"/>
              </w:rPr>
              <w:t xml:space="preserve">Bootstrap extraction with prompted LLM; fine-tune specialist model; evaluate.</w:t>
            </w:r>
          </w:p>
        </w:tc>
      </w:tr>
      <w:tr>
        <w:tc>
          <w:tcPr>
            <w:tcW w:type="dxa" w:w="2200"/>
            <w:shd w:fill="1F4E78" w:val="clear"/>
            <w:tcMar>
              <w:top w:type="dxa" w:w="100"/>
              <w:left w:type="dxa" w:w="120"/>
              <w:bottom w:type="dxa" w:w="100"/>
              <w:right w:type="dxa" w:w="120"/>
            </w:tcMar>
          </w:tcPr>
          <w:p>
            <w:r>
              <w:rPr>
                <w:b/>
                <w:bCs/>
                <w:color w:val="FFFFFF"/>
                <w:sz w:val="20"/>
                <w:szCs w:val="20"/>
              </w:rPr>
              <w:t xml:space="preserve">Weeks 8–9</w:t>
            </w:r>
          </w:p>
        </w:tc>
        <w:tc>
          <w:tcPr>
            <w:tcW w:type="dxa" w:w="6800"/>
            <w:tcMar>
              <w:top w:type="dxa" w:w="100"/>
              <w:left w:type="dxa" w:w="120"/>
              <w:bottom w:type="dxa" w:w="100"/>
              <w:right w:type="dxa" w:w="120"/>
            </w:tcMar>
          </w:tcPr>
          <w:p>
            <w:r>
              <w:rPr>
                <w:b w:val="false"/>
                <w:bCs w:val="false"/>
                <w:sz w:val="20"/>
                <w:szCs w:val="20"/>
              </w:rPr>
              <w:t xml:space="preserve">Build entity resolution + Neo4j ingestion pipeline; load initial graph.</w:t>
            </w:r>
          </w:p>
        </w:tc>
      </w:tr>
      <w:tr>
        <w:tc>
          <w:tcPr>
            <w:tcW w:type="dxa" w:w="2200"/>
            <w:shd w:fill="1F4E78" w:val="clear"/>
            <w:tcMar>
              <w:top w:type="dxa" w:w="100"/>
              <w:left w:type="dxa" w:w="120"/>
              <w:bottom w:type="dxa" w:w="100"/>
              <w:right w:type="dxa" w:w="120"/>
            </w:tcMar>
          </w:tcPr>
          <w:p>
            <w:r>
              <w:rPr>
                <w:b/>
                <w:bCs/>
                <w:color w:val="FFFFFF"/>
                <w:sz w:val="20"/>
                <w:szCs w:val="20"/>
              </w:rPr>
              <w:t xml:space="preserve">Weeks 10–11</w:t>
            </w:r>
          </w:p>
        </w:tc>
        <w:tc>
          <w:tcPr>
            <w:tcW w:type="dxa" w:w="6800"/>
            <w:tcMar>
              <w:top w:type="dxa" w:w="100"/>
              <w:left w:type="dxa" w:w="120"/>
              <w:bottom w:type="dxa" w:w="100"/>
              <w:right w:type="dxa" w:w="120"/>
            </w:tcMar>
          </w:tcPr>
          <w:p>
            <w:r>
              <w:rPr>
                <w:b w:val="false"/>
                <w:bCs w:val="false"/>
                <w:sz w:val="20"/>
                <w:szCs w:val="20"/>
              </w:rPr>
              <w:t xml:space="preserve">Add community detection, centrality analysis, and the analyst review UI.</w:t>
            </w:r>
          </w:p>
        </w:tc>
      </w:tr>
      <w:tr>
        <w:tc>
          <w:tcPr>
            <w:tcW w:type="dxa" w:w="2200"/>
            <w:shd w:fill="1F4E78" w:val="clear"/>
            <w:tcMar>
              <w:top w:type="dxa" w:w="100"/>
              <w:left w:type="dxa" w:w="120"/>
              <w:bottom w:type="dxa" w:w="100"/>
              <w:right w:type="dxa" w:w="120"/>
            </w:tcMar>
          </w:tcPr>
          <w:p>
            <w:r>
              <w:rPr>
                <w:b/>
                <w:bCs/>
                <w:color w:val="FFFFFF"/>
                <w:sz w:val="20"/>
                <w:szCs w:val="20"/>
              </w:rPr>
              <w:t xml:space="preserve">Week 12+</w:t>
            </w:r>
          </w:p>
        </w:tc>
        <w:tc>
          <w:tcPr>
            <w:tcW w:type="dxa" w:w="6800"/>
            <w:tcMar>
              <w:top w:type="dxa" w:w="100"/>
              <w:left w:type="dxa" w:w="120"/>
              <w:bottom w:type="dxa" w:w="100"/>
              <w:right w:type="dxa" w:w="120"/>
            </w:tcMar>
          </w:tcPr>
          <w:p>
            <w:r>
              <w:rPr>
                <w:b w:val="false"/>
                <w:bCs w:val="false"/>
                <w:sz w:val="20"/>
                <w:szCs w:val="20"/>
              </w:rPr>
              <w:t xml:space="preserve">Pilot on live data with human-in-the-loop review; tune thresholds; iterate.</w:t>
            </w:r>
          </w:p>
        </w:tc>
      </w:tr>
    </w:tbl>
    <w:p>
      <w:pPr>
        <w:spacing w:after="200"/>
      </w:pPr>
    </w:p>
    <w:p>
      <w:pPr>
        <w:pStyle w:val="Heading1"/>
        <w:spacing w:after="200" w:before="400"/>
      </w:pPr>
      <w:r>
        <w:t xml:space="preserve">11. Key Risks &amp; Mitigations</w:t>
      </w:r>
    </w:p>
    <w:p>
      <w:pPr>
        <w:pStyle w:val="ListParagraph"/>
        <w:numPr>
          <w:ilvl w:val="0"/>
          <w:numId w:val="1"/>
        </w:numPr>
        <w:spacing w:after="80"/>
      </w:pPr>
      <w:r>
        <w:t xml:space="preserve">Over-triggering / false links: mitigate with confidence thresholds, single-signal-is-not-enough review policy, and human sign-off before any node/edge is treated as confirmed.</w:t>
      </w:r>
    </w:p>
    <w:p>
      <w:pPr>
        <w:pStyle w:val="ListParagraph"/>
        <w:numPr>
          <w:ilvl w:val="0"/>
          <w:numId w:val="1"/>
        </w:numPr>
        <w:spacing w:after="80"/>
      </w:pPr>
      <w:r>
        <w:t xml:space="preserve">Duplicate or fragmented entities: mitigate with robust entity-resolution (alias lists + embedding similarity) before graph writes.</w:t>
      </w:r>
    </w:p>
    <w:p>
      <w:pPr>
        <w:pStyle w:val="ListParagraph"/>
        <w:numPr>
          <w:ilvl w:val="0"/>
          <w:numId w:val="1"/>
        </w:numPr>
        <w:spacing w:after="80"/>
      </w:pPr>
      <w:r>
        <w:t xml:space="preserve">Model drift as new data types appear: mitigate with scheduled re-evaluation and an active-learning feedback loop from analyst decisions.</w:t>
      </w:r>
    </w:p>
    <w:p>
      <w:pPr>
        <w:pStyle w:val="ListParagraph"/>
        <w:numPr>
          <w:ilvl w:val="0"/>
          <w:numId w:val="1"/>
        </w:numPr>
        <w:spacing w:after="80"/>
      </w:pPr>
      <w:r>
        <w:t xml:space="preserve">Data sensitivity/governance: mitigate with access controls, redaction rules, and audit logging on every pipeline stage.</w:t>
      </w:r>
    </w:p>
    <w:p>
      <w:pPr>
        <w:pStyle w:val="ListParagraph"/>
        <w:numPr>
          <w:ilvl w:val="0"/>
          <w:numId w:val="1"/>
        </w:numPr>
        <w:spacing w:after="80"/>
      </w:pPr>
      <w:r>
        <w:t xml:space="preserve">Explainability: every node/edge should retain source-document provenance so an analyst can trace why the model made a given connection.</w:t>
      </w:r>
    </w:p>
    <w:p>
      <w:pPr>
        <w:pStyle w:val="Heading1"/>
        <w:spacing w:after="200" w:before="400"/>
      </w:pPr>
      <w:r>
        <w:t xml:space="preserve">12. Next Steps</w:t>
      </w:r>
    </w:p>
    <w:p>
      <w:pPr>
        <w:pStyle w:val="ListParagraph"/>
        <w:numPr>
          <w:ilvl w:val="0"/>
          <w:numId w:val="2"/>
        </w:numPr>
        <w:spacing w:after="80"/>
      </w:pPr>
      <w:r>
        <w:t xml:space="preserve">Finalize the entity and relationship schema (Section 6.1) with stakeholder sign-off.</w:t>
      </w:r>
    </w:p>
    <w:p>
      <w:pPr>
        <w:pStyle w:val="ListParagraph"/>
        <w:numPr>
          <w:ilvl w:val="0"/>
          <w:numId w:val="2"/>
        </w:numPr>
        <w:spacing w:after="80"/>
      </w:pPr>
      <w:r>
        <w:t xml:space="preserve">Inventory and consolidate available data sources (Section 3.1).</w:t>
      </w:r>
    </w:p>
    <w:p>
      <w:pPr>
        <w:pStyle w:val="ListParagraph"/>
        <w:numPr>
          <w:ilvl w:val="0"/>
          <w:numId w:val="2"/>
        </w:numPr>
        <w:spacing w:after="80"/>
      </w:pPr>
      <w:r>
        <w:t xml:space="preserve">Stand up the labeling environment and produce the seed annotated dataset.</w:t>
      </w:r>
    </w:p>
    <w:p>
      <w:pPr>
        <w:pStyle w:val="ListParagraph"/>
        <w:numPr>
          <w:ilvl w:val="0"/>
          <w:numId w:val="2"/>
        </w:numPr>
        <w:spacing w:after="80"/>
      </w:pPr>
      <w:r>
        <w:t xml:space="preserve">Run the bootstrap extraction + fine-tuning experiment and evaluate against a held-out test set.</w:t>
      </w:r>
    </w:p>
    <w:p>
      <w:pPr>
        <w:pStyle w:val="ListParagraph"/>
        <w:numPr>
          <w:ilvl w:val="0"/>
          <w:numId w:val="2"/>
        </w:numPr>
        <w:spacing w:after="80"/>
      </w:pPr>
      <w:r>
        <w:t xml:space="preserve">Build the Neo4j ingestion pipeline with entity resolution and provenance tracking.</w:t>
      </w:r>
    </w:p>
    <w:p>
      <w:pPr>
        <w:pStyle w:val="ListParagraph"/>
        <w:numPr>
          <w:ilvl w:val="0"/>
          <w:numId w:val="2"/>
        </w:numPr>
        <w:spacing w:after="80"/>
      </w:pPr>
      <w:r>
        <w:t xml:space="preserve">Launch a limited pilot with mandatory human-in-the-loop review before any wider rollout.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lvl w:ilvl="1" w15:tentative="1">
      <w:start w:val="1"/>
      <w:numFmt w:val="lowerLetter"/>
      <w:lvlText w:val="%2."/>
      <w:lvlJc w:val="star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2026-08-27T05:59:16.962Z</dcterms:created>
  <dcterms:modified xsi:type="dcterms:W3CDTF">2026-08-27T05:59:16.977Z</dcterms:modified>
</cp:coreProperties>
</file>

<file path=docProps/custom.xml><?xml version="1.0" encoding="utf-8"?>
<Properties xmlns="http://schemas.openxmlformats.org/officeDocument/2006/custom-properties" xmlns:vt="http://schemas.openxmlformats.org/officeDocument/2006/docPropsVTypes"/>
</file>