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Multimodal Threat Intelligence Platform Architecture</w:t>
      </w:r>
    </w:p>
    <w:p>
      <w:pPr>
        <w:spacing w:after="160"/>
      </w:pPr>
      <w:r>
        <w:rPr>
          <w:i/>
          <w:iCs/>
          <w:color w:val="6B7280"/>
        </w:rPr>
        <w:t xml:space="preserve">A unified pipeline from physical and digital sensing through to agentic reasoning, built for entity resolution and threat-actor identification at scale.</w:t>
      </w:r>
    </w:p>
    <w:p>
      <w:pPr>
        <w:pStyle w:val="Heading1"/>
        <w:spacing w:after="150" w:before="300"/>
      </w:pPr>
      <w:r>
        <w:t xml:space="preserve">1. System Engineering Blueprint</w:t>
      </w:r>
    </w:p>
    <w:p>
      <w:pPr>
        <w:spacing w:after="160"/>
      </w:pPr>
      <w:r>
        <w:t xml:space="preserve">A modern threat intelligence architecture cannot rely on any single data source. It requires a unified pipeline that takes raw physical and digital signals and carries them through to an analyst-facing reasoning layer.</w:t>
      </w:r>
    </w:p>
    <w:p>
      <w:pPr>
        <w:spacing w:after="80" w:before="120"/>
        <w:jc w:val="center"/>
      </w:pPr>
      <w:r>
        <w:drawing>
          <wp:inline distT="0" distB="0" distL="0" distR="0">
            <wp:extent cx="384048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20"/>
          <w:szCs w:val="20"/>
        </w:rPr>
        <w:t xml:space="preserve">Figure 1. End-to-end platform pipeline.</w:t>
      </w:r>
    </w:p>
    <w:p>
      <w:pPr>
        <w:pStyle w:val="Heading1"/>
        <w:spacing w:after="150" w:before="300"/>
      </w:pPr>
      <w:r>
        <w:t xml:space="preserve">2. 11-Layer Functional Specification for Threat Actor Identification &amp; Entity Linkage</w:t>
      </w:r>
    </w:p>
    <w:p>
      <w:pPr>
        <w:spacing w:after="160"/>
      </w:pPr>
      <w:r>
        <w:t xml:space="preserve">Each layer below contributes a distinct signal type. Layers are designed to be composable — a given investigation may draw on as few or as many as the available data supports.</w:t>
      </w:r>
    </w:p>
    <w:p>
      <w:pPr>
        <w:pStyle w:val="Heading2"/>
        <w:spacing w:after="100" w:before="260"/>
      </w:pPr>
      <w:r>
        <w:t xml:space="preserve">Layer 1: Visible Computer Vision (Reconnaissance &amp; Physical Linkage)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Bounding box detection, human pose tracking, vehicle tracking, and trajectory mapping via YOLO and ByteTrack/BoT-SORT.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Identifies specific individuals engaged in pre-operational surveillance, unauthorized perimeter probing around critical infrastructure, or weapon handling.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Resolves physical movements into persistent track IDs, binding individuals to specific vehicles (license plates) and observed equipment.</w:t>
      </w:r>
    </w:p>
    <w:p>
      <w:pPr>
        <w:pStyle w:val="Heading2"/>
        <w:spacing w:after="100" w:before="260"/>
      </w:pPr>
      <w:r>
        <w:t xml:space="preserve">Layer 2: Identity &amp; Biometric Verification (Watchlist Disambiguation)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High-dimensional facial vector embeddings generated via RetinaFace and ArcFace.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Direct matching against sanctioned watchlists and biometric border-control databases under variable lighting or partial concealment (hats, masks).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Binds an unconfirmed physical track (Track_892) to a real-world identity or alias (Person_Entity_X), merging previously separated aliases across disparate incident reports.</w:t>
      </w:r>
    </w:p>
    <w:p>
      <w:pPr>
        <w:pStyle w:val="Heading2"/>
        <w:spacing w:after="100" w:before="260"/>
      </w:pPr>
      <w:r>
        <w:t xml:space="preserve">Layer 3: Thermal Radiometric Sensing (Concealed Operations &amp; Night Logistics)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Long-wave infrared (LWIR) radiometric thermal sensors extracting differential heat signatures.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Uncovers activity under blackout conditions, concealed staging locations, safehouses with abnormal cooling/power signatures, or perimeter breaches through tree lines.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Tags vehicles based on engine-block thermal signatures (indicating recent operation) and maps human heat trails to hidden or disguised structures.</w:t>
      </w:r>
    </w:p>
    <w:p>
      <w:pPr>
        <w:pStyle w:val="Heading2"/>
        <w:spacing w:after="100" w:before="260"/>
      </w:pPr>
      <w:r>
        <w:t xml:space="preserve">Layer 4: RF &amp; Wi-Fi CSI Sensing (Non-Line-of-Sight Presence Detection)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IEEE 802.11bf Channel State Information (CSI) subcarrier perturbation analysis.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Identifies human presence, respiration, and movement within reinforced spaces or closed rooms without requiring line-of-sight cameras.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Flags locations with unregistered occupants, counting hidden occupants and associating their presence with simultaneous wireless beacon transmissions.</w:t>
      </w:r>
    </w:p>
    <w:p>
      <w:pPr>
        <w:pStyle w:val="Heading2"/>
        <w:spacing w:after="100" w:before="260"/>
      </w:pPr>
      <w:r>
        <w:t xml:space="preserve">Layer 5: Micro-Doppler Radar (Gait Analysis &amp; Covert Transport)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FMCW millimeter-wave (mmWave) radar measuring frequency shifts, range, and velocity.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Extracts unique gait profiles to track suspected individuals even when faces are obscured, and distinguishes concealed payloads within standard vehicle compartments.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Connects movement across adverse weather conditions (fog, dust storms) to specific physical transit corridors.</w:t>
      </w:r>
    </w:p>
    <w:p>
      <w:pPr>
        <w:pStyle w:val="Heading2"/>
        <w:spacing w:after="100" w:before="260"/>
      </w:pPr>
      <w:r>
        <w:t xml:space="preserve">Layer 6: Audio &amp; Speech Forensics (Voiceprint &amp; Operational Signals)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Speaker diarization, acoustic vector embeddings (wav2vec 2.0 / Whisper), and transcription.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Matches intercepted voice communications against known threat-actor audio archives to confirm high-value targets (HVTs) using shared or unverified satellite/cellular connections.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Maps operational jargon, code phrases, and commands to caller-receiver communication edges (Person_A -[:COMMUNICATED_WITH]-&gt; Person_B).</w:t>
      </w:r>
    </w:p>
    <w:p>
      <w:pPr>
        <w:pStyle w:val="Heading2"/>
        <w:spacing w:after="100" w:before="260"/>
      </w:pPr>
      <w:r>
        <w:t xml:space="preserve">Layer 7: Behavioral Sequence Analysis (Anomalous OPSEC Deviations)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Sequential deviation modeling against baseline normative patterns.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Detects deliberate operational security (OPSEC) tradecraft — abrupt "go-dark" behavior, sequential SIM-swapping, erratic counter-surveillance driving paths, or off-hour visits to secondary locations.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Binds sudden behavioral deviations to planned activation schedules or cyber attack windows.</w:t>
      </w:r>
    </w:p>
    <w:p>
      <w:pPr>
        <w:pStyle w:val="Heading2"/>
        <w:spacing w:after="100" w:before="260"/>
      </w:pPr>
      <w:r>
        <w:t xml:space="preserve">Layer 8: Dynamic Social &amp; Network Graphs (Cell Structure &amp; Cell Isolation)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Graph topological clustering, Louvain/Leiden community detection, and centrality metrics.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Isolates the operational coordinator, courier, or logistical facilitator who acts as a high-betweenness bridge between compartmentalized sub-cells.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Traces indirect trust networks (Person A never calls Person B directly, but both interface with Contact C), resolving the entire cell boundary rather than a single actor.</w:t>
      </w:r>
    </w:p>
    <w:p>
      <w:pPr>
        <w:pStyle w:val="Heading2"/>
        <w:spacing w:after="100" w:before="260"/>
      </w:pPr>
      <w:r>
        <w:t xml:space="preserve">Layer 9: Cyber Telemetry &amp; CTI Attribution (Technical TTP Footprint)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Ingestion of NetFlow, SIEM alerts, EDR process executions, and MITRE ATT&amp;CK TTP mapping.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Correlates offensive network scanning, living-off-the-land malware binaries, and command-and-control (C2) beaconing to known Advanced Persistent Threat (APT) groups or hostile cyber units.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Connects outbound external reconnaissance scans from target infrastructure back to internal digital endpoints and staging servers.</w:t>
      </w:r>
    </w:p>
    <w:p>
      <w:pPr>
        <w:pStyle w:val="Heading2"/>
        <w:spacing w:after="100" w:before="260"/>
      </w:pPr>
      <w:r>
        <w:t xml:space="preserve">Layer 10: OSINT &amp; Surface Web Intelligence (Recruitment &amp; Ideological Footprint)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Natural language entity extraction (NER) over forums, public channels, registries, and paste sites.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Surfaces claims of responsibility, recruitment outreach, propaganda dissemination, and public-facing operational statements tied to specific handles or phone numbers.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Resolves disparate online pseudonyms, forum IDs, and PGP key fingerprints to the same physical actor cluster via text embedding similarity.</w:t>
      </w:r>
    </w:p>
    <w:p>
      <w:pPr>
        <w:pStyle w:val="Heading2"/>
        <w:spacing w:after="100" w:before="260"/>
      </w:pPr>
      <w:r>
        <w:t xml:space="preserve">Layer 11: Logistics, Physical Infrastructure &amp; C2 (Staging &amp; Interdiction Planning)</w:t>
      </w:r>
    </w:p>
    <w:p>
      <w:pPr>
        <w:spacing w:after="100"/>
      </w:pPr>
      <w:r>
        <w:rPr>
          <w:b/>
          <w:bCs/>
        </w:rPr>
        <w:t xml:space="preserve">Sensor &amp; extraction: </w:t>
      </w:r>
      <w:r>
        <w:t xml:space="preserve">Geospatial movement records, GPS telemetry, real-estate lease tracking, and supply chain manifests.</w:t>
      </w:r>
    </w:p>
    <w:p>
      <w:pPr>
        <w:spacing w:after="100"/>
      </w:pPr>
      <w:r>
        <w:rPr>
          <w:b/>
          <w:bCs/>
        </w:rPr>
        <w:t xml:space="preserve">Actor identification: </w:t>
      </w:r>
      <w:r>
        <w:t xml:space="preserve">Identifies staging locations, vehicle rental clusters, and critical infrastructure target locations.</w:t>
      </w:r>
    </w:p>
    <w:p>
      <w:pPr>
        <w:spacing w:after="100"/>
      </w:pPr>
      <w:r>
        <w:rPr>
          <w:b/>
          <w:bCs/>
        </w:rPr>
        <w:t xml:space="preserve">Linkage mechanism: </w:t>
      </w:r>
      <w:r>
        <w:t xml:space="preserve">Provides the spatial-temporal anchor linking the cyber probe (Layer 9) and physical presence (Layer 1/2), establishing the evidentiary convergence needed for a defensible response.</w:t>
      </w:r>
    </w:p>
    <w:p>
      <w:pPr>
        <w:pStyle w:val="Heading1"/>
        <w:spacing w:after="150" w:before="300"/>
      </w:pPr>
      <w:r>
        <w:t xml:space="preserve">3. Technology Stack &amp; Protocol Orchestration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4000"/>
      </w:tblGrid>
      <w:tr>
        <w:trPr>
          <w:tblHeader/>
        </w:trP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Infrastructure tier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production tooling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Operational role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Vision &amp; RF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Ultralytics YOLO, PyTorch, Linux Wi-Fi CSI drivers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object tracking, pose estimation, and RF disturbance ingestion.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Pipeline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Kafka, Vector / Fluentbit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Low-latency stream ingestion of high-volume telemetry and physical sensor events.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Enterprise (Graph Data Science Library)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Multilayer entity storage, temporal relationship indexing, and Cypher queries.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ML Engine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PyTorch Geometric (PyG), DGL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Dynamic temporal GNNs for link prediction, anomaly flagging, and cell detection.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Interface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Context Protocol (MCP) servers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protocol bridges connecting reasoning models directly to Cypher and SQL.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Reasoning Engine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GraphRAG + fine-tuned LLM orchestration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Synthesizing graph subgraphs into contextual analyst intelligence briefings.</w:t>
            </w:r>
          </w:p>
        </w:tc>
      </w:tr>
    </w:tbl>
    <w:p>
      <w:pPr>
        <w:pStyle w:val="Heading1"/>
        <w:spacing w:after="150" w:before="300"/>
      </w:pPr>
      <w:r>
        <w:t xml:space="preserve">4. Operational Risk, Ethics, and Governance Standard</w:t>
      </w:r>
    </w:p>
    <w:p>
      <w:pPr>
        <w:spacing w:after="160"/>
      </w:pPr>
      <w:r>
        <w:t xml:space="preserve">To adhere to the NIST AI Risk Management Framework (AI RMF 1.0) and prevent high-consequence system failures: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Elimination of pseudoscience predictors: </w:t>
      </w:r>
      <w:r>
        <w:t xml:space="preserve">the platform must not predict threat levels based on facial micro-expressions, speech sentiment, emotional state, or socio-cultural categorizations.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Auditable evidence provenance: </w:t>
      </w:r>
      <w:r>
        <w:t xml:space="preserve">threat scores cannot exist as opaque numbers. Every alert must display an explicit chain of evidence linking raw sensor events, specific database IDs, and timestamps.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Dual-key human authorization: </w:t>
      </w:r>
      <w:r>
        <w:t xml:space="preserve">automated pipelines identify correlation anomalies; human intelligence analysts retain sole authority over operational escalation and real-world interventions.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f23c39685b5efbdd38b9867af56af0cbf77d8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2026-09-04T11:57:55.364Z</dcterms:created>
  <dcterms:modified xsi:type="dcterms:W3CDTF">2026-09-04T11:57:55.364Z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