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00" w:lineRule="auto"/>
        <w:rPr/>
      </w:pPr>
      <w:r w:rsidDel="00000000" w:rsidR="00000000" w:rsidRPr="00000000">
        <w:rPr>
          <w:rtl w:val="0"/>
        </w:rPr>
        <w:t xml:space="preserve">Threat Network Support Systems &amp; Graph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Threat Assessment Flow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The diagram below traces the full analytical path: establishing who the actor is, what supports their activity, what they may be targeting, and the resulting risk-based response.</w:t>
      </w:r>
    </w:p>
    <w:p w:rsidR="00000000" w:rsidDel="00000000" w:rsidP="00000000" w:rsidRDefault="00000000" w:rsidRPr="00000000" w14:paraId="00000004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840480" cy="63779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377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6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Figure 1. Actor assessment and response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1. Executive Summary &amp; Taxonomy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Threat actors rarely operate in isolation. Sustained activity depends on a surrounding network of support functions — people, resources, and infrastructure that enable operations to continue. This model organizes that ecosystem into 16 operational support components: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 Support: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Core leadership, specialists, facilitators, couriers, and advisers.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Recruitment Support: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Outreach channels, online communities, influencers, and training pipelines.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Logistical Support: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 housing, transport corridors, staging storage, and procurement intermediaries.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 Support: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Encrypted messaging, radio networks, telecom metadata, and dead drops.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Technology Support: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Command-and-control infrastructure, server hosting, encryption, and custom tooling.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Material Support: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Equipment, electronics, vehicles, and supply caches.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Training &amp; Knowledge Support: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Tactical instruction, operational security education, and tradecraft sharing.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Political &amp; Institutional Support: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Political shielding, institutional influence, and advocacy fronts.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Social Support: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Kinship ties, community trust enclaves, and diaspora networks.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Ideological Support: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Propaganda networks, radicalization platforms, and public narratives.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Information Support: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Target reconnaissance, open-source intelligence (OSINT), and human sources.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Legal &amp; Administrative Support: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 handling, shell-entity registration, and legal coordination.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Infrastructure Support: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Warehouses, cloud accounts, and private facilities.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External Support: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Cross-border sponsors, diaspora networks, and foreign broker relationships.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Concealment &amp; Protection Support: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Obfuscated ownership structures, aliases, and compartmentalized cells.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Operational Execution Support: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point where upstream support converges into an active operation.</w:t>
      </w:r>
    </w:p>
    <w:p w:rsidR="00000000" w:rsidDel="00000000" w:rsidP="00000000" w:rsidRDefault="00000000" w:rsidRPr="00000000" w14:paraId="0000001B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2. Six-Class Graph Taxonomy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  <w:t xml:space="preserve">To keep the intelligence graph schema manageable, the 16 operational areas roll up into six parent meta-classes, which in turn converge into two structural categories used for entity linkage.</w:t>
      </w:r>
    </w:p>
    <w:p w:rsidR="00000000" w:rsidDel="00000000" w:rsidP="00000000" w:rsidRDefault="00000000" w:rsidRPr="00000000" w14:paraId="00000020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71215" cy="28432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215" cy="2843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6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Figure 2. Support ecosystem meta-class taxonomy.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3. Threat Traceability Ranking &amp; Intelligence Blindspots</w:t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  <w:t xml:space="preserve">Investigative friction is driven by visibility limits, data compartmentalization, and regulatory coverage. The table below ranks support domains by how difficult they are to trace.</w:t>
      </w:r>
    </w:p>
    <w:tbl>
      <w:tblPr>
        <w:tblStyle w:val="Table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00"/>
        <w:gridCol w:w="4500"/>
        <w:tblGridChange w:id="0">
          <w:tblGrid>
            <w:gridCol w:w="1800"/>
            <w:gridCol w:w="3200"/>
            <w:gridCol w:w="450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Difficulty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Support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Core operational blindspot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Human &amp; Social Trust Enclaves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Familial and offline personal trust leave zero institutional traces.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Concealed Ultimate Beneficial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Layered offshore structures and nominee directors legally mask actual network principals.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Ephemeral &amp; Encrypted Communications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End-to-end encryption eliminates content analysis; requires complex traffic analysis.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Cross-Border Operational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Jurisdictional borders create delays in data acquisition across sovereign entities.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Pseudonymous Online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Single operators mask actions behind synthetic or rotated digital profiles.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Medium-High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Distributed Logistics &amp; Supply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Individual transport legs mimic standard commercial retail and logistics traffic.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Regulated Corporate 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Discoverable through commercial registers, though often slowed by multi-state filings.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Registered Titled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Real estate and registered transport assets maintain public registry records.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