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rPr>
          <w:sz w:val="20"/>
          <w:szCs w:val="20"/>
        </w:rPr>
      </w:pPr>
      <w:bookmarkStart w:colFirst="0" w:colLast="0" w:name="_jdmgwppi98vp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Multimodal Threat Intelligence Platform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jg1t8atmfr4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System Engineering Blueprint</w:t>
      </w:r>
    </w:p>
    <w:p w:rsidR="00000000" w:rsidDel="00000000" w:rsidP="00000000" w:rsidRDefault="00000000" w:rsidRPr="00000000" w14:paraId="00000005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modern threat architecture cannot rely solely on computer vision or perimeter logs. It requires a unified pipeline from physical sensors up to agentic reasoning engines:</w:t>
      </w:r>
    </w:p>
    <w:p w:rsidR="00000000" w:rsidDel="00000000" w:rsidP="00000000" w:rsidRDefault="00000000" w:rsidRPr="00000000" w14:paraId="00000006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580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12-Layer Functional Specification for Terrorist Actor Identification &amp; Entity Linkage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1: Visible Computer Vision (Reconnaissance &amp; Physical Linkage)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Bounding box detection, human pose tracking, vehicle tracking, and trajectory mapping via YOLO and ByteTrack/BoT-SORT.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Identifies specific operatives engaged in pre-operational surveillance, unauthorized perimeter probing around critical infrastructure, or weapon handling.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Resolves physical movements into persistent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TrackID</w:t>
      </w:r>
      <w:r w:rsidDel="00000000" w:rsidR="00000000" w:rsidRPr="00000000">
        <w:rPr>
          <w:sz w:val="20"/>
          <w:szCs w:val="20"/>
          <w:rtl w:val="0"/>
        </w:rPr>
        <w:t xml:space="preserve"> nodes, binding physical individuals to specific vehicles (license plates) and observed tactical gear.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2: Identity &amp; Biometric Verification (Watchlist Disambiguation)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High-dimensional facial vector embeddings generated via RetinaFace and ArcFace.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Direct matching against sanctioned terror watchlists, biometric border-control databases, and Interpol red notices under variable lighting or partial concealment (hats, masks).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Binds an unconfirmed physical track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Track_892</w:t>
      </w:r>
      <w:r w:rsidDel="00000000" w:rsidR="00000000" w:rsidRPr="00000000">
        <w:rPr>
          <w:sz w:val="20"/>
          <w:szCs w:val="20"/>
          <w:rtl w:val="0"/>
        </w:rPr>
        <w:t xml:space="preserve">) to a real-world sovereign identity or alias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Person_Entity_X</w:t>
      </w:r>
      <w:r w:rsidDel="00000000" w:rsidR="00000000" w:rsidRPr="00000000">
        <w:rPr>
          <w:sz w:val="20"/>
          <w:szCs w:val="20"/>
          <w:rtl w:val="0"/>
        </w:rPr>
        <w:t xml:space="preserve">), merging previously separated aliases across disparate incident reports.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3: Thermal Radiometric Sensing (Concealed Operations &amp; Night Logistics)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Long-wave infrared (LWIR) radiometric thermal sensors extracting differential heat signatures.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Uncovers operatives operating under blackout conditions, concealed staging camps, safehouses with abnormal cooling/power signatures, or perimeter breeches through tree lines.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Tags vehicles based on engine-block thermal signatures (determining recent vehicle operation times) and maps human heat trails to hidden underground or disguised structures.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4: RF &amp; Wi-Fi CSI Sensing (Non-Line-of-Sight Presence Detection)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IEEE 802.11bf Channel State Information (CSI) subcarrier perturbation analysis.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Identifies human presence, respiration, and movement within reinforced safehouses or closed rooms without requiring line-of-sight cameras.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Flags "dark safehouses" where no registered occupants reside, counting hidden occupants and associating their presence with simultaneous wireless beacon transmissions.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5: Micro-Doppler Radar (Gait Analysis &amp; Covert Transport)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FMCW millimeter-wave (mmWave) radar measuring frequency shifts, range, and velocity.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Extracts unique biological gait profiles to track suspected operatives even if faces are completely obscured, and distinguishes concealed military-grade payloads within standard vehicular compartments.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Connects tactical movements across adverse weather conditions (fog, dust storms) to specific physical transit corridors.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6: Audio &amp; Speech Forensics (Voiceprint &amp; Operational Signals)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Speaker diarization, acoustic vector embeddings (wav2vec 2.0/Whisper), and transcription.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Matches intercepted voice communications against known terrorist leadership audio archives to confirm high-value targets (HVTs) using shared or unverified satellite/cellular connections.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Maps explicit operational jargon, code phrases, and commands to caller-receiver communication edges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Person_A -[:COMMUNICATED_WITH]-&gt; Person_B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7: Behavioral Sequence Analysis (Anomalous OPSEC Deviations)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Sequential deviation modeling against baseline normative patterns.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Detects deliberate operational security (OPSEC) tradecraft—such as abrupt "go-dark" behavior, sequential SIM-swapping, erratic counter-surveillance driving paths, or off-hour physical visits to secondary locations.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Binds sudden deviations across physical activity directly to planned activation schedules or cyber attack windows.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8: Dynamic Social &amp; Network Graphs (Cell Structure &amp; Cell Isolation)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Graph topological clustering, Louvain/Leiden community detection, and centrality metrics.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Isolates the operational coordinator, courier, or logistical facilitator who acts as a high-betweenness bridge between compartmentalized sub-cells.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Traces indirect trust networks (e.g., Person A never calls Person B directly, but both interface with Mule C), resolving the entire cell boundary rather than a single lone actor.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9: Transactional &amp; Asset Graphs (Terrorist Logistics &amp; Financing / CTF)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Graph-based anti-money laundering (AML) and counter-terrorist financing (CTF) modeling across fiat structuring, micro-transfers, and crypto mixer peel-chains.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Flags the operational financier or procurement officer purchasing dual-use precursors, satellite internet access, domain names, or tactical gear.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Merges anonymous transaction IDs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TX_104</w:t>
      </w:r>
      <w:r w:rsidDel="00000000" w:rsidR="00000000" w:rsidRPr="00000000">
        <w:rPr>
          <w:sz w:val="20"/>
          <w:szCs w:val="20"/>
          <w:rtl w:val="0"/>
        </w:rPr>
        <w:t xml:space="preserve">) and destination crypto wallets into the specific operational actor node that deployed the corresponding network infrastructure.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10: Cyber Telemetry &amp; CTI Attribution (Technical TTP Footprint)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Ingestion of NetFlow, SIEM alerts, EDR process executions, and MITRE ATT&amp;CK TTP mapping.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Correlates offensive network scanning, living-off-the-land malware binaries, and command-and-control (C2) beaconing to known Advanced Persistent Threat (APT) groups or hostile cyber warfare units.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Connects outbound external reconnaissance scans from target infrastructure back to internal digital endpoints and staging servers.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11: OSINT &amp; Surface Web Intelligence (Recruitment &amp; Ideological Footprint)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Natural language entity extraction (NER) over dark web forums, extremist channels, public registries, and paste sites.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Surfaces claims of responsibility, recruitment outreach, digital propaganda dissemination, and public-facing operational manifestos tied to specific handles or phone numbers.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Resolves disparate online pseudonyms, forum IDs, and PGP key fingerprints to the same physical actor cluster via text embedding similarity.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12: Logistics, Physical Infrastructure &amp; C2 (Staging &amp; Interdiction Planning)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Geospatial movement records, GPS telemetry, real-estate lease tracking, and supply chain manifests.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Identifies weapon caches, staging warehouses, vehicle rental clusters, and critical infrastructure target locations.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fdk36z4uja9a" w:id="3"/>
      <w:bookmarkEnd w:id="3"/>
      <w:r w:rsidDel="00000000" w:rsidR="00000000" w:rsidRPr="00000000">
        <w:rPr>
          <w:sz w:val="20"/>
          <w:szCs w:val="20"/>
          <w:rtl w:val="0"/>
        </w:rPr>
        <w:t xml:space="preserve">Linkage Mechanism: Provides the spatial-temporal anchor linking the cyber probe (Layer 10), financial purchase (Layer 9), and physical presence (Layer 1/2), establishing the evidentiary convergence required for lawful interdiction.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0" w:lineRule="auto"/>
        <w:rPr>
          <w:sz w:val="20"/>
          <w:szCs w:val="20"/>
        </w:rPr>
      </w:pPr>
      <w:bookmarkStart w:colFirst="0" w:colLast="0" w:name="_3myv6xopvw0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pr425mehoabl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Technology Stack &amp; Protocol Orchestration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3120"/>
        <w:gridCol w:w="3795"/>
        <w:tblGridChange w:id="0">
          <w:tblGrid>
            <w:gridCol w:w="2115"/>
            <w:gridCol w:w="3120"/>
            <w:gridCol w:w="37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Infrastructure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Recommended Production Tooling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Operational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Edge Vision &amp; 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Ultralytics YOLO, PyTorch, Linux Wi-Fi CSI Drivers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Real-time object tracking, pose estimation, and RF disturbance ingestion.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Streaming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Apache Kafka, Vector / Fluentbit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Low-latency stream ingestion of high-volume telemetry and physical sensor events.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Graph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Neo4j Enterprise (Graph Data Science Library)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Multilayer entity storage, temporal relationship indexing, and Cypher queries.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Graph ML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PyTorch Geometric (PyG), DGL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Dynamic Temporal GNNs for link prediction, anomaly flagging, and cell detection.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Agent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 Context Protocol (MCP) Servers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Secure protocol bridges connecting reasoning models directly to Cypher and SQL.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Reasoning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GraphRAG + Fine-tuned LLM Orchestration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Synthesizing graph subgraphs into contextual analyst intelligence briefings.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yeka9htos1b3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Operational Risk, Ethics, and Governance Standard</w:t>
      </w:r>
    </w:p>
    <w:p w:rsidR="00000000" w:rsidDel="00000000" w:rsidP="00000000" w:rsidRDefault="00000000" w:rsidRPr="00000000" w14:paraId="00000050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adhere to the NIST Artificial Intelligence Risk Management Framework (AI RMF 1.0) and prevent high-consequence system failures: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Elimination of Pseudoscience Predictors:</w:t>
      </w:r>
      <w:r w:rsidDel="00000000" w:rsidR="00000000" w:rsidRPr="00000000">
        <w:rPr>
          <w:sz w:val="20"/>
          <w:szCs w:val="20"/>
          <w:rtl w:val="0"/>
        </w:rPr>
        <w:t xml:space="preserve"> The platform must not predict threat levels based on facial micro-expressions, speech sentiment, emotional state, or socio-cultural categorizations.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Auditable Evidence Provenance:</w:t>
      </w:r>
      <w:r w:rsidDel="00000000" w:rsidR="00000000" w:rsidRPr="00000000">
        <w:rPr>
          <w:sz w:val="20"/>
          <w:szCs w:val="20"/>
          <w:rtl w:val="0"/>
        </w:rPr>
        <w:t xml:space="preserve"> Threat scores cannot exist as opaque numbers. Every alert must display an explicit chain of evidence linking raw sensor events, specific database IDs, and timestamps.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Dual-Key Human Authorization:</w:t>
      </w:r>
      <w:r w:rsidDel="00000000" w:rsidR="00000000" w:rsidRPr="00000000">
        <w:rPr>
          <w:sz w:val="20"/>
          <w:szCs w:val="20"/>
          <w:rtl w:val="0"/>
        </w:rPr>
        <w:t xml:space="preserve"> Automated pipelines identify correlation anomalies; human intelligence analysts retain sole authority over operational escalation and real-world interventions.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