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System Mission &amp; Pipeline Overview</w:t>
      </w:r>
    </w:p>
    <w:p>
      <w:pPr>
        <w:spacing w:after="160"/>
      </w:pPr>
      <w:r>
        <w:t xml:space="preserve">The redesigned Multi-Modal Counter-Terrorism Intelligence (MMCTI) platform is completely decoupled from banking and retail fraud classification. Its operational mandate is defined strictly by four core objectives: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Target Identification: </w:t>
      </w:r>
      <w:r>
        <w:t xml:space="preserve">Flagging emerging hostile actors across weak, distributed operational signals.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Entity Linkage: </w:t>
      </w:r>
      <w:r>
        <w:t xml:space="preserve">Connecting resolved actors to devices, IP infrastructure, domains, cell towers, and coordinating peers.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Risk Scoring: </w:t>
      </w:r>
      <w:r>
        <w:t xml:space="preserve">Fusing heterogeneous signals into a prioritized ranking to eliminate analyst alert fatigue.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Actor Tracking: </w:t>
      </w:r>
      <w:r>
        <w:t xml:space="preserve">Tracing the chronological evolution of infrastructure and relationships over time.</w:t>
      </w:r>
    </w:p>
    <w:p>
      <w:pPr>
        <w:spacing w:after="80" w:before="120"/>
        <w:jc w:val="center"/>
      </w:pPr>
      <w:r>
        <w:drawing>
          <wp:inline distT="0" distB="0" distL="0" distR="0">
            <wp:extent cx="3840480" cy="4389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20"/>
          <w:szCs w:val="20"/>
        </w:rPr>
        <w:t xml:space="preserve">Figure 1. Eight-layer MMCTI processing pipeline.</w:t>
      </w:r>
    </w:p>
    <w:p>
      <w:pPr>
        <w:pStyle w:val="Heading1"/>
        <w:spacing w:after="150" w:before="300"/>
      </w:pPr>
      <w:r>
        <w:t xml:space="preserve">Layer 1: Multi-Modal Data Ingestion Layer</w:t>
      </w:r>
    </w:p>
    <w:p>
      <w:pPr>
        <w:pStyle w:val="Heading3"/>
        <w:spacing w:after="90" w:before="200"/>
      </w:pPr>
      <w:r>
        <w:t xml:space="preserve">1. Cyber Telemetry &amp; Network Flows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Dataset Used: </w:t>
      </w:r>
      <w:r>
        <w:t xml:space="preserve">UNSW-NB15 Network Telemetry Benchmark.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Dataset: </w:t>
      </w:r>
      <w:r>
        <w:t xml:space="preserve">Unlike synthetic lab captures, UNSW-NB15 mirrors modern low-and-slow reconnaissance, port scans, and command-and-control (C2) channel handshakes.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What Information It Contains: </w:t>
      </w:r>
      <w:r>
        <w:t xml:space="preserve">49 structured network flow features, including source/destination IP addresses, port numbers, duration, packet counts, TTL (Time-to-Live) values, protocol flags (TCP, UDP, ICMP), and transaction round-trip states.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Operational Value: </w:t>
      </w:r>
      <w:r>
        <w:t xml:space="preserve">Discovers reconnaissance probes against critical infrastructure and unauthorized lateral scans.</w:t>
      </w:r>
    </w:p>
    <w:p>
      <w:pPr>
        <w:pStyle w:val="Heading3"/>
        <w:spacing w:after="90" w:before="200"/>
      </w:pPr>
      <w:r>
        <w:t xml:space="preserve">2. Delivery &amp; Weaponized Infrastructure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Dataset Used: </w:t>
      </w:r>
      <w:r>
        <w:t xml:space="preserve">Pirocheto Phishing &amp; Malicious URL Corpus.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Dataset: </w:t>
      </w:r>
      <w:r>
        <w:t xml:space="preserve">Hostile staging cells rely heavily on disguised hostnames, shortened delivery URLs, and typo-squatted domains to harvest credentials or stage malware payloads.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What Information It Contains: </w:t>
      </w:r>
      <w:r>
        <w:t xml:space="preserve">Raw URLs, full HTTP strings, top-level domain (TLD) classifications, and labels indicating malicious versus benign infrastructure.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Operational Value: </w:t>
      </w:r>
      <w:r>
        <w:t xml:space="preserve">Identifies domains being set up or accessed by actors during preliminary staging.</w:t>
      </w:r>
    </w:p>
    <w:p>
      <w:pPr>
        <w:pStyle w:val="Heading3"/>
        <w:spacing w:after="90" w:before="200"/>
      </w:pPr>
      <w:r>
        <w:t xml:space="preserve">3. Cellular Mobility &amp; Telecom CDR Feeds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Dataset Used: </w:t>
      </w:r>
      <w:r>
        <w:t xml:space="preserve">Synthetic Telecommunications Call Detail Record (CDR) &amp; Cell Tower Logs.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Dataset: </w:t>
      </w:r>
      <w:r>
        <w:t xml:space="preserve">Telecom logs expose physical operational security (OPSEC) tradecraft — specifically burner phone usage and co-location — that cyber sensors miss entirely.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What Information It Contains: </w:t>
      </w:r>
      <w:r>
        <w:t xml:space="preserve">Mobile Station International Subscriber Directory Numbers (MSISDNs / phone numbers), International Mobile Equipment Identity (IMEI / handset hardware IDs), Cell Tower IDs with associated latitude/longitude coordinates, call durations, and precise event timestamps.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Operational Value: </w:t>
      </w:r>
      <w:r>
        <w:t xml:space="preserve">Pinpoints physical burner phone activation rings, IMEI churn (multiple SIM cards swapped into a single physical phone), and geographic transit patterns.</w:t>
      </w:r>
    </w:p>
    <w:p>
      <w:pPr>
        <w:pStyle w:val="Heading1"/>
        <w:spacing w:after="150" w:before="300"/>
      </w:pPr>
      <w:r>
        <w:t xml:space="preserve">Layer 2: Perception &amp; Domain-Specific Model Inference</w:t>
      </w:r>
    </w:p>
    <w:p>
      <w:pPr>
        <w:pStyle w:val="Heading3"/>
        <w:spacing w:after="90" w:before="200"/>
      </w:pPr>
      <w:r>
        <w:t xml:space="preserve">1. Network Behavior Model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Model Architecture: </w:t>
      </w:r>
      <w:r>
        <w:t xml:space="preserve">XGBoost Classifier (max_depth=3, eval_metric="logloss", learning_rate=0.1).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Model: </w:t>
      </w:r>
      <w:r>
        <w:t xml:space="preserve">Tabular network flows feature non-linear boundaries, heterogeneous scales, and sparse features that cause deep neural networks to overfit unless heavily regularized. Gradient-boosted decision trees naturally partition these metrics efficiently.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Input: </w:t>
      </w:r>
      <w:r>
        <w:t xml:space="preserve">Numerical flow vector (duration, packet count, rate, error flags).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Output: </w:t>
      </w:r>
      <w:r>
        <w:t xml:space="preserve">Calibrated cyber anomaly probability score P(attack) ∈ [0, 1].</w:t>
      </w:r>
    </w:p>
    <w:p>
      <w:pPr>
        <w:pStyle w:val="Heading3"/>
        <w:spacing w:after="90" w:before="200"/>
      </w:pPr>
      <w:r>
        <w:t xml:space="preserve">2. Domain &amp; Delivery Classifier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Model Architecture: </w:t>
      </w:r>
      <w:r>
        <w:t xml:space="preserve">Character N-Gram (3–5) TF-IDF + Balanced Logistic Regression.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Model: </w:t>
      </w:r>
      <w:r>
        <w:t xml:space="preserve">Hostile domains rarely rely on standard vocabulary; they utilize character-level variations (e.g., secure-login-v4.com, auth-portal-gov[.]org). Character n-grams directly capture lexical entropy and sub-word indicators without requiring heavy language models.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Input: </w:t>
      </w:r>
      <w:r>
        <w:t xml:space="preserve">Raw URL string.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Output: </w:t>
      </w:r>
      <w:r>
        <w:t xml:space="preserve">Malicious infrastructure confidence score P(malicious) ∈ [0, 1].</w:t>
      </w:r>
    </w:p>
    <w:p>
      <w:pPr>
        <w:pStyle w:val="Heading3"/>
        <w:spacing w:after="90" w:before="200"/>
      </w:pPr>
      <w:r>
        <w:t xml:space="preserve">3. Cellular Mobility &amp; Burner Detector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Model Architecture: </w:t>
      </w:r>
      <w:r>
        <w:t xml:space="preserve">Isolation Forest + Sequential IMEI Churn Estimator.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Model: </w:t>
      </w:r>
      <w:r>
        <w:t xml:space="preserve">Unsupervised tree isolation efficiently identifies anomalous outliers in mobility records (e.g., sudden bursts of late-night calls or rapid geographic relocations exceeding normal human velocity).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Input: </w:t>
      </w:r>
      <w:r>
        <w:t xml:space="preserve">IMEI churn counts, nighttime communication ratios, and cell tower transit velocity.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Output: </w:t>
      </w:r>
      <w:r>
        <w:t xml:space="preserve">Telecom anomaly risk score P(burner) ∈ [0, 1].</w:t>
      </w:r>
    </w:p>
    <w:p>
      <w:pPr>
        <w:pStyle w:val="Heading1"/>
        <w:spacing w:after="150" w:before="300"/>
      </w:pPr>
      <w:r>
        <w:t xml:space="preserve">Layer 3: Common Event Normalization Engine</w:t>
      </w:r>
    </w:p>
    <w:p>
      <w:pPr>
        <w:spacing w:after="160"/>
      </w:pPr>
      <w:r>
        <w:t xml:space="preserve">Disparate model outputs cannot be directly mapped into a knowledge graph without standardizing their formats. The normalizer converts raw predictions into an immutable, unified JSON schema: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"event_id": "NET_88412",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"event_type": "network_event",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"entity_id": "ACTOR_48",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"risk_score": 0.892,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"source": "network_behavior_model",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"details": "Anomalous SCADA port reconnaissance scan",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"2026-09-06T14:32:10Z",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"metadata": {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"target_port": 502,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"duration": 0.14,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"ip_address": "198.51.100.45"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Standardized Fields: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event_id</w:t>
      </w:r>
      <w:r>
        <w:t xml:space="preserve">: Unique identifier for the transaction, scan, or cellular ping.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event_type</w:t>
      </w:r>
      <w:r>
        <w:t xml:space="preserve">: Categorical label (network_event, url_event, telecom_anomaly, cti_ttp_event).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entity_id</w:t>
      </w:r>
      <w:r>
        <w:t xml:space="preserve">: The logical entity or suspect cluster the event binds to.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risk_score</w:t>
      </w:r>
      <w:r>
        <w:t xml:space="preserve">: Calibrated probability output from the Layer 2 domain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source</w:t>
      </w:r>
      <w:r>
        <w:t xml:space="preserve">: Provenance engine tag for auditability and compliance.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details</w:t>
      </w:r>
      <w:r>
        <w:t xml:space="preserve">: Human-readable investigative summary for forensic dossiers.</w:t>
      </w:r>
    </w:p>
    <w:p>
      <w:pPr>
        <w:pStyle w:val="Heading1"/>
        <w:spacing w:after="150" w:before="300"/>
      </w:pPr>
      <w:r>
        <w:t xml:space="preserve">Layer 4: Semantic Embedding &amp; Vector Retrieval Engine</w:t>
      </w:r>
    </w:p>
    <w:p>
      <w:pPr>
        <w:pStyle w:val="Heading3"/>
        <w:spacing w:after="90" w:before="200"/>
      </w:pPr>
      <w:r>
        <w:t xml:space="preserve">1. Embedding Model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Technology: </w:t>
      </w:r>
      <w:r>
        <w:t xml:space="preserve">BAAI/bge-m3 (1024-dimensional dense semantic vectors).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Technology: </w:t>
      </w:r>
      <w:r>
        <w:t xml:space="preserve">Multi-modal threat investigations require cross-lingual mapping across unstructured intelligence reports, hacker aliases, and text descriptions of MITRE ATT&amp;CK techniques. bge-m3 provides dense vector retrieval, multi-lingual support, and high semantic precision for technical threat intelligence taxonomies.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What It Embeds: </w:t>
      </w:r>
      <w:r>
        <w:t xml:space="preserve">Unstructured threat reports, actor alias variants (e.g., "Fancy Bear", "APT28", "Strontium"), and formal MITRE ATT&amp;CK scope descriptions.</w:t>
      </w:r>
    </w:p>
    <w:p>
      <w:pPr>
        <w:pStyle w:val="Heading3"/>
        <w:spacing w:after="90" w:before="200"/>
      </w:pPr>
      <w:r>
        <w:t xml:space="preserve">2. Vector Store Storage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Technology: </w:t>
      </w:r>
      <w:r>
        <w:t xml:space="preserve">ChromaDB / In-Memory FAISS (Colab workbench) → Neo4j Vector Index (Production).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Technology: </w:t>
      </w:r>
      <w:r>
        <w:t xml:space="preserve">Allows nearest-neighbor search (k-NN via cosine similarity) to instantly link an observed event indicator to a documented Advanced Persistent Threat (APT) tactic without manual rule creation.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Layer Output: </w:t>
      </w:r>
      <w:r>
        <w:t xml:space="preserve">Semantic similarity scores matching active telemetry to known threat actors and techniques.</w:t>
      </w:r>
    </w:p>
    <w:p>
      <w:pPr>
        <w:pStyle w:val="Heading1"/>
        <w:spacing w:after="150" w:before="300"/>
      </w:pPr>
      <w:r>
        <w:t xml:space="preserve">Layer 5: Entity Resolution &amp; Knowledge Graph Assembly</w:t>
      </w:r>
    </w:p>
    <w:p>
      <w:pPr>
        <w:pStyle w:val="Heading3"/>
        <w:spacing w:after="90" w:before="200"/>
      </w:pPr>
      <w:r>
        <w:t xml:space="preserve">1. Technology Selection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Google Colab Prototype: </w:t>
      </w:r>
      <w:r>
        <w:t xml:space="preserve">NetworkX (multi-directed graph handling thousands of in-memory connections).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Enterprise Production: </w:t>
      </w:r>
      <w:r>
        <w:t xml:space="preserve">Neo4j AuraDB / Neo4j Enterprise (native property graph storing millions of nodes with sub-second Cypher queries).</w:t>
      </w:r>
    </w:p>
    <w:p>
      <w:pPr>
        <w:pStyle w:val="Heading3"/>
        <w:spacing w:after="90" w:before="200"/>
      </w:pPr>
      <w:r>
        <w:t xml:space="preserve">2. Graph Schema &amp; Structural Ontologies</w:t>
      </w:r>
    </w:p>
    <w:p>
      <w:pPr>
        <w:spacing w:after="160"/>
      </w:pPr>
      <w:r>
        <w:t xml:space="preserve">The graph models relationships between actors, physical devices, digital infrastructure, and observed events: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(:Actor) ──[:USES_DEVICE]──&gt; (:Device:IMEI) ──[:ATTACHED_TO]──&gt; (:CellTower)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│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├──[:OPERATES]────────&gt; (:Infrastructure:IP) ──[:HOSTS]──&gt; (:Domain:URL)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│</w:t>
      </w:r>
    </w:p>
    <w:p>
      <w:pPr>
        <w:spacing w:after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└──[:GENERATED_EVENT]───&gt; (:Event) ──[:INDICATES]──────────&gt; (:AttackPattern)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Node Labels: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:Actor</w:t>
      </w:r>
      <w:r>
        <w:t xml:space="preserve">: Unique suspect or operative node (ACTOR_48).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:Device</w:t>
      </w:r>
      <w:r>
        <w:t xml:space="preserve">: Physical cellular hardware (IMEI_352094...).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:Infrastructure</w:t>
      </w:r>
      <w:r>
        <w:t xml:space="preserve">: Cyber assets (IP_198.51.100.45).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:Domain</w:t>
      </w:r>
      <w:r>
        <w:t xml:space="preserve">: Staging URLs and web destinations (secure-auth-login[.]org).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:CellTower</w:t>
      </w:r>
      <w:r>
        <w:t xml:space="preserve">: Geolocation towers with coordinates and azimuth tags.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</w:rPr>
        <w:t xml:space="preserve">:AttackPattern</w:t>
      </w:r>
      <w:r>
        <w:t xml:space="preserve">: MITRE ATT&amp;CK techniques (T1190: Exploit Public-Facing App).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Edge Relationships: </w:t>
      </w:r>
      <w:r>
        <w:t xml:space="preserve">Typed, directed edges (USES_DEVICE, OPERATES, HOSTS, GENERATED_EVENT, INDICATES, CO_LOCATED_WITH).</w:t>
      </w:r>
    </w:p>
    <w:p>
      <w:pPr>
        <w:pStyle w:val="Heading3"/>
        <w:spacing w:after="90" w:before="200"/>
      </w:pPr>
      <w:r>
        <w:t xml:space="preserve">3. Automated Entity Resolution (Resolving Disparate Indicators)</w:t>
      </w:r>
    </w:p>
    <w:p>
      <w:pPr>
        <w:spacing w:after="160"/>
      </w:pPr>
      <w:r>
        <w:t xml:space="preserve">Instead of relying on synthetic ID assignments, the graph resolves identities using: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Infrastructure Joining: </w:t>
      </w:r>
      <w:r>
        <w:t xml:space="preserve">Merging distinct actors if they share an IP within the same /24 CIDR block or identical BGP Autonomous System Numbers (ASNs).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Co-Location Algorithms: </w:t>
      </w:r>
      <w:r>
        <w:t xml:space="preserve">Calculating spatial-temporal overlap between two devices consistently switching cell towers within 15 minutes without placing direct calls to each other.</w:t>
      </w:r>
    </w:p>
    <w:p>
      <w:pPr>
        <w:pStyle w:val="Heading1"/>
        <w:spacing w:after="150" w:before="300"/>
      </w:pPr>
      <w:r>
        <w:t xml:space="preserve">Layer 6: Composite Risk Scoring &amp; Temporal Actor Tracking</w:t>
      </w:r>
    </w:p>
    <w:p>
      <w:pPr>
        <w:pStyle w:val="Heading3"/>
        <w:spacing w:after="90" w:before="200"/>
      </w:pPr>
      <w:r>
        <w:t xml:space="preserve">1. Fused Cross-Domain Risk Formula</w:t>
      </w:r>
    </w:p>
    <w:p>
      <w:pPr>
        <w:spacing w:after="160"/>
      </w:pPr>
      <w:r>
        <w:t xml:space="preserve">To elevate multi-domain operations over isolated alerts, the engine applies weighted multi-source scoring with a cross-domain convergence booster:</w:t>
      </w:r>
    </w:p>
    <w:p>
      <w:pPr>
        <w:spacing w:after="160"/>
      </w:pPr>
      <w:r>
        <w:rPr>
          <w:i/>
          <w:iCs/>
        </w:rPr>
        <w:t xml:space="preserve">Composite Risk(A) = Σₘ wₘ · Rₘ(A) + γ · ℙ(|M_A| ≥ 3)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Calibrated Weights:</w:t>
      </w:r>
    </w:p>
    <w:p>
      <w:pPr>
        <w:pStyle w:val="ListParagraph"/>
        <w:numPr>
          <w:ilvl w:val="1"/>
          <w:numId w:val="1"/>
        </w:numPr>
        <w:spacing w:after="90"/>
      </w:pPr>
      <w:r>
        <w:t xml:space="preserve">Cyber NetFlow Telemetry (w = 0.35)</w:t>
      </w:r>
    </w:p>
    <w:p>
      <w:pPr>
        <w:pStyle w:val="ListParagraph"/>
        <w:numPr>
          <w:ilvl w:val="1"/>
          <w:numId w:val="1"/>
        </w:numPr>
        <w:spacing w:after="90"/>
      </w:pPr>
      <w:r>
        <w:t xml:space="preserve">Malicious URLs / Staging Infrastructure (w = 0.25)</w:t>
      </w:r>
    </w:p>
    <w:p>
      <w:pPr>
        <w:pStyle w:val="ListParagraph"/>
        <w:numPr>
          <w:ilvl w:val="1"/>
          <w:numId w:val="1"/>
        </w:numPr>
        <w:spacing w:after="90"/>
      </w:pPr>
      <w:r>
        <w:t xml:space="preserve">MITRE CTI Technique Attribution (w = 0.20)</w:t>
      </w:r>
    </w:p>
    <w:p>
      <w:pPr>
        <w:pStyle w:val="ListParagraph"/>
        <w:numPr>
          <w:ilvl w:val="1"/>
          <w:numId w:val="1"/>
        </w:numPr>
        <w:spacing w:after="90"/>
      </w:pPr>
      <w:r>
        <w:t xml:space="preserve">Telecom Mobility / Burner Phone Anomalies (w = 0.20)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Multi-Source Booster (γ = 0.35): </w:t>
      </w:r>
      <w:r>
        <w:t xml:space="preserve">Applied as an operational penalty when three or more distinct domains independently flag the target.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Matters: </w:t>
      </w:r>
      <w:r>
        <w:t xml:space="preserve">An actor with four moderate alerts (0.65 × 4) receives a higher investigation priority than an entity with a single high-volume network alert (0.95), directly addressing weak-signal invisibility.</w:t>
      </w:r>
    </w:p>
    <w:p>
      <w:pPr>
        <w:pStyle w:val="Heading3"/>
        <w:spacing w:after="90" w:before="200"/>
      </w:pPr>
      <w:r>
        <w:t xml:space="preserve">2. Temporal Actor Tracking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Centrality Drift: </w:t>
      </w:r>
      <w:r>
        <w:t xml:space="preserve">Measures Betweenness Centrality over discrete time windows (T₁, T₂, T₃). An actor transitioning from a low-degree peripheral node to a high-betweenness connector signals operational coordination.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Timeline Extraction: </w:t>
      </w:r>
      <w:r>
        <w:t xml:space="preserve">Sequences indicators chronologically to identify attack lifecycles (Reconnaissance → Infrastructure Staging → Operational Activation).</w:t>
      </w:r>
    </w:p>
    <w:p>
      <w:pPr>
        <w:pStyle w:val="Heading1"/>
        <w:spacing w:after="150" w:before="300"/>
      </w:pPr>
      <w:r>
        <w:t xml:space="preserve">Layer 7: Controlled Retrieval Layer (Read-Only MCP Server)</w:t>
      </w:r>
    </w:p>
    <w:p>
      <w:pPr>
        <w:spacing w:after="160"/>
      </w:pPr>
      <w:r>
        <w:t xml:space="preserve">Generative LLMs hallucinate when fed raw, unformatted logs. The platform uses a Read-Only Model Context Protocol (MCP) Tool Server that provides the language model with deterministic, structured endpoints: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b/>
          <w:bCs/>
        </w:rPr>
        <w:t xml:space="preserve">get_actor_linkage_graph(actor_id: str) -&gt; dict: </w:t>
      </w:r>
      <w:r>
        <w:t xml:space="preserve">Retrieves the 1-hop and 2-hop graph topology, returning all linked IPs, domains, devices, and cell towers.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b/>
          <w:bCs/>
        </w:rPr>
        <w:t xml:space="preserve">get_infrastructure_timeline(actor_id: str) -&gt; dict: </w:t>
      </w:r>
      <w:r>
        <w:t xml:space="preserve">Returns a time-indexed sequence of all cyber reconnaissance and domain activities tied to the actor.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b/>
          <w:bCs/>
        </w:rPr>
        <w:t xml:space="preserve">get_telecom_co_location(actor_id: str) -&gt; dict: </w:t>
      </w:r>
      <w:r>
        <w:t xml:space="preserve">Queries cellular metadata for IMEI churn frequency, cell tower transitions, and co-traveling devices.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b/>
          <w:bCs/>
        </w:rPr>
        <w:t xml:space="preserve">get_threat_actor_attribution(actor_id: str) -&gt; dict: </w:t>
      </w:r>
      <w:r>
        <w:t xml:space="preserve">Queries the STIX knowledge graph to return confirmed APT group signatures and MITRE techniques.</w:t>
      </w:r>
    </w:p>
    <w:p>
      <w:pPr>
        <w:pStyle w:val="Heading1"/>
        <w:spacing w:after="150" w:before="300"/>
      </w:pPr>
      <w:r>
        <w:t xml:space="preserve">Layer 8: Evidence-Grounded Dossier Synthesis (Local LLM)</w:t>
      </w:r>
    </w:p>
    <w:p>
      <w:pPr>
        <w:pStyle w:val="Heading3"/>
        <w:spacing w:after="90" w:before="200"/>
      </w:pPr>
      <w:r>
        <w:t xml:space="preserve">1. Reasoning Engine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Model: </w:t>
      </w:r>
      <w:r>
        <w:t xml:space="preserve">Qwen2.5-0.5B-Instruct (Local Colab Inference) / Qwen2.5-7B (Production).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Why This Model: </w:t>
      </w:r>
      <w:r>
        <w:t xml:space="preserve">Operates entirely on sovereign, local compute infrastructure without leaking sensitive national security data to external third-party cloud APIs. It supports ChatML prompt formats and follows strict tool-grounded instructions.</w:t>
      </w:r>
    </w:p>
    <w:p>
      <w:pPr>
        <w:pStyle w:val="Heading3"/>
        <w:spacing w:after="90" w:before="200"/>
      </w:pPr>
      <w:r>
        <w:t xml:space="preserve">2. Prompt Architecture</w:t>
      </w:r>
    </w:p>
    <w:p>
      <w:pPr>
        <w:spacing w:after="160"/>
      </w:pPr>
      <w:r>
        <w:t xml:space="preserve">The model is constrained to analyze only the verified JSON context provided by the MCP tools: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&lt;|im_start|&gt;system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You are a senior counter-terrorism cyber intelligence officer. Synthesize the provided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multi-modal MCP intelligence telemetry into a structured, evidence-grounded threat dossier.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Structure your response into 4 distinct sections: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EXECUTIVE THREAT ASSESSMENT: Overall severity, attribution likelihood, and cross-domain convergence.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MULTI-DOMAIN SIGNAL SYNTHESIS: Concise breakdown across NetFlow, Phishing URLs, Telecom CDRs, and MITRE TTPs.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GRAPH TOPOLOGY &amp; CONNECTIONS: Centrality analysis and multi-modal clustering.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ACTIONABLE CONTAINMENT DIRECTIVES: 3 targeted, concrete law-enforcement/cyber defense containment steps.</w:t>
      </w:r>
    </w:p>
    <w:p>
      <w:pPr>
        <w:spacing w:after="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 not invent indicators. Rely only on the provided MCP context.&lt;|im_end|&gt;</w:t>
      </w:r>
    </w:p>
    <w:p>
      <w:pPr>
        <w:pStyle w:val="Heading3"/>
        <w:spacing w:after="90" w:before="200"/>
      </w:pPr>
      <w:r>
        <w:t xml:space="preserve">3. Output Generated (Forensic Threat Dossier)</w:t>
      </w:r>
    </w:p>
    <w:p>
      <w:pPr>
        <w:spacing w:after="160"/>
      </w:pPr>
      <w:r>
        <w:t xml:space="preserve">The analyst receives a synthesized, evidence-backed dossier: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Executive Threat Assessment: </w:t>
      </w:r>
      <w:r>
        <w:t xml:space="preserve">Evaluates attack severity, attribution confidence, and cross-domain coordination.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Multi-Domain Signal Breakdown: </w:t>
      </w:r>
      <w:r>
        <w:t xml:space="preserve">Formulates specific evidence linking cyber reconnaissance, staging infrastructure, and cellular mobility.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Graph Topology &amp; Role Assessment: </w:t>
      </w:r>
      <w:r>
        <w:t xml:space="preserve">Classifies the target's operational role (e.g., coordinator, courier, infrastructure administrator) based on network centrality.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Targeted Containment Directives: </w:t>
      </w:r>
      <w:r>
        <w:t xml:space="preserve">Recommends concrete actions (e.g., domain sinkholing, PCAP captures, cellular tower surveillance).</w:t>
      </w:r>
    </w:p>
    <w:p>
      <w:pPr>
        <w:pStyle w:val="Heading1"/>
        <w:spacing w:after="150" w:before="300"/>
      </w:pPr>
      <w:r>
        <w:t xml:space="preserve">Pipeline Component &amp; Operational Mapping Reference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2000"/>
        <w:gridCol w:w="1800"/>
      </w:tblGrid>
      <w:tr>
        <w:trPr>
          <w:tblHeader/>
        </w:trP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Pipeline Stage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 Technology / Standard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 Payload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Processing Function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Final Layer Output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UNSW-NB15, Phishing URLs, Telecom CDRs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 network PCAP flows, raw URLs, cellular switch logs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Stratified sampling, feature tensor parsing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Normalized feature matrices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Models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XGBoost, Char N-Gram LR, Isolation Forest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Tabular flow vectors, text character strings, spatial logs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Specialized probabilistic inference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Calibrated domain risk scores (P ∈ [0, 1])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Normalization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Unified JSON Schema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risk probabilities + raw telemetry metadata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standardization and entity key assignment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 Event Schema JSON payloads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Vector Engine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 + FAISS / ChromaDB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Unstructured threat reports, TTP technique texts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1024-d dense embedding generation &amp; k-NN indexing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Semantic cosine distance scores to APT profiles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 Assembly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NetworkX (Local) / Neo4j AuraDB (Prod)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Normalized JSON events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Multi-hop directed edge generation &amp; entity resolution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Connected knowledge graph topology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 Scoring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Corroboration-Boosted Mathematical Engine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 degrees, domain scores, distinct source counts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Multi-source weighted convergence calculation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Prioritized Target Triage Queue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Interface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Context Protocol (MCP)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Parameterized tool queries (actor_id)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 neighborhood querying &amp; JSON packaging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Bounded factual JSON payloads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Synthesis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Qwen2.5-0.5B-Instruct (Local Engine)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Factual MCP JSON payloads + System Prompt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Constrained reasoning &amp; evidentiary synthesis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Grounded, Actionable Intelligence Dossier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2473c22edba52c7171c7f49ae434ce0f07b72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2026-09-06T18:06:37.149Z</dcterms:created>
  <dcterms:modified xsi:type="dcterms:W3CDTF">2026-09-06T18:06:37.161Z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