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pm1qpwh2dsm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Multi-Modal Counter-Terrorism Intelligence System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An automated system designed to identify covert threat cells by fusing cyber, digital communication, and financial indicators into a grounded investigation dossier.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nbkdz346t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 Overview &amp; Problem Statement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Siloed Detection:</w:t>
      </w:r>
      <w:r w:rsidDel="00000000" w:rsidR="00000000" w:rsidRPr="00000000">
        <w:rPr>
          <w:rtl w:val="0"/>
        </w:rPr>
        <w:t xml:space="preserve"> Conventional security operations analyze network telemetry, malicious URLs, and financial transaction streams in isolated monitoring consoles.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 Signal Invisibility:</w:t>
      </w:r>
      <w:r w:rsidDel="00000000" w:rsidR="00000000" w:rsidRPr="00000000">
        <w:rPr>
          <w:rtl w:val="0"/>
        </w:rPr>
        <w:t xml:space="preserve"> Sophisticated threat actors intentionally distribute low-signature actions across domains (e.g., an ordinary port scan, a URL delivery link, and an un-flagged monetary transfer) that appear benign when viewed separately.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 Fatigue &amp; Hallucination Risk:</w:t>
      </w:r>
      <w:r w:rsidDel="00000000" w:rsidR="00000000" w:rsidRPr="00000000">
        <w:rPr>
          <w:rtl w:val="0"/>
        </w:rPr>
        <w:t xml:space="preserve"> Manually pivoting between platforms causes significant latency. Furthermore, passing unstructured, raw event streams directly to language models leads to context window saturation, token truncation, and hallucinated findings.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Objective:</w:t>
      </w:r>
      <w:r w:rsidDel="00000000" w:rsidR="00000000" w:rsidRPr="00000000">
        <w:rPr>
          <w:rtl w:val="0"/>
        </w:rPr>
        <w:t xml:space="preserve"> Build a fused architecture that ingests heterogeneous data streams, runs specialized domain models, normalizes event structures, builds an entity-relationship knowledge graph, and exposes evidence to an instruction-tuned LLM through a read-only Model Context Protocol (MCP) server.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myq7c1ow5si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Multi-Dataset Ingestion Workflow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                       MULTI-DATASET INGESTION                        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├─────────────────────┬───────────────────────────────┬─────────────────────┤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1. UNSW-NB15 NetFlow│ 2. Phishing URL Corpus        │ 3. ULB Credit Card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└──────────┬──────────┘───────────────┬───────────────┴──────────┬──────────┘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│                          │                    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▼                          ▼                          ▼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[ Model A: XGBoost ]       [ Model B: TF-IDF + LR ]    [ Model C: XGBoost 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│                          │                    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└──────────────────────────┼──────────────────────────┘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┌──────────────────────────────┐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│   COMMON EVENT NORMALIZER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└──────────────┬───────────────┘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 ┌──────────────────────────────┐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│  ENTITY KNOWLEDGE GRAPH (NX)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  └──────────────┬───────────────┘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┌──────────────────────────────┐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│   READ-ONLY MCP TOOL SERVER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└──────────────┬───────────────┘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┌──────────────────────────────┐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│  LOCAL LLM INVESTIGATION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└──────────────┬───────────────┘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┌──────────────────────────────┐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│ FINAL EVIDENCE DOSSIER / SOC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└──────────────────────────────┘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gjakl8aqs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Pipeline Technology &amp; Model Architecture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.4172989377844"/>
        <w:gridCol w:w="1675.9939301972686"/>
        <w:gridCol w:w="1732.8072837632776"/>
        <w:gridCol w:w="1562.3672230652503"/>
        <w:gridCol w:w="2613.414264036419"/>
        <w:tblGridChange w:id="0">
          <w:tblGrid>
            <w:gridCol w:w="1775.4172989377844"/>
            <w:gridCol w:w="1675.9939301972686"/>
            <w:gridCol w:w="1732.8072837632776"/>
            <w:gridCol w:w="1562.3672230652503"/>
            <w:gridCol w:w="2613.414264036419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 / Modality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 /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Features &amp; Embeddings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 &amp; Topology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Model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Cyber Telemetry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UNSW-NB15</w:t>
            </w:r>
            <w:r w:rsidDel="00000000" w:rsidR="00000000" w:rsidRPr="00000000">
              <w:rPr>
                <w:rtl w:val="0"/>
              </w:rPr>
              <w:t xml:space="preserve"> (49 features, 9 attack classes)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Numerical flow metrics / GraphSAGE topological vectors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NetworkX (Local) / Neo4j (Enterprise)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XGBoost Classifier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max_depth=6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eval_metric="logloss"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Comms / URLs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Phishing URL Dataset</w:t>
            </w:r>
            <w:r w:rsidDel="00000000" w:rsidR="00000000" w:rsidRPr="00000000">
              <w:rPr>
                <w:rtl w:val="0"/>
              </w:rPr>
              <w:t xml:space="preserve"> (Kaggle / Pirocheto corpus)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Character N-Gram (3–5) TF-IDF vectors / BAAI/bge-m3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FAISS (In-Memory) / ChromaDB / Neo4j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Balanced Logistic Regression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Financial / Fraud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ULB Credit Card Fraud</w:t>
            </w:r>
            <w:r w:rsidDel="00000000" w:rsidR="00000000" w:rsidRPr="00000000">
              <w:rPr>
                <w:rtl w:val="0"/>
              </w:rPr>
              <w:t xml:space="preserve"> (284,807 transaction records)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Standardized tabular features / Node2Vec embeddings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Neo4j Property Graph / Qdrant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Cost-Sensitive XGBoost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scale_pos_weight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 Extraction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Unstructured CTI &amp; Threat Reports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BAAI/bge-large-en-v1.5 / all-mpnet-base-v2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Neo4j Vector Store / Milvus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DeBERTa-v3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Qwen2.5-1.5B-Instruct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Investigation Co-Pilot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Extracted multi-modal subgraphs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Topological event context via MCP JSON schema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Read-Only MCP Tool Server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Qwen2.5-0.5B-Instruct</w:t>
            </w:r>
            <w:r w:rsidDel="00000000" w:rsidR="00000000" w:rsidRPr="00000000">
              <w:rPr>
                <w:rtl w:val="0"/>
              </w:rPr>
              <w:t xml:space="preserve"> (Colab)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Qwen2.5-7B</w:t>
            </w:r>
            <w:r w:rsidDel="00000000" w:rsidR="00000000" w:rsidRPr="00000000">
              <w:rPr>
                <w:rtl w:val="0"/>
              </w:rPr>
              <w:t xml:space="preserve"> (Prod)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1p1drnd1e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Step-by-Step System Workflow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Multi-Domain Data Ingestion:</w:t>
      </w:r>
      <w:r w:rsidDel="00000000" w:rsidR="00000000" w:rsidRPr="00000000">
        <w:rPr>
          <w:rtl w:val="0"/>
        </w:rPr>
        <w:t xml:space="preserve"> Download benchmark feeds across network flows, suspicious URLs, and financial transactions, generating stratified train/test partitions.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Domain-Specific Model Inference:</w:t>
      </w:r>
      <w:r w:rsidDel="00000000" w:rsidR="00000000" w:rsidRPr="00000000">
        <w:rPr>
          <w:rtl w:val="0"/>
        </w:rPr>
        <w:t xml:space="preserve"> Execute independent classifiers optimized for tabular distribution, character n-gram lexical patterns, and severe class imbalance.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Event Normalization:</w:t>
      </w:r>
      <w:r w:rsidDel="00000000" w:rsidR="00000000" w:rsidRPr="00000000">
        <w:rPr>
          <w:rtl w:val="0"/>
        </w:rPr>
        <w:t xml:space="preserve"> Map discrete model predictions into a common JSON payload: </w:t>
      </w:r>
      <w:r w:rsidDel="00000000" w:rsidR="00000000" w:rsidRPr="00000000">
        <w:rPr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event_type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entity_id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risk_score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188038"/>
          <w:rtl w:val="0"/>
        </w:rPr>
        <w:t xml:space="preserve">source_engine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Weighted Multi-Modal Risk Scoring:</w:t>
      </w:r>
      <w:r w:rsidDel="00000000" w:rsidR="00000000" w:rsidRPr="00000000">
        <w:rPr>
          <w:rtl w:val="0"/>
        </w:rPr>
        <w:t xml:space="preserve"> Compute composite risk prioritizing cross-domain convergence:</w:t>
        <w:br w:type="textWrapping"/>
        <w:t xml:space="preserve">$$\text{Composite Risk} = (\text{NetFlow} \times 0.40) + (\text{Financial} \times 0.35) + (\text{URL} \times 0.25)$$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5: Knowledge Graph Construction:</w:t>
      </w:r>
      <w:r w:rsidDel="00000000" w:rsidR="00000000" w:rsidRPr="00000000">
        <w:rPr>
          <w:rtl w:val="0"/>
        </w:rPr>
        <w:t xml:space="preserve"> Ingest normalized records into a directed graph structure, binding entities to events with </w:t>
      </w:r>
      <w:r w:rsidDel="00000000" w:rsidR="00000000" w:rsidRPr="00000000">
        <w:rPr>
          <w:color w:val="188038"/>
          <w:rtl w:val="0"/>
        </w:rPr>
        <w:t xml:space="preserve">GENERATED_EVENT</w:t>
      </w:r>
      <w:r w:rsidDel="00000000" w:rsidR="00000000" w:rsidRPr="00000000">
        <w:rPr>
          <w:rtl w:val="0"/>
        </w:rPr>
        <w:t xml:space="preserve"> edges and computing shared entity relationships.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6: Controlled MCP Tool Abstraction:</w:t>
      </w:r>
      <w:r w:rsidDel="00000000" w:rsidR="00000000" w:rsidRPr="00000000">
        <w:rPr>
          <w:rtl w:val="0"/>
        </w:rPr>
        <w:t xml:space="preserve"> Provide read-only diagnostic tools (</w:t>
      </w:r>
      <w:r w:rsidDel="00000000" w:rsidR="00000000" w:rsidRPr="00000000">
        <w:rPr>
          <w:color w:val="188038"/>
          <w:rtl w:val="0"/>
        </w:rPr>
        <w:t xml:space="preserve">get_entity_modality_summary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get_entity_graph_topology</w:t>
      </w:r>
      <w:r w:rsidDel="00000000" w:rsidR="00000000" w:rsidRPr="00000000">
        <w:rPr>
          <w:rtl w:val="0"/>
        </w:rPr>
        <w:t xml:space="preserve">) to supply bounded context without unconstrained database queries.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7: LLM Grounded Dossier Synthesis:</w:t>
      </w:r>
      <w:r w:rsidDel="00000000" w:rsidR="00000000" w:rsidRPr="00000000">
        <w:rPr>
          <w:rtl w:val="0"/>
        </w:rPr>
        <w:t xml:space="preserve"> The reasoning LLM processes verified MCP outputs via ChatML templating to compile an incident assessment detailing attribution, signal breakdowns, and forensic next steps.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g506ndwib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a2gernocw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3px2w7riq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mrc2mqp81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f91dq0azb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bllm4w90x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Planned Dataset &amp; Telemetry Expansions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                     FUTURE DATASET EXPANSIONS                          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├──────────────────────────┬─────────────────────────┬───────────────────────┤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1. CTI &amp; STIX/TAXII      │ 2. Blockchain / Crypto  │ 3. Telecom CDR Feeds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 (MITRE ATT&amp;CK / OSINT)│    (Elliptic Bitcoin)   │    (Call Detail Logs)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├──────────────────────────┼─────────────────────────┼───────────────────────┤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• Maps TTPs &amp; actor      │ • Traces crypto-funded  │ • Maps covert comms &amp; 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campaign infrastructure│   weapons &amp; safehouses  │   burner phone rings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└──────────────────────────┴─────────────────────────┴───────────────────────┘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STIX 2.1 Threat Feeds &amp; MITRE ATT&amp;CK Reports:</w:t>
      </w:r>
      <w:r w:rsidDel="00000000" w:rsidR="00000000" w:rsidRPr="00000000">
        <w:rPr>
          <w:rtl w:val="0"/>
        </w:rPr>
        <w:t xml:space="preserve"> Map alerts directly to known Advanced Persistent Threat (APT) groups, threat tactics, and intrusion sets.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Elliptic Bitcoin &amp; Crypto Transaction Graphs:</w:t>
      </w:r>
      <w:r w:rsidDel="00000000" w:rsidR="00000000" w:rsidRPr="00000000">
        <w:rPr>
          <w:rtl w:val="0"/>
        </w:rPr>
        <w:t xml:space="preserve"> Uncover illicit funding conduits, un-hosted wallets, and transaction mixer patterns used for operational logistics.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Telecommunications CDRs &amp; SMS Metadata:</w:t>
      </w:r>
      <w:r w:rsidDel="00000000" w:rsidR="00000000" w:rsidRPr="00000000">
        <w:rPr>
          <w:rtl w:val="0"/>
        </w:rPr>
        <w:t xml:space="preserve"> Trace burner phone networks and isolate cross-border communication spikes.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Host-Level Enterprise Telemetry (Sysmon, Zeek, eBPF):</w:t>
      </w:r>
      <w:r w:rsidDel="00000000" w:rsidR="00000000" w:rsidRPr="00000000">
        <w:rPr>
          <w:rtl w:val="0"/>
        </w:rPr>
        <w:t xml:space="preserve"> Correlate network alerts with process execution trees and command-line execution traces.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vl6xsbog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Business Value &amp; Strategic Differentiation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Multi-Modal Threat Attribution:</w:t>
      </w:r>
      <w:r w:rsidDel="00000000" w:rsidR="00000000" w:rsidRPr="00000000">
        <w:rPr>
          <w:rtl w:val="0"/>
        </w:rPr>
        <w:t xml:space="preserve"> Eliminates operational silos by uniting network telemetry, URL clicks, and financial funding trails into an auditable evidence chain.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Reduction of Alert Fatigue:</w:t>
      </w:r>
      <w:r w:rsidDel="00000000" w:rsidR="00000000" w:rsidRPr="00000000">
        <w:rPr>
          <w:rtl w:val="0"/>
        </w:rPr>
        <w:t xml:space="preserve"> Correlates thousands of disconnected alerts into single connected entity graphs, cutting Mean Time to Respond (MTTR).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Defensible, Explainable AI:</w:t>
      </w:r>
      <w:r w:rsidDel="00000000" w:rsidR="00000000" w:rsidRPr="00000000">
        <w:rPr>
          <w:rtl w:val="0"/>
        </w:rPr>
        <w:t xml:space="preserve"> Grounds all AI assessments in verifiable graph paths, providing the chain of custody required for lawful interventions.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NDR Differentiation:</w:t>
      </w:r>
      <w:r w:rsidDel="00000000" w:rsidR="00000000" w:rsidRPr="00000000">
        <w:rPr>
          <w:rtl w:val="0"/>
        </w:rPr>
        <w:t xml:space="preserve"> Advances beyond conventional anomaly sensors (e.g., Darktrace, ExtraHop) by incorporating a fused graph-agent fabric designed for complex intelligence missions.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sqoedxgi3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Production Roadmap &amp; Engineering Execution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1: Interactive Analyst Triage UI:</w:t>
      </w:r>
      <w:r w:rsidDel="00000000" w:rsidR="00000000" w:rsidRPr="00000000">
        <w:rPr>
          <w:rtl w:val="0"/>
        </w:rPr>
        <w:t xml:space="preserve"> Provide an analyst interface allowing real-time entity selection, visual subgraph exploration, and one-click dossier generation.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2: Persistent Graph Migration (Neo4j):</w:t>
      </w:r>
      <w:r w:rsidDel="00000000" w:rsidR="00000000" w:rsidRPr="00000000">
        <w:rPr>
          <w:rtl w:val="0"/>
        </w:rPr>
        <w:t xml:space="preserve"> Replace transient in-memory graphs with production Neo4j property stores, replacing dictionary traversals with multi-hop Cypher queries: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Cypher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MERGE (e:Entity {id: $entity_id})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MERGE (ev:Event {id: $event_id, type: $event_type, risk_score: $risk_score, source: $source})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MERGE (e)-[:GENERATED_EVENT]-&gt;(ev);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3: Identity &amp; Entity Resolution Engine:</w:t>
      </w:r>
      <w:r w:rsidDel="00000000" w:rsidR="00000000" w:rsidRPr="00000000">
        <w:rPr>
          <w:rtl w:val="0"/>
        </w:rPr>
        <w:t xml:space="preserve"> Upgrade from deterministic modulo groupings to semantic resolution using shared subnets, registrant metadata, and embedding-based alias matching (</w:t>
      </w:r>
      <w:r w:rsidDel="00000000" w:rsidR="00000000" w:rsidRPr="00000000">
        <w:rPr>
          <w:color w:val="188038"/>
          <w:rtl w:val="0"/>
        </w:rPr>
        <w:t xml:space="preserve">BAAI/bge-m3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4: Graph Data Science &amp; Anomaly Detection:</w:t>
      </w:r>
      <w:r w:rsidDel="00000000" w:rsidR="00000000" w:rsidRPr="00000000">
        <w:rPr>
          <w:rtl w:val="0"/>
        </w:rPr>
        <w:t xml:space="preserve"> Implement Louvain/Leiden community detection and Betweenness Centrality to surface hidden bridge nodes across communication and financial infrastructures.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5: Production Web Console:</w:t>
      </w:r>
      <w:r w:rsidDel="00000000" w:rsidR="00000000" w:rsidRPr="00000000">
        <w:rPr>
          <w:rtl w:val="0"/>
        </w:rPr>
        <w:t xml:space="preserve"> Package the pipeline into a persistent web console (via FastAPI and modern front-ends) with interactive visual subgraphs, real-time threat streaming, and human-in-the-loop analyst feedback logging.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