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rPr>
          <w:rFonts w:ascii="华文楷体" w:hAnsi="华文楷体" w:eastAsia="华文楷体"/>
          <w:b/>
          <w:snapToGrid w:val="0"/>
          <w:kern w:val="0"/>
          <w:sz w:val="24"/>
        </w:rPr>
      </w:pPr>
      <w:r>
        <w:rPr>
          <w:rFonts w:hint="eastAsia" w:ascii="华文楷体" w:hAnsi="华文楷体" w:eastAsia="华文楷体"/>
          <w:b/>
          <w:snapToGrid w:val="0"/>
          <w:kern w:val="0"/>
          <w:sz w:val="24"/>
        </w:rPr>
        <w:t>中信登产品编码：ZXD31C201903100036722</w:t>
      </w:r>
    </w:p>
    <w:p>
      <w:pPr>
        <w:spacing w:line="360" w:lineRule="auto"/>
        <w:jc w:val="left"/>
        <w:rPr>
          <w:rFonts w:ascii="华文楷体" w:hAnsi="华文楷体" w:eastAsia="华文楷体"/>
          <w:b/>
          <w:snapToGrid w:val="0"/>
          <w:kern w:val="0"/>
          <w:sz w:val="24"/>
        </w:rPr>
      </w:pPr>
      <w:r>
        <w:rPr>
          <w:rFonts w:hint="eastAsia" w:ascii="华文楷体" w:hAnsi="华文楷体" w:eastAsia="华文楷体"/>
          <w:b/>
          <w:snapToGrid w:val="0"/>
          <w:kern w:val="0"/>
          <w:sz w:val="24"/>
        </w:rPr>
        <w:t>合同编号：长单恒字2019002号19661002-1</w:t>
      </w: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b/>
          <w:bCs/>
          <w:kern w:val="0"/>
          <w:szCs w:val="23"/>
        </w:rPr>
      </w:pPr>
    </w:p>
    <w:p>
      <w:pPr>
        <w:adjustRightInd w:val="0"/>
        <w:snapToGrid w:val="0"/>
        <w:spacing w:line="360" w:lineRule="auto"/>
        <w:jc w:val="center"/>
        <w:rPr>
          <w:rFonts w:ascii="华文楷体" w:hAnsi="华文楷体" w:eastAsia="华文楷体" w:cs="华文中宋"/>
          <w:b/>
          <w:bCs/>
          <w:sz w:val="52"/>
          <w:szCs w:val="52"/>
        </w:rPr>
      </w:pPr>
      <w:bookmarkStart w:id="0" w:name="_Ref326242683"/>
      <w:bookmarkEnd w:id="0"/>
    </w:p>
    <w:p>
      <w:pPr>
        <w:adjustRightInd w:val="0"/>
        <w:snapToGrid w:val="0"/>
        <w:spacing w:line="360" w:lineRule="auto"/>
        <w:jc w:val="center"/>
        <w:rPr>
          <w:rFonts w:ascii="华文楷体" w:hAnsi="华文楷体" w:eastAsia="华文楷体" w:cs="华文中宋"/>
          <w:b/>
          <w:bCs/>
          <w:sz w:val="52"/>
          <w:szCs w:val="52"/>
        </w:rPr>
      </w:pPr>
    </w:p>
    <w:p>
      <w:pPr>
        <w:adjustRightInd w:val="0"/>
        <w:snapToGrid w:val="0"/>
        <w:spacing w:line="360" w:lineRule="auto"/>
        <w:jc w:val="center"/>
        <w:rPr>
          <w:rFonts w:ascii="华文楷体" w:hAnsi="华文楷体" w:eastAsia="华文楷体" w:cs="华文中宋"/>
          <w:b/>
          <w:bCs/>
          <w:sz w:val="52"/>
          <w:szCs w:val="52"/>
        </w:rPr>
      </w:pPr>
    </w:p>
    <w:p>
      <w:pPr>
        <w:pStyle w:val="21"/>
        <w:adjustRightInd w:val="0"/>
        <w:snapToGrid w:val="0"/>
        <w:spacing w:before="0" w:after="0" w:line="360" w:lineRule="auto"/>
        <w:outlineLvl w:val="9"/>
        <w:rPr>
          <w:rStyle w:val="26"/>
          <w:rFonts w:ascii="华文楷体" w:hAnsi="华文楷体" w:eastAsia="华文楷体" w:cs="宋体"/>
          <w:b/>
          <w:bCs w:val="0"/>
          <w:sz w:val="44"/>
          <w:szCs w:val="44"/>
        </w:rPr>
      </w:pPr>
      <w:bookmarkStart w:id="1" w:name="_Toc484692921"/>
      <w:r>
        <w:rPr>
          <w:rStyle w:val="26"/>
          <w:rFonts w:hint="eastAsia" w:ascii="华文楷体" w:hAnsi="华文楷体" w:eastAsia="华文楷体" w:cs="宋体"/>
          <w:b/>
          <w:bCs w:val="0"/>
          <w:sz w:val="44"/>
          <w:szCs w:val="44"/>
        </w:rPr>
        <w:t>长安信托</w:t>
      </w:r>
      <w:r>
        <w:rPr>
          <w:rStyle w:val="26"/>
          <w:rFonts w:ascii="华文楷体" w:hAnsi="华文楷体" w:eastAsia="华文楷体" w:cs="MS Mincho"/>
          <w:b/>
          <w:bCs w:val="0"/>
          <w:sz w:val="44"/>
          <w:szCs w:val="44"/>
        </w:rPr>
        <w:t>▪</w:t>
      </w:r>
      <w:bookmarkStart w:id="2" w:name="_Toc481149797"/>
      <w:bookmarkStart w:id="3" w:name="_Toc473107694"/>
      <w:bookmarkStart w:id="4" w:name="_Toc446017048"/>
      <w:bookmarkStart w:id="5" w:name="_Toc457303105"/>
      <w:bookmarkStart w:id="6" w:name="_Toc5622"/>
      <w:bookmarkStart w:id="7" w:name="_Toc455345423"/>
      <w:r>
        <w:rPr>
          <w:rStyle w:val="26"/>
          <w:rFonts w:hint="eastAsia" w:ascii="华文楷体" w:hAnsi="华文楷体" w:eastAsia="华文楷体" w:cs="宋体"/>
          <w:b/>
          <w:bCs w:val="0"/>
          <w:sz w:val="44"/>
          <w:szCs w:val="44"/>
        </w:rPr>
        <w:t>恒字</w:t>
      </w:r>
    </w:p>
    <w:bookmarkEnd w:id="1"/>
    <w:bookmarkEnd w:id="2"/>
    <w:bookmarkEnd w:id="3"/>
    <w:bookmarkEnd w:id="4"/>
    <w:bookmarkEnd w:id="5"/>
    <w:bookmarkEnd w:id="6"/>
    <w:bookmarkEnd w:id="7"/>
    <w:p>
      <w:pPr>
        <w:pStyle w:val="21"/>
        <w:adjustRightInd w:val="0"/>
        <w:snapToGrid w:val="0"/>
        <w:spacing w:before="0" w:after="0" w:line="360" w:lineRule="auto"/>
        <w:outlineLvl w:val="9"/>
        <w:rPr>
          <w:rStyle w:val="26"/>
          <w:rFonts w:ascii="华文楷体" w:hAnsi="华文楷体" w:eastAsia="华文楷体"/>
          <w:b/>
          <w:bCs w:val="0"/>
          <w:sz w:val="44"/>
          <w:szCs w:val="44"/>
        </w:rPr>
      </w:pPr>
      <w:r>
        <w:rPr>
          <w:rStyle w:val="26"/>
          <w:rFonts w:hint="eastAsia" w:ascii="华文楷体" w:hAnsi="华文楷体" w:eastAsia="华文楷体"/>
          <w:b/>
          <w:bCs w:val="0"/>
          <w:sz w:val="44"/>
          <w:szCs w:val="44"/>
        </w:rPr>
        <w:t>2019002号家族信托</w:t>
      </w:r>
    </w:p>
    <w:p>
      <w:pPr>
        <w:spacing w:line="360" w:lineRule="auto"/>
        <w:jc w:val="center"/>
        <w:rPr>
          <w:rFonts w:ascii="华文楷体" w:hAnsi="华文楷体" w:eastAsia="华文楷体"/>
          <w:sz w:val="24"/>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rPr>
      </w:pPr>
    </w:p>
    <w:p>
      <w:pPr>
        <w:spacing w:line="360" w:lineRule="auto"/>
        <w:rPr>
          <w:rFonts w:ascii="华文楷体" w:hAnsi="华文楷体" w:eastAsia="华文楷体"/>
          <w:sz w:val="32"/>
          <w:szCs w:val="32"/>
        </w:rPr>
      </w:pPr>
    </w:p>
    <w:p>
      <w:pPr>
        <w:spacing w:line="360" w:lineRule="auto"/>
        <w:jc w:val="center"/>
        <w:rPr>
          <w:rFonts w:ascii="华文楷体" w:hAnsi="华文楷体" w:eastAsia="华文楷体"/>
          <w:sz w:val="32"/>
          <w:szCs w:val="32"/>
        </w:rPr>
      </w:pPr>
      <w:r>
        <w:rPr>
          <w:rFonts w:hint="eastAsia" w:ascii="华文楷体" w:hAnsi="华文楷体" w:eastAsia="华文楷体"/>
          <w:sz w:val="32"/>
          <w:szCs w:val="32"/>
        </w:rPr>
        <w:t>受托人：长安国际信托股份有限公司</w:t>
      </w: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b/>
          <w:kern w:val="0"/>
          <w:sz w:val="24"/>
        </w:rPr>
        <w:sectPr>
          <w:headerReference r:id="rId3" w:type="default"/>
          <w:footerReference r:id="rId4" w:type="even"/>
          <w:pgSz w:w="11906" w:h="16838"/>
          <w:pgMar w:top="1985" w:right="1418" w:bottom="1701" w:left="1418" w:header="851" w:footer="992" w:gutter="0"/>
          <w:pgNumType w:start="1"/>
          <w:cols w:space="720" w:num="1"/>
          <w:docGrid w:type="lines" w:linePitch="312" w:charSpace="0"/>
        </w:sectPr>
      </w:pPr>
      <w:bookmarkStart w:id="8" w:name="_Toc445917709"/>
      <w:bookmarkStart w:id="9" w:name="_Toc424649299"/>
      <w:bookmarkStart w:id="10" w:name="_Toc424808912"/>
    </w:p>
    <w:p>
      <w:pPr>
        <w:spacing w:line="360" w:lineRule="auto"/>
        <w:rPr>
          <w:rFonts w:ascii="华文楷体" w:hAnsi="华文楷体" w:eastAsia="华文楷体"/>
          <w:b/>
          <w:snapToGrid w:val="0"/>
          <w:kern w:val="0"/>
          <w:sz w:val="24"/>
        </w:rPr>
      </w:pPr>
      <w:bookmarkStart w:id="11" w:name="_Toc455345424"/>
      <w:bookmarkStart w:id="12" w:name="_Toc21060"/>
      <w:bookmarkStart w:id="13" w:name="_Toc473107695"/>
      <w:bookmarkStart w:id="14" w:name="_Toc484692922"/>
      <w:bookmarkStart w:id="15" w:name="_Toc481149798"/>
      <w:bookmarkStart w:id="16" w:name="_Toc457303106"/>
      <w:bookmarkStart w:id="17" w:name="_Toc446017049"/>
      <w:r>
        <w:rPr>
          <w:rFonts w:hint="eastAsia" w:ascii="华文楷体" w:hAnsi="华文楷体" w:eastAsia="华文楷体"/>
          <w:b/>
          <w:snapToGrid w:val="0"/>
          <w:kern w:val="0"/>
          <w:sz w:val="24"/>
        </w:rPr>
        <w:t>中信登产品编码：ZXD31C201903100036722</w:t>
      </w:r>
    </w:p>
    <w:p>
      <w:pPr>
        <w:spacing w:line="360" w:lineRule="auto"/>
        <w:jc w:val="left"/>
        <w:rPr>
          <w:rFonts w:ascii="华文楷体" w:hAnsi="华文楷体" w:eastAsia="华文楷体"/>
          <w:b/>
          <w:snapToGrid w:val="0"/>
          <w:kern w:val="0"/>
          <w:sz w:val="24"/>
        </w:rPr>
      </w:pPr>
      <w:r>
        <w:rPr>
          <w:rFonts w:hint="eastAsia" w:ascii="华文楷体" w:hAnsi="华文楷体" w:eastAsia="华文楷体"/>
          <w:b/>
          <w:snapToGrid w:val="0"/>
          <w:kern w:val="0"/>
          <w:sz w:val="24"/>
        </w:rPr>
        <w:t>合同编号：长单恒字2019002号19661002-1</w:t>
      </w:r>
    </w:p>
    <w:p>
      <w:pPr>
        <w:pStyle w:val="21"/>
        <w:spacing w:before="0" w:after="0" w:line="360" w:lineRule="auto"/>
        <w:outlineLvl w:val="9"/>
        <w:rPr>
          <w:rStyle w:val="26"/>
          <w:rFonts w:ascii="华文楷体" w:hAnsi="华文楷体" w:eastAsia="华文楷体" w:cs="宋体"/>
          <w:b w:val="0"/>
          <w:bCs w:val="0"/>
        </w:rPr>
      </w:pPr>
    </w:p>
    <w:p>
      <w:pPr>
        <w:pStyle w:val="21"/>
        <w:spacing w:before="0" w:after="0" w:line="360" w:lineRule="auto"/>
        <w:outlineLvl w:val="9"/>
        <w:rPr>
          <w:rStyle w:val="26"/>
          <w:rFonts w:ascii="华文楷体" w:hAnsi="华文楷体" w:eastAsia="华文楷体"/>
          <w:b w:val="0"/>
          <w:bCs w:val="0"/>
        </w:rPr>
      </w:pPr>
      <w:r>
        <w:rPr>
          <w:rStyle w:val="26"/>
          <w:rFonts w:hint="eastAsia" w:ascii="华文楷体" w:hAnsi="华文楷体" w:eastAsia="华文楷体" w:cs="宋体"/>
          <w:b w:val="0"/>
          <w:bCs w:val="0"/>
        </w:rPr>
        <w:t>长安信托</w:t>
      </w:r>
      <w:r>
        <w:rPr>
          <w:rStyle w:val="26"/>
          <w:rFonts w:ascii="华文楷体" w:hAnsi="华文楷体" w:eastAsia="华文楷体" w:cs="MS Mincho"/>
          <w:b w:val="0"/>
          <w:bCs w:val="0"/>
        </w:rPr>
        <w:t>▪</w:t>
      </w:r>
      <w:r>
        <w:rPr>
          <w:rStyle w:val="26"/>
          <w:rFonts w:hint="eastAsia" w:ascii="华文楷体" w:hAnsi="华文楷体" w:eastAsia="华文楷体" w:cs="宋体"/>
          <w:b w:val="0"/>
          <w:bCs w:val="0"/>
        </w:rPr>
        <w:t>恒字</w:t>
      </w:r>
      <w:bookmarkEnd w:id="8"/>
      <w:bookmarkEnd w:id="11"/>
      <w:bookmarkEnd w:id="12"/>
      <w:bookmarkEnd w:id="13"/>
      <w:bookmarkEnd w:id="14"/>
      <w:bookmarkEnd w:id="15"/>
      <w:bookmarkEnd w:id="16"/>
      <w:bookmarkEnd w:id="17"/>
      <w:r>
        <w:rPr>
          <w:rStyle w:val="26"/>
          <w:rFonts w:hint="eastAsia" w:ascii="华文楷体" w:hAnsi="华文楷体" w:eastAsia="华文楷体"/>
          <w:b w:val="0"/>
          <w:bCs w:val="0"/>
        </w:rPr>
        <w:t>2019002号家族信托</w:t>
      </w:r>
    </w:p>
    <w:p>
      <w:pPr>
        <w:pStyle w:val="21"/>
        <w:spacing w:before="0" w:after="0" w:line="360" w:lineRule="auto"/>
        <w:rPr>
          <w:rStyle w:val="26"/>
          <w:rFonts w:ascii="华文楷体" w:hAnsi="华文楷体" w:eastAsia="华文楷体"/>
          <w:b w:val="0"/>
          <w:bCs w:val="0"/>
        </w:rPr>
      </w:pPr>
      <w:bookmarkStart w:id="18" w:name="_Toc473107696"/>
      <w:bookmarkStart w:id="19" w:name="_Toc455345425"/>
      <w:bookmarkStart w:id="20" w:name="_Toc445917710"/>
      <w:bookmarkStart w:id="21" w:name="_Toc446017050"/>
      <w:bookmarkStart w:id="22" w:name="_Toc457303107"/>
      <w:bookmarkStart w:id="23" w:name="_Toc6397505"/>
      <w:bookmarkStart w:id="24" w:name="_Toc495666688"/>
      <w:r>
        <w:rPr>
          <w:rStyle w:val="26"/>
          <w:rFonts w:hint="eastAsia" w:ascii="华文楷体" w:hAnsi="华文楷体" w:eastAsia="华文楷体"/>
          <w:b w:val="0"/>
          <w:bCs w:val="0"/>
        </w:rPr>
        <w:t>风险申明书</w:t>
      </w:r>
      <w:bookmarkEnd w:id="9"/>
      <w:bookmarkEnd w:id="10"/>
      <w:bookmarkEnd w:id="18"/>
      <w:bookmarkEnd w:id="19"/>
      <w:bookmarkEnd w:id="20"/>
      <w:bookmarkEnd w:id="21"/>
      <w:bookmarkEnd w:id="22"/>
      <w:bookmarkEnd w:id="23"/>
      <w:bookmarkEnd w:id="24"/>
    </w:p>
    <w:p>
      <w:pPr>
        <w:spacing w:line="360" w:lineRule="auto"/>
        <w:rPr>
          <w:rFonts w:ascii="华文楷体" w:hAnsi="华文楷体" w:eastAsia="华文楷体"/>
          <w:sz w:val="24"/>
        </w:rPr>
      </w:pPr>
    </w:p>
    <w:p>
      <w:pPr>
        <w:spacing w:line="360" w:lineRule="auto"/>
        <w:rPr>
          <w:rFonts w:ascii="华文楷体" w:hAnsi="华文楷体" w:eastAsia="华文楷体"/>
          <w:sz w:val="24"/>
        </w:rPr>
      </w:pPr>
      <w:r>
        <w:rPr>
          <w:rFonts w:hint="eastAsia" w:ascii="华文楷体" w:hAnsi="华文楷体" w:eastAsia="华文楷体"/>
          <w:sz w:val="24"/>
        </w:rPr>
        <w:t>尊敬的委托人：</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感谢您对长安国际信托股份有限公司（以下简称“受托人”）的信任，将自己合法所有的财产委托给受托人，设立本信托。在您签署本风险申明书及《</w:t>
      </w:r>
      <w:r>
        <w:rPr>
          <w:rFonts w:ascii="华文楷体" w:hAnsi="华文楷体" w:eastAsia="华文楷体"/>
          <w:sz w:val="24"/>
        </w:rPr>
        <w:t>长安信托</w:t>
      </w:r>
      <w:r>
        <w:rPr>
          <w:rFonts w:ascii="华文楷体" w:hAnsi="华文楷体" w:eastAsia="华文楷体" w:cs="MS Mincho"/>
          <w:sz w:val="24"/>
        </w:rPr>
        <w:t>▪</w:t>
      </w:r>
      <w:r>
        <w:rPr>
          <w:rFonts w:hint="eastAsia" w:ascii="华文楷体" w:hAnsi="华文楷体" w:eastAsia="华文楷体"/>
          <w:sz w:val="24"/>
        </w:rPr>
        <w:t>恒字2019002号家族信托</w:t>
      </w:r>
      <w:r>
        <w:rPr>
          <w:rFonts w:ascii="华文楷体" w:hAnsi="华文楷体" w:eastAsia="华文楷体"/>
          <w:sz w:val="24"/>
        </w:rPr>
        <w:t>之信托合同</w:t>
      </w:r>
      <w:r>
        <w:rPr>
          <w:rFonts w:hint="eastAsia" w:ascii="华文楷体" w:hAnsi="华文楷体" w:eastAsia="华文楷体"/>
          <w:sz w:val="24"/>
        </w:rPr>
        <w:t>》（以下简称“信托合同”）前，请仔细阅读以下内容：</w:t>
      </w:r>
    </w:p>
    <w:p>
      <w:pPr>
        <w:numPr>
          <w:ilvl w:val="0"/>
          <w:numId w:val="2"/>
        </w:numPr>
        <w:spacing w:line="360" w:lineRule="auto"/>
        <w:ind w:left="0" w:firstLine="480" w:firstLineChars="200"/>
        <w:rPr>
          <w:rFonts w:ascii="华文楷体" w:hAnsi="华文楷体" w:eastAsia="华文楷体"/>
          <w:sz w:val="24"/>
        </w:rPr>
      </w:pPr>
      <w:r>
        <w:rPr>
          <w:rFonts w:hint="eastAsia" w:ascii="华文楷体" w:hAnsi="华文楷体" w:eastAsia="华文楷体"/>
          <w:sz w:val="24"/>
        </w:rPr>
        <w:t>本信托项下，受托人将信托财产用于信托文件规定的投资品种。尽管受托人承诺管理信托财产将恪尽职守，履行诚实、信用、谨慎、有效管理的义务，但在信托财产管理运用和处分过程中，仍存在包括但不限于法律政策风险、市场风险、投资风险、信托资金闲置风险、信用风险、流动性风险、不可抗力及其他风险，具体详见信托合同。</w:t>
      </w:r>
    </w:p>
    <w:p>
      <w:pPr>
        <w:numPr>
          <w:ilvl w:val="0"/>
          <w:numId w:val="2"/>
        </w:numPr>
        <w:spacing w:line="360" w:lineRule="auto"/>
        <w:ind w:left="0" w:firstLine="480" w:firstLineChars="200"/>
        <w:rPr>
          <w:rFonts w:ascii="华文楷体" w:hAnsi="华文楷体" w:eastAsia="华文楷体"/>
          <w:sz w:val="24"/>
        </w:rPr>
      </w:pPr>
      <w:r>
        <w:rPr>
          <w:rFonts w:hint="eastAsia" w:ascii="华文楷体" w:hAnsi="华文楷体" w:eastAsia="华文楷体"/>
          <w:sz w:val="24"/>
        </w:rPr>
        <w:t>受托人郑重申明：</w:t>
      </w:r>
      <w:r>
        <w:rPr>
          <w:rFonts w:ascii="华文楷体" w:hAnsi="华文楷体" w:eastAsia="华文楷体"/>
          <w:sz w:val="24"/>
        </w:rPr>
        <w:t>将严格按照</w:t>
      </w:r>
      <w:r>
        <w:rPr>
          <w:rFonts w:hint="eastAsia" w:ascii="华文楷体" w:hAnsi="华文楷体" w:eastAsia="华文楷体"/>
          <w:sz w:val="24"/>
        </w:rPr>
        <w:t>信托文件</w:t>
      </w:r>
      <w:r>
        <w:rPr>
          <w:rFonts w:ascii="华文楷体" w:hAnsi="华文楷体" w:eastAsia="华文楷体"/>
          <w:sz w:val="24"/>
        </w:rPr>
        <w:t>中约定的方式对信托财产进行管理、运用和处分</w:t>
      </w:r>
      <w:r>
        <w:rPr>
          <w:rFonts w:hint="eastAsia" w:ascii="华文楷体" w:hAnsi="华文楷体" w:eastAsia="华文楷体"/>
          <w:sz w:val="24"/>
        </w:rPr>
        <w:t>，但不承诺信托资金不受损失，亦不承诺信托资金的最低收益。本信托具有一定的投资风险，适合风险识别、评估、承受能力较强的合格投资者。</w:t>
      </w:r>
      <w:r>
        <w:rPr>
          <w:rFonts w:ascii="华文楷体" w:hAnsi="华文楷体" w:eastAsia="华文楷体"/>
          <w:sz w:val="24"/>
        </w:rPr>
        <w:t>受托人依据信托文件管理信托财产所产生的风险，由信托财产承担。受托人因违背信托文件</w:t>
      </w:r>
      <w:r>
        <w:rPr>
          <w:rFonts w:hint="eastAsia" w:ascii="华文楷体" w:hAnsi="华文楷体" w:eastAsia="华文楷体"/>
          <w:sz w:val="24"/>
        </w:rPr>
        <w:t>或</w:t>
      </w:r>
      <w:r>
        <w:rPr>
          <w:rFonts w:ascii="华文楷体" w:hAnsi="华文楷体" w:eastAsia="华文楷体"/>
          <w:sz w:val="24"/>
        </w:rPr>
        <w:t>处理信托事务不当而造成信托财产损失的，由受托人以固有财产赔偿</w:t>
      </w:r>
      <w:r>
        <w:rPr>
          <w:rFonts w:hint="eastAsia" w:ascii="华文楷体" w:hAnsi="华文楷体" w:eastAsia="华文楷体"/>
          <w:sz w:val="24"/>
        </w:rPr>
        <w:t>。</w:t>
      </w:r>
    </w:p>
    <w:p>
      <w:pPr>
        <w:numPr>
          <w:ilvl w:val="0"/>
          <w:numId w:val="2"/>
        </w:numPr>
        <w:spacing w:line="360" w:lineRule="auto"/>
        <w:ind w:left="0" w:firstLine="480" w:firstLineChars="200"/>
        <w:rPr>
          <w:rFonts w:ascii="华文楷体" w:hAnsi="华文楷体" w:eastAsia="华文楷体"/>
          <w:sz w:val="24"/>
        </w:rPr>
      </w:pPr>
      <w:r>
        <w:rPr>
          <w:rFonts w:hint="eastAsia" w:ascii="华文楷体" w:hAnsi="华文楷体" w:eastAsia="华文楷体"/>
          <w:sz w:val="24"/>
        </w:rPr>
        <w:t>委托人申明已充分理解信托文件的内容，了解相关权利、义务及信托投资所面临的风险收益特征。受托人在签订合同前已经充分向委托人说明了信托财产运用方式和范围，充分揭示了信托财产投资可能面临的信托利益无法实现、信托资产无法收回等风险，本人已知晓并愿意承担相应的投资风险。</w:t>
      </w:r>
    </w:p>
    <w:p>
      <w:pPr>
        <w:numPr>
          <w:ilvl w:val="0"/>
          <w:numId w:val="2"/>
        </w:numPr>
        <w:spacing w:line="360" w:lineRule="auto"/>
        <w:ind w:left="0" w:firstLine="480" w:firstLineChars="200"/>
        <w:rPr>
          <w:rFonts w:ascii="华文楷体" w:hAnsi="华文楷体" w:eastAsia="华文楷体"/>
          <w:sz w:val="24"/>
        </w:rPr>
      </w:pPr>
      <w:r>
        <w:rPr>
          <w:rFonts w:hint="eastAsia" w:ascii="华文楷体" w:hAnsi="华文楷体" w:eastAsia="华文楷体"/>
          <w:sz w:val="24"/>
        </w:rPr>
        <w:t>委托人申明用于设立信托的财产为委托人</w:t>
      </w:r>
      <w:r>
        <w:rPr>
          <w:rFonts w:hint="eastAsia" w:ascii="华文楷体" w:hAnsi="华文楷体" w:eastAsia="华文楷体" w:cs="宋体"/>
          <w:sz w:val="24"/>
          <w:szCs w:val="22"/>
        </w:rPr>
        <w:t>合法所有的具有完全支配权的财产，未非法汇集他人资金设立本信托，并且信托财产上未附加未偿债务及任何其他第三方的权利。设立本信托以及信托安排已经取得财产共有人（如有）的书面同意、信托设立目的合法、用于设立本信托的信托资金低于其个人合法所有的净资产；未损害其债权人包括夫妻共同债务对应的债权人（如有）的利益。如受益人与委托人无法律意义上的血亲（包括拟制血亲）或姻亲关系的，委托人需要申明设立该受益人的真实目的。如以上申明不实可能导致信托被宣告无效、被撤销、信托财产被强制执行等风险，由此导致的损失由信托财产承担，对受托人造成的损失的，由信托财产承担,信托财产不足承担的，委托人、受益人对受托人由此遭受的损失负有连带赔偿责任，受托人已收取的各项费用不再退回。</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在签署信托文件前，您应当仔细阅读本风险申明书、信托合同以及其他相关信托文件，谨慎做出是否签署信托文件的决定。</w:t>
      </w:r>
      <w:r>
        <w:rPr>
          <w:rFonts w:ascii="华文楷体" w:hAnsi="华文楷体" w:eastAsia="华文楷体"/>
          <w:sz w:val="24"/>
        </w:rPr>
        <w:t>委托人在本《风险申明书》上签字，即表明委托人已认真阅读并理解全部的信托文件，并愿意依法承担相应的风险。</w:t>
      </w:r>
    </w:p>
    <w:p>
      <w:pPr>
        <w:spacing w:line="360" w:lineRule="auto"/>
        <w:ind w:firstLine="480" w:firstLineChars="200"/>
        <w:rPr>
          <w:rFonts w:ascii="华文楷体" w:hAnsi="华文楷体" w:eastAsia="华文楷体"/>
          <w:sz w:val="24"/>
        </w:rPr>
      </w:pPr>
      <w:r>
        <w:rPr>
          <w:rFonts w:ascii="华文楷体" w:hAnsi="华文楷体" w:eastAsia="华文楷体"/>
          <w:sz w:val="24"/>
        </w:rPr>
        <w:t>委托人签署和执行本《风险申明书》是自愿的，属于委托人真实意思表示，已经取得全部必须的合法授权，且未违背任何对委托人有约束力的法规或合同。委托人签署和执行本《风险申明书》所须的手续均已合法、有效地办理完毕。</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本风险申明书壹式叁份，委托人持贰份（其中一份，委托人委托本信托的财务顾问机构中国农业银行股份有限公司持有），受托人持壹份。</w:t>
      </w:r>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委托人（签字）：</w:t>
      </w: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受托人：</w:t>
      </w: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长安国际信托股份有限公司（公章或合同专用章）</w:t>
      </w: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法定代表人或授权代表（签字或盖章）：</w:t>
      </w: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right="481" w:firstLine="470" w:firstLineChars="196"/>
        <w:jc w:val="left"/>
        <w:rPr>
          <w:rFonts w:ascii="华文楷体" w:hAnsi="华文楷体" w:eastAsia="华文楷体"/>
          <w:sz w:val="24"/>
        </w:rPr>
      </w:pPr>
      <w:r>
        <w:rPr>
          <w:rFonts w:hint="eastAsia" w:ascii="华文楷体" w:hAnsi="华文楷体" w:eastAsia="华文楷体"/>
          <w:sz w:val="24"/>
        </w:rPr>
        <w:t>签署日期：    年</w:t>
      </w:r>
      <w:bookmarkStart w:id="25" w:name="Text5"/>
      <w:bookmarkEnd w:id="25"/>
      <w:r>
        <w:rPr>
          <w:rFonts w:hint="eastAsia" w:ascii="华文楷体" w:hAnsi="华文楷体" w:eastAsia="华文楷体"/>
          <w:sz w:val="24"/>
        </w:rPr>
        <w:t xml:space="preserve">     月   日 </w:t>
      </w:r>
    </w:p>
    <w:p>
      <w:pPr>
        <w:pStyle w:val="57"/>
        <w:rPr>
          <w:rFonts w:ascii="华文楷体" w:hAnsi="华文楷体" w:eastAsia="华文楷体"/>
        </w:rPr>
      </w:pPr>
    </w:p>
    <w:p>
      <w:pPr>
        <w:pStyle w:val="57"/>
        <w:rPr>
          <w:rFonts w:ascii="华文楷体" w:hAnsi="华文楷体" w:eastAsia="华文楷体"/>
        </w:rPr>
        <w:sectPr>
          <w:footerReference r:id="rId6" w:type="first"/>
          <w:footerReference r:id="rId5" w:type="default"/>
          <w:pgSz w:w="11906" w:h="16838"/>
          <w:pgMar w:top="1440" w:right="1797" w:bottom="1440" w:left="2160" w:header="851" w:footer="992" w:gutter="0"/>
          <w:pgNumType w:start="1"/>
          <w:cols w:space="720" w:num="1"/>
          <w:docGrid w:type="lines" w:linePitch="312" w:charSpace="0"/>
        </w:sectPr>
      </w:pPr>
    </w:p>
    <w:p>
      <w:pPr>
        <w:tabs>
          <w:tab w:val="left" w:pos="1276"/>
        </w:tabs>
        <w:adjustRightInd w:val="0"/>
        <w:snapToGrid w:val="0"/>
        <w:spacing w:line="360" w:lineRule="auto"/>
        <w:ind w:right="1444"/>
        <w:rPr>
          <w:rFonts w:ascii="华文楷体" w:hAnsi="华文楷体" w:eastAsia="华文楷体"/>
          <w:b/>
          <w:sz w:val="24"/>
        </w:rPr>
        <w:sectPr>
          <w:footerReference r:id="rId7" w:type="default"/>
          <w:type w:val="continuous"/>
          <w:pgSz w:w="11906" w:h="16838"/>
          <w:pgMar w:top="1440" w:right="1797" w:bottom="1440" w:left="2160" w:header="851" w:footer="992" w:gutter="0"/>
          <w:pgNumType w:start="0"/>
          <w:cols w:space="720" w:num="1"/>
          <w:titlePg/>
          <w:docGrid w:type="lines" w:linePitch="312" w:charSpace="0"/>
        </w:sect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32"/>
          <w:szCs w:val="32"/>
        </w:rPr>
      </w:pPr>
      <w:r>
        <w:rPr>
          <w:rFonts w:hint="eastAsia" w:ascii="华文楷体" w:hAnsi="华文楷体" w:eastAsia="华文楷体" w:cs="宋体"/>
          <w:b/>
          <w:bCs/>
          <w:kern w:val="0"/>
          <w:sz w:val="32"/>
          <w:szCs w:val="32"/>
        </w:rPr>
        <w:t>长安信托</w:t>
      </w:r>
      <w:r>
        <w:rPr>
          <w:rFonts w:ascii="华文楷体" w:hAnsi="华文楷体" w:eastAsia="华文楷体" w:cs="MS Mincho"/>
          <w:b/>
          <w:bCs/>
          <w:kern w:val="0"/>
          <w:sz w:val="32"/>
          <w:szCs w:val="32"/>
        </w:rPr>
        <w:t>▪</w:t>
      </w:r>
      <w:r>
        <w:rPr>
          <w:rFonts w:hint="eastAsia" w:ascii="华文楷体" w:hAnsi="华文楷体" w:eastAsia="华文楷体" w:cs="宋体"/>
          <w:b/>
          <w:bCs/>
          <w:kern w:val="0"/>
          <w:sz w:val="32"/>
          <w:szCs w:val="32"/>
        </w:rPr>
        <w:t>恒字</w:t>
      </w:r>
      <w:r>
        <w:rPr>
          <w:rFonts w:hint="eastAsia" w:ascii="华文楷体" w:hAnsi="华文楷体" w:eastAsia="华文楷体"/>
          <w:b/>
          <w:bCs/>
          <w:kern w:val="0"/>
          <w:sz w:val="32"/>
          <w:szCs w:val="32"/>
        </w:rPr>
        <w:t>2019002号家族信托</w:t>
      </w: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b/>
          <w:bCs/>
          <w:kern w:val="0"/>
          <w:sz w:val="32"/>
          <w:szCs w:val="32"/>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b/>
          <w:bCs/>
          <w:kern w:val="0"/>
          <w:szCs w:val="23"/>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28"/>
          <w:szCs w:val="28"/>
        </w:rPr>
      </w:pPr>
      <w:r>
        <w:rPr>
          <w:rFonts w:ascii="华文楷体" w:hAnsi="华文楷体" w:eastAsia="华文楷体"/>
          <w:b/>
          <w:bCs/>
          <w:kern w:val="0"/>
          <w:sz w:val="28"/>
          <w:szCs w:val="28"/>
        </w:rPr>
        <w:t>之</w:t>
      </w: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b/>
          <w:bCs/>
          <w:kern w:val="0"/>
          <w:szCs w:val="23"/>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b/>
          <w:bCs/>
          <w:kern w:val="0"/>
          <w:szCs w:val="23"/>
        </w:rPr>
      </w:pP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Cs w:val="23"/>
        </w:rPr>
      </w:pPr>
      <w:r>
        <w:rPr>
          <w:rFonts w:ascii="华文楷体" w:hAnsi="华文楷体" w:eastAsia="华文楷体"/>
          <w:b/>
          <w:bCs/>
          <w:kern w:val="0"/>
          <w:szCs w:val="23"/>
        </w:rPr>
        <w:pict>
          <v:line id="直线 8" o:spid="_x0000_s1026" o:spt="20" style="position:absolute;left:0pt;margin-left:52.5pt;margin-top:5.8pt;height:0pt;width:288.7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">
            <v:path arrowok="t"/>
            <v:fill focussize="0,0"/>
            <v:stroke/>
            <v:imagedata o:title=""/>
            <o:lock v:ext="edit"/>
          </v:line>
        </w:pict>
      </w:r>
    </w:p>
    <w:p>
      <w:pPr>
        <w:tabs>
          <w:tab w:val="left" w:pos="540"/>
          <w:tab w:val="left" w:pos="1260"/>
          <w:tab w:val="left" w:pos="1980"/>
          <w:tab w:val="left" w:pos="2520"/>
        </w:tabs>
        <w:autoSpaceDE w:val="0"/>
        <w:autoSpaceDN w:val="0"/>
        <w:adjustRightInd w:val="0"/>
        <w:snapToGrid w:val="0"/>
        <w:spacing w:line="360" w:lineRule="auto"/>
        <w:jc w:val="center"/>
        <w:textAlignment w:val="baseline"/>
        <w:rPr>
          <w:rFonts w:ascii="华文楷体" w:hAnsi="华文楷体" w:eastAsia="华文楷体"/>
          <w:b/>
          <w:bCs/>
          <w:kern w:val="0"/>
          <w:sz w:val="48"/>
          <w:szCs w:val="48"/>
        </w:rPr>
      </w:pPr>
      <w:r>
        <w:rPr>
          <w:rFonts w:hint="eastAsia" w:ascii="华文楷体" w:hAnsi="华文楷体" w:eastAsia="华文楷体"/>
          <w:b/>
          <w:bCs/>
          <w:kern w:val="0"/>
          <w:sz w:val="48"/>
          <w:szCs w:val="48"/>
        </w:rPr>
        <w:t>信托合同</w:t>
      </w: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Cs w:val="23"/>
          <w:lang w:val="en-GB"/>
        </w:rPr>
      </w:pPr>
      <w:r>
        <w:rPr>
          <w:rFonts w:ascii="华文楷体" w:hAnsi="华文楷体" w:eastAsia="华文楷体"/>
          <w:kern w:val="0"/>
          <w:szCs w:val="23"/>
        </w:rPr>
        <w:pict>
          <v:line id="直线 9" o:spid="_x0000_s1028" o:spt="20" style="position:absolute;left:0pt;margin-left:54pt;margin-top:1.75pt;height:0pt;width:288.75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">
            <v:path arrowok="t"/>
            <v:fill focussize="0,0"/>
            <v:stroke/>
            <v:imagedata o:title=""/>
            <o:lock v:ext="edit"/>
          </v:line>
        </w:pict>
      </w: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Cs w:val="23"/>
          <w:lang w:val="en-GB"/>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Cs w:val="23"/>
          <w:lang w:val="en-GB"/>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Cs w:val="23"/>
          <w:lang w:val="en-GB"/>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Cs w:val="23"/>
          <w:lang w:val="en-GB"/>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 w:val="24"/>
          <w:lang w:val="en-GB"/>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 w:val="24"/>
          <w:lang w:val="en-GB"/>
        </w:rPr>
      </w:pPr>
    </w:p>
    <w:p>
      <w:pPr>
        <w:tabs>
          <w:tab w:val="left" w:pos="540"/>
          <w:tab w:val="left" w:pos="1260"/>
          <w:tab w:val="left" w:pos="1980"/>
          <w:tab w:val="left" w:pos="2520"/>
        </w:tabs>
        <w:autoSpaceDE w:val="0"/>
        <w:autoSpaceDN w:val="0"/>
        <w:adjustRightInd w:val="0"/>
        <w:snapToGrid w:val="0"/>
        <w:spacing w:line="360" w:lineRule="auto"/>
        <w:textAlignment w:val="baseline"/>
        <w:rPr>
          <w:rFonts w:ascii="华文楷体" w:hAnsi="华文楷体" w:eastAsia="华文楷体"/>
          <w:kern w:val="0"/>
          <w:sz w:val="24"/>
          <w:lang w:val="en-GB"/>
        </w:rPr>
      </w:pPr>
    </w:p>
    <w:p>
      <w:pPr>
        <w:tabs>
          <w:tab w:val="left" w:pos="1276"/>
        </w:tabs>
        <w:adjustRightInd w:val="0"/>
        <w:snapToGrid w:val="0"/>
        <w:spacing w:line="360" w:lineRule="auto"/>
        <w:ind w:firstLine="3243" w:firstLineChars="1350"/>
        <w:rPr>
          <w:rFonts w:ascii="华文楷体" w:hAnsi="华文楷体" w:eastAsia="华文楷体" w:cs="Arial"/>
          <w:b/>
          <w:kern w:val="0"/>
          <w:sz w:val="24"/>
          <w:lang w:val="en-GB"/>
        </w:rPr>
      </w:pPr>
      <w:r>
        <w:rPr>
          <w:rFonts w:ascii="华文楷体" w:hAnsi="华文楷体" w:eastAsia="华文楷体" w:cs="Arial"/>
          <w:b/>
          <w:kern w:val="0"/>
          <w:sz w:val="24"/>
          <w:lang w:val="en-GB"/>
        </w:rPr>
        <w:t>年</w:t>
      </w:r>
      <w:r>
        <w:rPr>
          <w:rFonts w:hint="eastAsia" w:ascii="华文楷体" w:hAnsi="华文楷体" w:eastAsia="华文楷体" w:cs="Arial"/>
          <w:b/>
          <w:kern w:val="0"/>
          <w:sz w:val="24"/>
          <w:lang w:val="en-GB"/>
        </w:rPr>
        <w:t xml:space="preserve">   月</w:t>
      </w:r>
    </w:p>
    <w:p>
      <w:pPr>
        <w:tabs>
          <w:tab w:val="left" w:pos="1276"/>
        </w:tabs>
        <w:adjustRightInd w:val="0"/>
        <w:snapToGrid w:val="0"/>
        <w:spacing w:line="360" w:lineRule="auto"/>
        <w:ind w:firstLine="3243" w:firstLineChars="1350"/>
        <w:rPr>
          <w:rFonts w:ascii="华文楷体" w:hAnsi="华文楷体" w:eastAsia="华文楷体" w:cs="Arial"/>
          <w:b/>
          <w:kern w:val="0"/>
          <w:sz w:val="24"/>
          <w:lang w:val="en-GB"/>
        </w:rPr>
      </w:pPr>
      <w:r>
        <w:rPr>
          <w:rFonts w:ascii="华文楷体" w:hAnsi="华文楷体" w:eastAsia="华文楷体" w:cs="Arial"/>
          <w:b/>
          <w:kern w:val="0"/>
          <w:sz w:val="24"/>
          <w:lang w:val="en-GB"/>
        </w:rPr>
        <w:br w:type="page"/>
      </w:r>
      <w:r>
        <w:rPr>
          <w:rFonts w:hint="eastAsia" w:ascii="华文楷体" w:hAnsi="华文楷体" w:eastAsia="华文楷体" w:cs="Arial"/>
          <w:b/>
          <w:kern w:val="0"/>
          <w:sz w:val="24"/>
          <w:lang w:val="en-GB"/>
        </w:rPr>
        <w:t>目  录</w:t>
      </w:r>
    </w:p>
    <w:p>
      <w:pPr>
        <w:pStyle w:val="15"/>
        <w:tabs>
          <w:tab w:val="right" w:leader="dot" w:pos="7939"/>
        </w:tabs>
        <w:spacing w:before="156"/>
        <w:rPr>
          <w:rFonts w:ascii="华文楷体" w:hAnsi="华文楷体" w:eastAsia="华文楷体" w:cstheme="minorBidi"/>
          <w:b/>
          <w:sz w:val="21"/>
          <w:szCs w:val="22"/>
        </w:rPr>
      </w:pPr>
      <w:bookmarkStart w:id="26" w:name="_Toc421520866"/>
      <w:bookmarkStart w:id="27" w:name="_Toc421189314"/>
      <w:r>
        <w:rPr>
          <w:rFonts w:ascii="华文楷体" w:hAnsi="华文楷体" w:eastAsia="华文楷体" w:cs="宋体"/>
          <w:b/>
        </w:rPr>
        <w:fldChar w:fldCharType="begin"/>
      </w:r>
      <w:r>
        <w:rPr>
          <w:rFonts w:hint="eastAsia" w:ascii="华文楷体" w:hAnsi="华文楷体" w:eastAsia="华文楷体" w:cs="宋体"/>
          <w:b/>
        </w:rPr>
        <w:instrText xml:space="preserve">TOC \o "1-1" \h \z \u</w:instrText>
      </w:r>
      <w:r>
        <w:rPr>
          <w:rFonts w:ascii="华文楷体" w:hAnsi="华文楷体" w:eastAsia="华文楷体" w:cs="宋体"/>
          <w:b/>
        </w:rPr>
        <w:fldChar w:fldCharType="separate"/>
      </w:r>
      <w:r>
        <w:fldChar w:fldCharType="begin"/>
      </w:r>
      <w:r>
        <w:instrText xml:space="preserve"> HYPERLINK \l "_Toc6397505" </w:instrText>
      </w:r>
      <w:r>
        <w:fldChar w:fldCharType="separate"/>
      </w:r>
      <w:r>
        <w:rPr>
          <w:rStyle w:val="29"/>
          <w:rFonts w:hint="eastAsia" w:ascii="华文楷体" w:hAnsi="华文楷体" w:eastAsia="华文楷体"/>
          <w:b/>
        </w:rPr>
        <w:t>风险申明书</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_Toc6397505 \h </w:instrText>
      </w:r>
      <w:r>
        <w:rPr>
          <w:rFonts w:ascii="华文楷体" w:hAnsi="华文楷体" w:eastAsia="华文楷体"/>
          <w:b/>
        </w:rPr>
        <w:fldChar w:fldCharType="separate"/>
      </w:r>
      <w:r>
        <w:rPr>
          <w:rFonts w:ascii="华文楷体" w:hAnsi="华文楷体" w:eastAsia="华文楷体"/>
          <w:b/>
        </w:rPr>
        <w:t>1</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"_Toc6397506" </w:instrText>
      </w:r>
      <w:r>
        <w:fldChar w:fldCharType="separate"/>
      </w:r>
      <w:r>
        <w:rPr>
          <w:rStyle w:val="29"/>
          <w:rFonts w:hint="eastAsia" w:ascii="华文楷体" w:hAnsi="华文楷体" w:eastAsia="华文楷体"/>
          <w:b/>
        </w:rPr>
        <w:t>前言</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_Toc6397506 \h </w:instrText>
      </w:r>
      <w:r>
        <w:rPr>
          <w:rFonts w:ascii="华文楷体" w:hAnsi="华文楷体" w:eastAsia="华文楷体"/>
          <w:b/>
        </w:rPr>
        <w:fldChar w:fldCharType="separate"/>
      </w:r>
      <w:r>
        <w:rPr>
          <w:rFonts w:ascii="华文楷体" w:hAnsi="华文楷体" w:eastAsia="华文楷体"/>
          <w:b/>
        </w:rPr>
        <w:t>3</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"_Toc6397507" </w:instrText>
      </w:r>
      <w:r>
        <w:fldChar w:fldCharType="separate"/>
      </w:r>
      <w:r>
        <w:rPr>
          <w:rStyle w:val="29"/>
          <w:rFonts w:hint="eastAsia" w:ascii="华文楷体" w:hAnsi="华文楷体" w:eastAsia="华文楷体"/>
          <w:b/>
        </w:rPr>
        <w:t>信托的释义</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_Toc6397507 \h </w:instrText>
      </w:r>
      <w:r>
        <w:rPr>
          <w:rFonts w:ascii="华文楷体" w:hAnsi="华文楷体" w:eastAsia="华文楷体"/>
          <w:b/>
        </w:rPr>
        <w:fldChar w:fldCharType="separate"/>
      </w:r>
      <w:r>
        <w:rPr>
          <w:rFonts w:ascii="华文楷体" w:hAnsi="华文楷体" w:eastAsia="华文楷体"/>
          <w:b/>
        </w:rPr>
        <w:t>4</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"_Toc6397508" </w:instrText>
      </w:r>
      <w:r>
        <w:fldChar w:fldCharType="separate"/>
      </w:r>
      <w:r>
        <w:rPr>
          <w:rStyle w:val="29"/>
          <w:rFonts w:hint="eastAsia" w:ascii="华文楷体" w:hAnsi="华文楷体" w:eastAsia="华文楷体" w:cs="宋体"/>
          <w:b/>
        </w:rPr>
        <w:t>第1条</w:t>
      </w:r>
      <w:r>
        <w:rPr>
          <w:rFonts w:ascii="华文楷体" w:hAnsi="华文楷体" w:eastAsia="华文楷体" w:cstheme="minorBidi"/>
          <w:b/>
          <w:sz w:val="21"/>
          <w:szCs w:val="22"/>
        </w:rPr>
        <w:tab/>
      </w:r>
      <w:r>
        <w:rPr>
          <w:rStyle w:val="29"/>
          <w:rFonts w:hint="eastAsia" w:ascii="华文楷体" w:hAnsi="华文楷体" w:eastAsia="华文楷体" w:cs="宋体"/>
          <w:b/>
        </w:rPr>
        <w:t>释义</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_Toc6397508 \h </w:instrText>
      </w:r>
      <w:r>
        <w:rPr>
          <w:rFonts w:ascii="华文楷体" w:hAnsi="华文楷体" w:eastAsia="华文楷体"/>
          <w:b/>
        </w:rPr>
        <w:fldChar w:fldCharType="separate"/>
      </w:r>
      <w:r>
        <w:rPr>
          <w:rFonts w:ascii="华文楷体" w:hAnsi="华文楷体" w:eastAsia="华文楷体"/>
          <w:b/>
        </w:rPr>
        <w:t>4</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"_Toc6397509" </w:instrText>
      </w:r>
      <w:r>
        <w:fldChar w:fldCharType="separate"/>
      </w:r>
      <w:r>
        <w:rPr>
          <w:rStyle w:val="29"/>
          <w:rFonts w:hint="eastAsia" w:ascii="华文楷体" w:hAnsi="华文楷体" w:eastAsia="华文楷体"/>
          <w:b/>
        </w:rPr>
        <w:t>第一章</w:t>
      </w:r>
      <w:r>
        <w:rPr>
          <w:rFonts w:ascii="华文楷体" w:hAnsi="华文楷体" w:eastAsia="华文楷体" w:cstheme="minorBidi"/>
          <w:b/>
          <w:sz w:val="21"/>
          <w:szCs w:val="22"/>
        </w:rPr>
        <w:tab/>
      </w:r>
      <w:r>
        <w:rPr>
          <w:rStyle w:val="29"/>
          <w:rFonts w:hint="eastAsia" w:ascii="华文楷体" w:hAnsi="华文楷体" w:eastAsia="华文楷体"/>
          <w:b/>
        </w:rPr>
        <w:t>信托的基本要素</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_Toc6397509 \h </w:instrText>
      </w:r>
      <w:r>
        <w:rPr>
          <w:rFonts w:ascii="华文楷体" w:hAnsi="华文楷体" w:eastAsia="华文楷体"/>
          <w:b/>
        </w:rPr>
        <w:fldChar w:fldCharType="separate"/>
      </w:r>
      <w:r>
        <w:rPr>
          <w:rFonts w:ascii="华文楷体" w:hAnsi="华文楷体" w:eastAsia="华文楷体"/>
          <w:b/>
        </w:rPr>
        <w:t>7</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"_Toc6397510" </w:instrText>
      </w:r>
      <w:r>
        <w:fldChar w:fldCharType="separate"/>
      </w:r>
      <w:r>
        <w:rPr>
          <w:rStyle w:val="29"/>
          <w:rFonts w:hint="eastAsia" w:ascii="华文楷体" w:hAnsi="华文楷体" w:eastAsia="华文楷体" w:cs="宋体"/>
          <w:b/>
        </w:rPr>
        <w:t>第2条</w:t>
      </w:r>
      <w:r>
        <w:rPr>
          <w:rFonts w:ascii="华文楷体" w:hAnsi="华文楷体" w:eastAsia="华文楷体" w:cstheme="minorBidi"/>
          <w:b/>
          <w:sz w:val="21"/>
          <w:szCs w:val="22"/>
        </w:rPr>
        <w:tab/>
      </w:r>
      <w:r>
        <w:rPr>
          <w:rStyle w:val="29"/>
          <w:rFonts w:hint="eastAsia" w:ascii="华文楷体" w:hAnsi="华文楷体" w:eastAsia="华文楷体" w:cs="宋体"/>
          <w:b/>
        </w:rPr>
        <w:t>信托目的</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_Toc6397510 \h </w:instrText>
      </w:r>
      <w:r>
        <w:rPr>
          <w:rFonts w:ascii="华文楷体" w:hAnsi="华文楷体" w:eastAsia="华文楷体"/>
          <w:b/>
        </w:rPr>
        <w:fldChar w:fldCharType="separate"/>
      </w:r>
      <w:r>
        <w:rPr>
          <w:rFonts w:ascii="华文楷体" w:hAnsi="华文楷体" w:eastAsia="华文楷体"/>
          <w:b/>
        </w:rPr>
        <w:t>7</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"_Toc6397511" </w:instrText>
      </w:r>
      <w:r>
        <w:fldChar w:fldCharType="separate"/>
      </w:r>
      <w:r>
        <w:rPr>
          <w:rStyle w:val="29"/>
          <w:rFonts w:hint="eastAsia" w:ascii="华文楷体" w:hAnsi="华文楷体" w:eastAsia="华文楷体" w:cs="宋体"/>
          <w:b/>
        </w:rPr>
        <w:t>第3条</w:t>
      </w:r>
      <w:r>
        <w:rPr>
          <w:rFonts w:ascii="华文楷体" w:hAnsi="华文楷体" w:eastAsia="华文楷体" w:cstheme="minorBidi"/>
          <w:b/>
          <w:sz w:val="21"/>
          <w:szCs w:val="22"/>
        </w:rPr>
        <w:tab/>
      </w:r>
      <w:r>
        <w:rPr>
          <w:rStyle w:val="29"/>
          <w:rFonts w:hint="eastAsia" w:ascii="华文楷体" w:hAnsi="华文楷体" w:eastAsia="华文楷体" w:cs="宋体"/>
          <w:b/>
        </w:rPr>
        <w:t>信托要素</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_Toc6397511 \h </w:instrText>
      </w:r>
      <w:r>
        <w:rPr>
          <w:rFonts w:ascii="华文楷体" w:hAnsi="华文楷体" w:eastAsia="华文楷体"/>
          <w:b/>
        </w:rPr>
        <w:fldChar w:fldCharType="separate"/>
      </w:r>
      <w:r>
        <w:rPr>
          <w:rFonts w:ascii="华文楷体" w:hAnsi="华文楷体" w:eastAsia="华文楷体"/>
          <w:b/>
        </w:rPr>
        <w:t>7</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"_Toc6397512" </w:instrText>
      </w:r>
      <w:r>
        <w:fldChar w:fldCharType="separate"/>
      </w:r>
      <w:r>
        <w:rPr>
          <w:rStyle w:val="29"/>
          <w:rFonts w:hint="eastAsia" w:ascii="华文楷体" w:hAnsi="华文楷体" w:eastAsia="华文楷体"/>
          <w:b/>
        </w:rPr>
        <w:t>第二章</w:t>
      </w:r>
      <w:r>
        <w:rPr>
          <w:rFonts w:ascii="华文楷体" w:hAnsi="华文楷体" w:eastAsia="华文楷体" w:cstheme="minorBidi"/>
          <w:b/>
          <w:sz w:val="21"/>
          <w:szCs w:val="22"/>
        </w:rPr>
        <w:tab/>
      </w:r>
      <w:r>
        <w:rPr>
          <w:rStyle w:val="29"/>
          <w:rFonts w:hint="eastAsia" w:ascii="华文楷体" w:hAnsi="华文楷体" w:eastAsia="华文楷体"/>
          <w:b/>
        </w:rPr>
        <w:t>信托的运营</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_Toc6397512 \h </w:instrText>
      </w:r>
      <w:r>
        <w:rPr>
          <w:rFonts w:ascii="华文楷体" w:hAnsi="华文楷体" w:eastAsia="华文楷体"/>
          <w:b/>
        </w:rPr>
        <w:fldChar w:fldCharType="separate"/>
      </w:r>
      <w:r>
        <w:rPr>
          <w:rFonts w:ascii="华文楷体" w:hAnsi="华文楷体" w:eastAsia="华文楷体"/>
          <w:b/>
        </w:rPr>
        <w:t>10</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"_Toc6397513" </w:instrText>
      </w:r>
      <w:r>
        <w:fldChar w:fldCharType="separate"/>
      </w:r>
      <w:r>
        <w:rPr>
          <w:rStyle w:val="29"/>
          <w:rFonts w:hint="eastAsia" w:ascii="华文楷体" w:hAnsi="华文楷体" w:eastAsia="华文楷体" w:cs="宋体"/>
          <w:b/>
        </w:rPr>
        <w:t>第4条</w:t>
      </w:r>
      <w:r>
        <w:rPr>
          <w:rFonts w:ascii="华文楷体" w:hAnsi="华文楷体" w:eastAsia="华文楷体" w:cstheme="minorBidi"/>
          <w:b/>
          <w:sz w:val="21"/>
          <w:szCs w:val="22"/>
        </w:rPr>
        <w:tab/>
      </w:r>
      <w:r>
        <w:rPr>
          <w:rStyle w:val="29"/>
          <w:rFonts w:hint="eastAsia" w:ascii="华文楷体" w:hAnsi="华文楷体" w:eastAsia="华文楷体" w:cs="宋体"/>
          <w:b/>
        </w:rPr>
        <w:t>信托资产的交付、追加</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_Toc6397513 \h </w:instrText>
      </w:r>
      <w:r>
        <w:rPr>
          <w:rFonts w:ascii="华文楷体" w:hAnsi="华文楷体" w:eastAsia="华文楷体"/>
          <w:b/>
        </w:rPr>
        <w:fldChar w:fldCharType="separate"/>
      </w:r>
      <w:r>
        <w:rPr>
          <w:rFonts w:ascii="华文楷体" w:hAnsi="华文楷体" w:eastAsia="华文楷体"/>
          <w:b/>
        </w:rPr>
        <w:t>10</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"_Toc6397514" </w:instrText>
      </w:r>
      <w:r>
        <w:fldChar w:fldCharType="separate"/>
      </w:r>
      <w:r>
        <w:rPr>
          <w:rStyle w:val="29"/>
          <w:rFonts w:hint="eastAsia" w:ascii="华文楷体" w:hAnsi="华文楷体" w:eastAsia="华文楷体" w:cs="宋体"/>
          <w:b/>
        </w:rPr>
        <w:t>第5条</w:t>
      </w:r>
      <w:r>
        <w:rPr>
          <w:rFonts w:ascii="华文楷体" w:hAnsi="华文楷体" w:eastAsia="华文楷体" w:cstheme="minorBidi"/>
          <w:b/>
          <w:sz w:val="21"/>
          <w:szCs w:val="22"/>
        </w:rPr>
        <w:tab/>
      </w:r>
      <w:r>
        <w:rPr>
          <w:rStyle w:val="29"/>
          <w:rFonts w:hint="eastAsia" w:ascii="华文楷体" w:hAnsi="华文楷体" w:eastAsia="华文楷体" w:cs="宋体"/>
          <w:b/>
        </w:rPr>
        <w:t>信托成立</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_Toc6397514 \h </w:instrText>
      </w:r>
      <w:r>
        <w:rPr>
          <w:rFonts w:ascii="华文楷体" w:hAnsi="华文楷体" w:eastAsia="华文楷体"/>
          <w:b/>
        </w:rPr>
        <w:fldChar w:fldCharType="separate"/>
      </w:r>
      <w:r>
        <w:rPr>
          <w:rFonts w:ascii="华文楷体" w:hAnsi="华文楷体" w:eastAsia="华文楷体"/>
          <w:b/>
        </w:rPr>
        <w:t>11</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"_Toc6397515" </w:instrText>
      </w:r>
      <w:r>
        <w:fldChar w:fldCharType="separate"/>
      </w:r>
      <w:r>
        <w:rPr>
          <w:rStyle w:val="29"/>
          <w:rFonts w:hint="eastAsia" w:ascii="华文楷体" w:hAnsi="华文楷体" w:eastAsia="华文楷体" w:cs="宋体"/>
          <w:b/>
        </w:rPr>
        <w:t>第6条</w:t>
      </w:r>
      <w:r>
        <w:rPr>
          <w:rFonts w:ascii="华文楷体" w:hAnsi="华文楷体" w:eastAsia="华文楷体" w:cstheme="minorBidi"/>
          <w:b/>
          <w:sz w:val="21"/>
          <w:szCs w:val="22"/>
        </w:rPr>
        <w:tab/>
      </w:r>
      <w:r>
        <w:rPr>
          <w:rStyle w:val="29"/>
          <w:rFonts w:hint="eastAsia" w:ascii="华文楷体" w:hAnsi="华文楷体" w:eastAsia="华文楷体" w:cs="宋体"/>
          <w:b/>
        </w:rPr>
        <w:t>信托专户</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_Toc6397515 \h </w:instrText>
      </w:r>
      <w:r>
        <w:rPr>
          <w:rFonts w:ascii="华文楷体" w:hAnsi="华文楷体" w:eastAsia="华文楷体"/>
          <w:b/>
        </w:rPr>
        <w:fldChar w:fldCharType="separate"/>
      </w:r>
      <w:r>
        <w:rPr>
          <w:rFonts w:ascii="华文楷体" w:hAnsi="华文楷体" w:eastAsia="华文楷体"/>
          <w:b/>
        </w:rPr>
        <w:t>11</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"_Toc6397516" </w:instrText>
      </w:r>
      <w:r>
        <w:fldChar w:fldCharType="separate"/>
      </w:r>
      <w:r>
        <w:rPr>
          <w:rStyle w:val="29"/>
          <w:rFonts w:hint="eastAsia" w:ascii="华文楷体" w:hAnsi="华文楷体" w:eastAsia="华文楷体" w:cs="宋体"/>
          <w:b/>
        </w:rPr>
        <w:t>第7条</w:t>
      </w:r>
      <w:r>
        <w:rPr>
          <w:rFonts w:ascii="华文楷体" w:hAnsi="华文楷体" w:eastAsia="华文楷体" w:cstheme="minorBidi"/>
          <w:b/>
          <w:sz w:val="21"/>
          <w:szCs w:val="22"/>
        </w:rPr>
        <w:tab/>
      </w:r>
      <w:r>
        <w:rPr>
          <w:rStyle w:val="29"/>
          <w:rFonts w:hint="eastAsia" w:ascii="华文楷体" w:hAnsi="华文楷体" w:eastAsia="华文楷体" w:cs="宋体"/>
          <w:b/>
        </w:rPr>
        <w:t>信托财产的管理及运用方法</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_Toc6397516 \h </w:instrText>
      </w:r>
      <w:r>
        <w:rPr>
          <w:rFonts w:ascii="华文楷体" w:hAnsi="华文楷体" w:eastAsia="华文楷体"/>
          <w:b/>
        </w:rPr>
        <w:fldChar w:fldCharType="separate"/>
      </w:r>
      <w:r>
        <w:rPr>
          <w:rFonts w:ascii="华文楷体" w:hAnsi="华文楷体" w:eastAsia="华文楷体"/>
          <w:b/>
        </w:rPr>
        <w:t>12</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"_Toc6397517" </w:instrText>
      </w:r>
      <w:r>
        <w:fldChar w:fldCharType="separate"/>
      </w:r>
      <w:r>
        <w:rPr>
          <w:rStyle w:val="29"/>
          <w:rFonts w:hint="eastAsia" w:ascii="华文楷体" w:hAnsi="华文楷体" w:eastAsia="华文楷体" w:cs="宋体"/>
          <w:b/>
        </w:rPr>
        <w:t>第8条</w:t>
      </w:r>
      <w:r>
        <w:rPr>
          <w:rFonts w:ascii="华文楷体" w:hAnsi="华文楷体" w:eastAsia="华文楷体" w:cstheme="minorBidi"/>
          <w:b/>
          <w:sz w:val="21"/>
          <w:szCs w:val="22"/>
        </w:rPr>
        <w:tab/>
      </w:r>
      <w:r>
        <w:rPr>
          <w:rStyle w:val="29"/>
          <w:rFonts w:hint="eastAsia" w:ascii="华文楷体" w:hAnsi="华文楷体" w:eastAsia="华文楷体" w:cs="宋体"/>
          <w:b/>
        </w:rPr>
        <w:t>信托费用的范围及其支付方法</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_Toc6397517 \h </w:instrText>
      </w:r>
      <w:r>
        <w:rPr>
          <w:rFonts w:ascii="华文楷体" w:hAnsi="华文楷体" w:eastAsia="华文楷体"/>
          <w:b/>
        </w:rPr>
        <w:fldChar w:fldCharType="separate"/>
      </w:r>
      <w:r>
        <w:rPr>
          <w:rFonts w:ascii="华文楷体" w:hAnsi="华文楷体" w:eastAsia="华文楷体"/>
          <w:b/>
        </w:rPr>
        <w:t>15</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"_Toc6397518" </w:instrText>
      </w:r>
      <w:r>
        <w:fldChar w:fldCharType="separate"/>
      </w:r>
      <w:r>
        <w:rPr>
          <w:rStyle w:val="29"/>
          <w:rFonts w:hint="eastAsia" w:ascii="华文楷体" w:hAnsi="华文楷体" w:eastAsia="华文楷体" w:cs="宋体"/>
          <w:b/>
        </w:rPr>
        <w:t>第9条</w:t>
      </w:r>
      <w:r>
        <w:rPr>
          <w:rFonts w:ascii="华文楷体" w:hAnsi="华文楷体" w:eastAsia="华文楷体" w:cstheme="minorBidi"/>
          <w:b/>
          <w:sz w:val="21"/>
          <w:szCs w:val="22"/>
        </w:rPr>
        <w:tab/>
      </w:r>
      <w:r>
        <w:rPr>
          <w:rStyle w:val="29"/>
          <w:rFonts w:hint="eastAsia" w:ascii="华文楷体" w:hAnsi="华文楷体" w:eastAsia="华文楷体" w:cs="宋体"/>
          <w:b/>
        </w:rPr>
        <w:t>信托财产承担的税赋</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_Toc6397518 \h </w:instrText>
      </w:r>
      <w:r>
        <w:rPr>
          <w:rFonts w:ascii="华文楷体" w:hAnsi="华文楷体" w:eastAsia="华文楷体"/>
          <w:b/>
        </w:rPr>
        <w:fldChar w:fldCharType="separate"/>
      </w:r>
      <w:r>
        <w:rPr>
          <w:rFonts w:ascii="华文楷体" w:hAnsi="华文楷体" w:eastAsia="华文楷体"/>
          <w:b/>
        </w:rPr>
        <w:t>16</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"_Toc6397519" </w:instrText>
      </w:r>
      <w:r>
        <w:fldChar w:fldCharType="separate"/>
      </w:r>
      <w:r>
        <w:rPr>
          <w:rStyle w:val="29"/>
          <w:rFonts w:hint="eastAsia" w:ascii="华文楷体" w:hAnsi="华文楷体" w:eastAsia="华文楷体" w:cs="宋体"/>
          <w:b/>
        </w:rPr>
        <w:t>第10条</w:t>
      </w:r>
      <w:r>
        <w:rPr>
          <w:rFonts w:ascii="华文楷体" w:hAnsi="华文楷体" w:eastAsia="华文楷体" w:cstheme="minorBidi"/>
          <w:b/>
          <w:sz w:val="21"/>
          <w:szCs w:val="22"/>
        </w:rPr>
        <w:tab/>
      </w:r>
      <w:r>
        <w:rPr>
          <w:rStyle w:val="29"/>
          <w:rFonts w:hint="eastAsia" w:ascii="华文楷体" w:hAnsi="华文楷体" w:eastAsia="华文楷体" w:cs="宋体"/>
          <w:b/>
        </w:rPr>
        <w:t>信托受益权以及信托利益的计算和分配</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_Toc6397519 \h </w:instrText>
      </w:r>
      <w:r>
        <w:rPr>
          <w:rFonts w:ascii="华文楷体" w:hAnsi="华文楷体" w:eastAsia="华文楷体"/>
          <w:b/>
        </w:rPr>
        <w:fldChar w:fldCharType="separate"/>
      </w:r>
      <w:r>
        <w:rPr>
          <w:rFonts w:ascii="华文楷体" w:hAnsi="华文楷体" w:eastAsia="华文楷体"/>
          <w:b/>
        </w:rPr>
        <w:t>18</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"_Toc6397520" </w:instrText>
      </w:r>
      <w:r>
        <w:fldChar w:fldCharType="separate"/>
      </w:r>
      <w:r>
        <w:rPr>
          <w:rStyle w:val="29"/>
          <w:rFonts w:hint="eastAsia" w:ascii="华文楷体" w:hAnsi="华文楷体" w:eastAsia="华文楷体" w:cs="宋体"/>
          <w:b/>
        </w:rPr>
        <w:t>第11条</w:t>
      </w:r>
      <w:r>
        <w:rPr>
          <w:rFonts w:ascii="华文楷体" w:hAnsi="华文楷体" w:eastAsia="华文楷体" w:cstheme="minorBidi"/>
          <w:b/>
          <w:sz w:val="21"/>
          <w:szCs w:val="22"/>
        </w:rPr>
        <w:tab/>
      </w:r>
      <w:r>
        <w:rPr>
          <w:rStyle w:val="29"/>
          <w:rFonts w:hint="eastAsia" w:ascii="华文楷体" w:hAnsi="华文楷体" w:eastAsia="华文楷体" w:cs="宋体"/>
          <w:b/>
        </w:rPr>
        <w:t>风险揭示与风险承担</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_Toc6397520 \h </w:instrText>
      </w:r>
      <w:r>
        <w:rPr>
          <w:rFonts w:ascii="华文楷体" w:hAnsi="华文楷体" w:eastAsia="华文楷体"/>
          <w:b/>
        </w:rPr>
        <w:fldChar w:fldCharType="separate"/>
      </w:r>
      <w:r>
        <w:rPr>
          <w:rFonts w:ascii="华文楷体" w:hAnsi="华文楷体" w:eastAsia="华文楷体"/>
          <w:b/>
        </w:rPr>
        <w:t>23</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"_Toc6397521" </w:instrText>
      </w:r>
      <w:r>
        <w:fldChar w:fldCharType="separate"/>
      </w:r>
      <w:r>
        <w:rPr>
          <w:rStyle w:val="29"/>
          <w:rFonts w:hint="eastAsia" w:ascii="华文楷体" w:hAnsi="华文楷体" w:eastAsia="华文楷体" w:cs="宋体"/>
          <w:b/>
        </w:rPr>
        <w:t>第12条</w:t>
      </w:r>
      <w:r>
        <w:rPr>
          <w:rFonts w:ascii="华文楷体" w:hAnsi="华文楷体" w:eastAsia="华文楷体" w:cstheme="minorBidi"/>
          <w:b/>
          <w:sz w:val="21"/>
          <w:szCs w:val="22"/>
        </w:rPr>
        <w:tab/>
      </w:r>
      <w:r>
        <w:rPr>
          <w:rStyle w:val="29"/>
          <w:rFonts w:hint="eastAsia" w:ascii="华文楷体" w:hAnsi="华文楷体" w:eastAsia="华文楷体" w:cs="宋体"/>
          <w:b/>
        </w:rPr>
        <w:t>信息的披露与通知</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_Toc6397521 \h </w:instrText>
      </w:r>
      <w:r>
        <w:rPr>
          <w:rFonts w:ascii="华文楷体" w:hAnsi="华文楷体" w:eastAsia="华文楷体"/>
          <w:b/>
        </w:rPr>
        <w:fldChar w:fldCharType="separate"/>
      </w:r>
      <w:r>
        <w:rPr>
          <w:rFonts w:ascii="华文楷体" w:hAnsi="华文楷体" w:eastAsia="华文楷体"/>
          <w:b/>
        </w:rPr>
        <w:t>27</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"_Toc6397522" </w:instrText>
      </w:r>
      <w:r>
        <w:fldChar w:fldCharType="separate"/>
      </w:r>
      <w:r>
        <w:rPr>
          <w:rStyle w:val="29"/>
          <w:rFonts w:hint="eastAsia" w:ascii="华文楷体" w:hAnsi="华文楷体" w:eastAsia="华文楷体" w:cs="宋体"/>
          <w:b/>
        </w:rPr>
        <w:t>第13条</w:t>
      </w:r>
      <w:r>
        <w:rPr>
          <w:rFonts w:ascii="华文楷体" w:hAnsi="华文楷体" w:eastAsia="华文楷体" w:cstheme="minorBidi"/>
          <w:b/>
          <w:sz w:val="21"/>
          <w:szCs w:val="22"/>
        </w:rPr>
        <w:tab/>
      </w:r>
      <w:r>
        <w:rPr>
          <w:rStyle w:val="29"/>
          <w:rFonts w:hint="eastAsia" w:ascii="华文楷体" w:hAnsi="华文楷体" w:eastAsia="华文楷体" w:cs="宋体"/>
          <w:b/>
        </w:rPr>
        <w:t>信托的终止、清算与信托财产的归属</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_Toc6397522 \h </w:instrText>
      </w:r>
      <w:r>
        <w:rPr>
          <w:rFonts w:ascii="华文楷体" w:hAnsi="华文楷体" w:eastAsia="华文楷体"/>
          <w:b/>
        </w:rPr>
        <w:fldChar w:fldCharType="separate"/>
      </w:r>
      <w:r>
        <w:rPr>
          <w:rFonts w:ascii="华文楷体" w:hAnsi="华文楷体" w:eastAsia="华文楷体"/>
          <w:b/>
        </w:rPr>
        <w:t>29</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"_Toc6397523" </w:instrText>
      </w:r>
      <w:r>
        <w:fldChar w:fldCharType="separate"/>
      </w:r>
      <w:r>
        <w:rPr>
          <w:rStyle w:val="29"/>
          <w:rFonts w:hint="eastAsia" w:ascii="华文楷体" w:hAnsi="华文楷体" w:eastAsia="华文楷体"/>
          <w:b/>
        </w:rPr>
        <w:t>第三章</w:t>
      </w:r>
      <w:r>
        <w:rPr>
          <w:rFonts w:ascii="华文楷体" w:hAnsi="华文楷体" w:eastAsia="华文楷体" w:cstheme="minorBidi"/>
          <w:b/>
          <w:sz w:val="21"/>
          <w:szCs w:val="22"/>
        </w:rPr>
        <w:tab/>
      </w:r>
      <w:r>
        <w:rPr>
          <w:rStyle w:val="29"/>
          <w:rFonts w:hint="eastAsia" w:ascii="华文楷体" w:hAnsi="华文楷体" w:eastAsia="华文楷体"/>
          <w:b/>
        </w:rPr>
        <w:t>信托当事人的权利与义务</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_Toc6397523 \h </w:instrText>
      </w:r>
      <w:r>
        <w:rPr>
          <w:rFonts w:ascii="华文楷体" w:hAnsi="华文楷体" w:eastAsia="华文楷体"/>
          <w:b/>
        </w:rPr>
        <w:fldChar w:fldCharType="separate"/>
      </w:r>
      <w:r>
        <w:rPr>
          <w:rFonts w:ascii="华文楷体" w:hAnsi="华文楷体" w:eastAsia="华文楷体"/>
          <w:b/>
        </w:rPr>
        <w:t>31</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"_Toc6397524" </w:instrText>
      </w:r>
      <w:r>
        <w:fldChar w:fldCharType="separate"/>
      </w:r>
      <w:r>
        <w:rPr>
          <w:rStyle w:val="29"/>
          <w:rFonts w:hint="eastAsia" w:ascii="华文楷体" w:hAnsi="华文楷体" w:eastAsia="华文楷体" w:cs="宋体"/>
          <w:b/>
        </w:rPr>
        <w:t>第14条</w:t>
      </w:r>
      <w:r>
        <w:rPr>
          <w:rFonts w:ascii="华文楷体" w:hAnsi="华文楷体" w:eastAsia="华文楷体" w:cstheme="minorBidi"/>
          <w:b/>
          <w:sz w:val="21"/>
          <w:szCs w:val="22"/>
        </w:rPr>
        <w:tab/>
      </w:r>
      <w:r>
        <w:rPr>
          <w:rStyle w:val="29"/>
          <w:rFonts w:hint="eastAsia" w:ascii="华文楷体" w:hAnsi="华文楷体" w:eastAsia="华文楷体" w:cs="宋体"/>
          <w:b/>
        </w:rPr>
        <w:t>委托人的权利义务</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_Toc6397524 \h </w:instrText>
      </w:r>
      <w:r>
        <w:rPr>
          <w:rFonts w:ascii="华文楷体" w:hAnsi="华文楷体" w:eastAsia="华文楷体"/>
          <w:b/>
        </w:rPr>
        <w:fldChar w:fldCharType="separate"/>
      </w:r>
      <w:r>
        <w:rPr>
          <w:rFonts w:ascii="华文楷体" w:hAnsi="华文楷体" w:eastAsia="华文楷体"/>
          <w:b/>
        </w:rPr>
        <w:t>31</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"_Toc6397525" </w:instrText>
      </w:r>
      <w:r>
        <w:fldChar w:fldCharType="separate"/>
      </w:r>
      <w:r>
        <w:rPr>
          <w:rStyle w:val="29"/>
          <w:rFonts w:hint="eastAsia" w:ascii="华文楷体" w:hAnsi="华文楷体" w:eastAsia="华文楷体" w:cs="宋体"/>
          <w:b/>
        </w:rPr>
        <w:t>第15条</w:t>
      </w:r>
      <w:r>
        <w:rPr>
          <w:rFonts w:ascii="华文楷体" w:hAnsi="华文楷体" w:eastAsia="华文楷体" w:cstheme="minorBidi"/>
          <w:b/>
          <w:sz w:val="21"/>
          <w:szCs w:val="22"/>
        </w:rPr>
        <w:tab/>
      </w:r>
      <w:r>
        <w:rPr>
          <w:rStyle w:val="29"/>
          <w:rFonts w:hint="eastAsia" w:ascii="华文楷体" w:hAnsi="华文楷体" w:eastAsia="华文楷体" w:cs="宋体"/>
          <w:b/>
        </w:rPr>
        <w:t>受托人的权利义务</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_Toc6397525 \h </w:instrText>
      </w:r>
      <w:r>
        <w:rPr>
          <w:rFonts w:ascii="华文楷体" w:hAnsi="华文楷体" w:eastAsia="华文楷体"/>
          <w:b/>
        </w:rPr>
        <w:fldChar w:fldCharType="separate"/>
      </w:r>
      <w:r>
        <w:rPr>
          <w:rFonts w:ascii="华文楷体" w:hAnsi="华文楷体" w:eastAsia="华文楷体"/>
          <w:b/>
        </w:rPr>
        <w:t>33</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"_Toc6397526" </w:instrText>
      </w:r>
      <w:r>
        <w:fldChar w:fldCharType="separate"/>
      </w:r>
      <w:r>
        <w:rPr>
          <w:rStyle w:val="29"/>
          <w:rFonts w:hint="eastAsia" w:ascii="华文楷体" w:hAnsi="华文楷体" w:eastAsia="华文楷体" w:cs="宋体"/>
          <w:b/>
        </w:rPr>
        <w:t>第16条</w:t>
      </w:r>
      <w:r>
        <w:rPr>
          <w:rFonts w:ascii="华文楷体" w:hAnsi="华文楷体" w:eastAsia="华文楷体" w:cstheme="minorBidi"/>
          <w:b/>
          <w:sz w:val="21"/>
          <w:szCs w:val="22"/>
        </w:rPr>
        <w:tab/>
      </w:r>
      <w:r>
        <w:rPr>
          <w:rStyle w:val="29"/>
          <w:rFonts w:hint="eastAsia" w:ascii="华文楷体" w:hAnsi="华文楷体" w:eastAsia="华文楷体" w:cs="宋体"/>
          <w:b/>
        </w:rPr>
        <w:t>受益人的权利义务</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_Toc6397526 \h </w:instrText>
      </w:r>
      <w:r>
        <w:rPr>
          <w:rFonts w:ascii="华文楷体" w:hAnsi="华文楷体" w:eastAsia="华文楷体"/>
          <w:b/>
        </w:rPr>
        <w:fldChar w:fldCharType="separate"/>
      </w:r>
      <w:r>
        <w:rPr>
          <w:rFonts w:ascii="华文楷体" w:hAnsi="华文楷体" w:eastAsia="华文楷体"/>
          <w:b/>
        </w:rPr>
        <w:t>37</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"_Toc6397527" </w:instrText>
      </w:r>
      <w:r>
        <w:fldChar w:fldCharType="separate"/>
      </w:r>
      <w:r>
        <w:rPr>
          <w:rStyle w:val="29"/>
          <w:rFonts w:hint="eastAsia" w:ascii="华文楷体" w:hAnsi="华文楷体" w:eastAsia="华文楷体" w:cs="宋体"/>
          <w:b/>
        </w:rPr>
        <w:t>第17条</w:t>
      </w:r>
      <w:r>
        <w:rPr>
          <w:rFonts w:ascii="华文楷体" w:hAnsi="华文楷体" w:eastAsia="华文楷体" w:cstheme="minorBidi"/>
          <w:b/>
          <w:sz w:val="21"/>
          <w:szCs w:val="22"/>
        </w:rPr>
        <w:tab/>
      </w:r>
      <w:r>
        <w:rPr>
          <w:rStyle w:val="29"/>
          <w:rFonts w:hint="eastAsia" w:ascii="华文楷体" w:hAnsi="华文楷体" w:eastAsia="华文楷体"/>
          <w:b/>
        </w:rPr>
        <w:t>监察人的权利义务</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_Toc6397527 \h </w:instrText>
      </w:r>
      <w:r>
        <w:rPr>
          <w:rFonts w:ascii="华文楷体" w:hAnsi="华文楷体" w:eastAsia="华文楷体"/>
          <w:b/>
        </w:rPr>
        <w:fldChar w:fldCharType="separate"/>
      </w:r>
      <w:r>
        <w:rPr>
          <w:rFonts w:ascii="华文楷体" w:hAnsi="华文楷体" w:eastAsia="华文楷体"/>
          <w:b/>
        </w:rPr>
        <w:t>39</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050"/>
          <w:tab w:val="right" w:leader="dot" w:pos="7939"/>
        </w:tabs>
        <w:spacing w:before="156"/>
        <w:rPr>
          <w:rFonts w:ascii="华文楷体" w:hAnsi="华文楷体" w:eastAsia="华文楷体" w:cstheme="minorBidi"/>
          <w:b/>
          <w:sz w:val="21"/>
          <w:szCs w:val="22"/>
        </w:rPr>
      </w:pPr>
      <w:r>
        <w:fldChar w:fldCharType="begin"/>
      </w:r>
      <w:r>
        <w:instrText xml:space="preserve"> HYPERLINK \l "_Toc6397528" </w:instrText>
      </w:r>
      <w:r>
        <w:fldChar w:fldCharType="separate"/>
      </w:r>
      <w:r>
        <w:rPr>
          <w:rStyle w:val="29"/>
          <w:rFonts w:hint="eastAsia" w:ascii="华文楷体" w:hAnsi="华文楷体" w:eastAsia="华文楷体"/>
          <w:b/>
        </w:rPr>
        <w:t>第四章</w:t>
      </w:r>
      <w:r>
        <w:rPr>
          <w:rFonts w:ascii="华文楷体" w:hAnsi="华文楷体" w:eastAsia="华文楷体" w:cstheme="minorBidi"/>
          <w:b/>
          <w:sz w:val="21"/>
          <w:szCs w:val="22"/>
        </w:rPr>
        <w:tab/>
      </w:r>
      <w:r>
        <w:rPr>
          <w:rStyle w:val="29"/>
          <w:rFonts w:hint="eastAsia" w:ascii="华文楷体" w:hAnsi="华文楷体" w:eastAsia="华文楷体"/>
          <w:b/>
        </w:rPr>
        <w:t>信托的法律适用及其他</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_Toc6397528 \h </w:instrText>
      </w:r>
      <w:r>
        <w:rPr>
          <w:rFonts w:ascii="华文楷体" w:hAnsi="华文楷体" w:eastAsia="华文楷体"/>
          <w:b/>
        </w:rPr>
        <w:fldChar w:fldCharType="separate"/>
      </w:r>
      <w:r>
        <w:rPr>
          <w:rFonts w:ascii="华文楷体" w:hAnsi="华文楷体" w:eastAsia="华文楷体"/>
          <w:b/>
        </w:rPr>
        <w:t>40</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"_Toc6397529" </w:instrText>
      </w:r>
      <w:r>
        <w:fldChar w:fldCharType="separate"/>
      </w:r>
      <w:r>
        <w:rPr>
          <w:rStyle w:val="29"/>
          <w:rFonts w:hint="eastAsia" w:ascii="华文楷体" w:hAnsi="华文楷体" w:eastAsia="华文楷体" w:cs="宋体"/>
          <w:b/>
        </w:rPr>
        <w:t>第18条</w:t>
      </w:r>
      <w:r>
        <w:rPr>
          <w:rFonts w:ascii="华文楷体" w:hAnsi="华文楷体" w:eastAsia="华文楷体" w:cstheme="minorBidi"/>
          <w:b/>
          <w:sz w:val="21"/>
          <w:szCs w:val="22"/>
        </w:rPr>
        <w:tab/>
      </w:r>
      <w:r>
        <w:rPr>
          <w:rStyle w:val="29"/>
          <w:rFonts w:hint="eastAsia" w:ascii="华文楷体" w:hAnsi="华文楷体" w:eastAsia="华文楷体" w:cs="宋体"/>
          <w:b/>
        </w:rPr>
        <w:t>信托合同的效力及其他</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_Toc6397529 \h </w:instrText>
      </w:r>
      <w:r>
        <w:rPr>
          <w:rFonts w:ascii="华文楷体" w:hAnsi="华文楷体" w:eastAsia="华文楷体"/>
          <w:b/>
        </w:rPr>
        <w:fldChar w:fldCharType="separate"/>
      </w:r>
      <w:r>
        <w:rPr>
          <w:rFonts w:ascii="华文楷体" w:hAnsi="华文楷体" w:eastAsia="华文楷体"/>
          <w:b/>
        </w:rPr>
        <w:t>40</w:t>
      </w:r>
      <w:r>
        <w:rPr>
          <w:rFonts w:ascii="华文楷体" w:hAnsi="华文楷体" w:eastAsia="华文楷体"/>
          <w:b/>
        </w:rPr>
        <w:fldChar w:fldCharType="end"/>
      </w:r>
      <w:r>
        <w:rPr>
          <w:rFonts w:ascii="华文楷体" w:hAnsi="华文楷体" w:eastAsia="华文楷体"/>
          <w:b/>
        </w:rPr>
        <w:fldChar w:fldCharType="end"/>
      </w:r>
    </w:p>
    <w:p>
      <w:pPr>
        <w:pStyle w:val="15"/>
        <w:tabs>
          <w:tab w:val="left" w:pos="1260"/>
          <w:tab w:val="right" w:leader="dot" w:pos="7939"/>
        </w:tabs>
        <w:spacing w:before="156"/>
        <w:rPr>
          <w:rFonts w:ascii="华文楷体" w:hAnsi="华文楷体" w:eastAsia="华文楷体" w:cstheme="minorBidi"/>
          <w:b/>
          <w:sz w:val="21"/>
          <w:szCs w:val="22"/>
        </w:rPr>
      </w:pPr>
      <w:r>
        <w:fldChar w:fldCharType="begin"/>
      </w:r>
      <w:r>
        <w:instrText xml:space="preserve"> HYPERLINK \l "_Toc6397530" </w:instrText>
      </w:r>
      <w:r>
        <w:fldChar w:fldCharType="separate"/>
      </w:r>
      <w:r>
        <w:rPr>
          <w:rStyle w:val="29"/>
          <w:rFonts w:hint="eastAsia" w:ascii="华文楷体" w:hAnsi="华文楷体" w:eastAsia="华文楷体" w:cs="宋体"/>
          <w:b/>
        </w:rPr>
        <w:t>第19条</w:t>
      </w:r>
      <w:r>
        <w:rPr>
          <w:rFonts w:ascii="华文楷体" w:hAnsi="华文楷体" w:eastAsia="华文楷体" w:cstheme="minorBidi"/>
          <w:b/>
          <w:sz w:val="21"/>
          <w:szCs w:val="22"/>
        </w:rPr>
        <w:tab/>
      </w:r>
      <w:r>
        <w:rPr>
          <w:rStyle w:val="29"/>
          <w:rFonts w:hint="eastAsia" w:ascii="华文楷体" w:hAnsi="华文楷体" w:eastAsia="华文楷体" w:cs="宋体"/>
          <w:b/>
        </w:rPr>
        <w:t>联络和通知</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_Toc6397530 \h </w:instrText>
      </w:r>
      <w:r>
        <w:rPr>
          <w:rFonts w:ascii="华文楷体" w:hAnsi="华文楷体" w:eastAsia="华文楷体"/>
          <w:b/>
        </w:rPr>
        <w:fldChar w:fldCharType="separate"/>
      </w:r>
      <w:r>
        <w:rPr>
          <w:rFonts w:ascii="华文楷体" w:hAnsi="华文楷体" w:eastAsia="华文楷体"/>
          <w:b/>
        </w:rPr>
        <w:t>42</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"_Toc6397531" </w:instrText>
      </w:r>
      <w:r>
        <w:fldChar w:fldCharType="separate"/>
      </w:r>
      <w:r>
        <w:rPr>
          <w:rStyle w:val="29"/>
          <w:rFonts w:hint="eastAsia" w:ascii="华文楷体" w:hAnsi="华文楷体" w:eastAsia="华文楷体"/>
          <w:b/>
        </w:rPr>
        <w:t>附件</w:t>
      </w:r>
      <w:r>
        <w:rPr>
          <w:rStyle w:val="29"/>
          <w:rFonts w:ascii="华文楷体" w:hAnsi="华文楷体" w:eastAsia="华文楷体"/>
          <w:b/>
        </w:rPr>
        <w:t>1</w:t>
      </w:r>
      <w:r>
        <w:rPr>
          <w:rStyle w:val="29"/>
          <w:rFonts w:hint="eastAsia" w:ascii="华文楷体" w:hAnsi="华文楷体" w:eastAsia="华文楷体"/>
          <w:b/>
        </w:rPr>
        <w:t>《个人财产申明函》</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_Toc6397531 \h </w:instrText>
      </w:r>
      <w:r>
        <w:rPr>
          <w:rFonts w:ascii="华文楷体" w:hAnsi="华文楷体" w:eastAsia="华文楷体"/>
          <w:b/>
        </w:rPr>
        <w:fldChar w:fldCharType="separate"/>
      </w:r>
      <w:r>
        <w:rPr>
          <w:rFonts w:ascii="华文楷体" w:hAnsi="华文楷体" w:eastAsia="华文楷体"/>
          <w:b/>
        </w:rPr>
        <w:t>45</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"_Toc6397532" </w:instrText>
      </w:r>
      <w:r>
        <w:fldChar w:fldCharType="separate"/>
      </w:r>
      <w:r>
        <w:rPr>
          <w:rStyle w:val="29"/>
          <w:rFonts w:hint="eastAsia" w:ascii="华文楷体" w:hAnsi="华文楷体" w:eastAsia="华文楷体"/>
          <w:b/>
        </w:rPr>
        <w:t>附件</w:t>
      </w:r>
      <w:r>
        <w:rPr>
          <w:rStyle w:val="29"/>
          <w:rFonts w:ascii="华文楷体" w:hAnsi="华文楷体" w:eastAsia="华文楷体"/>
          <w:b/>
        </w:rPr>
        <w:t>2</w:t>
      </w:r>
      <w:r>
        <w:rPr>
          <w:rStyle w:val="29"/>
          <w:rFonts w:hint="eastAsia" w:ascii="华文楷体" w:hAnsi="华文楷体" w:eastAsia="华文楷体"/>
          <w:b/>
        </w:rPr>
        <w:t>《信托分配方案》</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_Toc6397532 \h </w:instrText>
      </w:r>
      <w:r>
        <w:rPr>
          <w:rFonts w:ascii="华文楷体" w:hAnsi="华文楷体" w:eastAsia="华文楷体"/>
          <w:b/>
        </w:rPr>
        <w:fldChar w:fldCharType="separate"/>
      </w:r>
      <w:r>
        <w:rPr>
          <w:rFonts w:ascii="华文楷体" w:hAnsi="华文楷体" w:eastAsia="华文楷体"/>
          <w:b/>
        </w:rPr>
        <w:t>46</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"_Toc6397533" </w:instrText>
      </w:r>
      <w:r>
        <w:fldChar w:fldCharType="separate"/>
      </w:r>
      <w:r>
        <w:rPr>
          <w:rStyle w:val="29"/>
          <w:rFonts w:hint="eastAsia" w:ascii="华文楷体" w:hAnsi="华文楷体" w:eastAsia="华文楷体"/>
          <w:b/>
        </w:rPr>
        <w:t>附件</w:t>
      </w:r>
      <w:r>
        <w:rPr>
          <w:rStyle w:val="29"/>
          <w:rFonts w:ascii="华文楷体" w:hAnsi="华文楷体" w:eastAsia="华文楷体"/>
          <w:b/>
        </w:rPr>
        <w:t>3</w:t>
      </w:r>
      <w:r>
        <w:rPr>
          <w:rStyle w:val="29"/>
          <w:rFonts w:hint="eastAsia" w:ascii="华文楷体" w:hAnsi="华文楷体" w:eastAsia="华文楷体"/>
          <w:b/>
        </w:rPr>
        <w:t>《信托费用明细》</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_Toc6397533 \h </w:instrText>
      </w:r>
      <w:r>
        <w:rPr>
          <w:rFonts w:ascii="华文楷体" w:hAnsi="华文楷体" w:eastAsia="华文楷体"/>
          <w:b/>
        </w:rPr>
        <w:fldChar w:fldCharType="separate"/>
      </w:r>
      <w:r>
        <w:rPr>
          <w:rFonts w:ascii="华文楷体" w:hAnsi="华文楷体" w:eastAsia="华文楷体"/>
          <w:b/>
        </w:rPr>
        <w:t>54</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"_Toc6397534" </w:instrText>
      </w:r>
      <w:r>
        <w:fldChar w:fldCharType="separate"/>
      </w:r>
      <w:r>
        <w:rPr>
          <w:rStyle w:val="29"/>
          <w:rFonts w:hint="eastAsia" w:ascii="华文楷体" w:hAnsi="华文楷体" w:eastAsia="华文楷体"/>
          <w:b/>
        </w:rPr>
        <w:t>附件</w:t>
      </w:r>
      <w:r>
        <w:rPr>
          <w:rStyle w:val="29"/>
          <w:rFonts w:ascii="华文楷体" w:hAnsi="华文楷体" w:eastAsia="华文楷体"/>
          <w:b/>
        </w:rPr>
        <w:t>4</w:t>
      </w:r>
      <w:r>
        <w:rPr>
          <w:rStyle w:val="29"/>
          <w:rFonts w:hint="eastAsia" w:ascii="华文楷体" w:hAnsi="华文楷体" w:eastAsia="华文楷体"/>
          <w:b/>
        </w:rPr>
        <w:t>《信托财产投资管理约定函》</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_Toc6397534 \h </w:instrText>
      </w:r>
      <w:r>
        <w:rPr>
          <w:rFonts w:ascii="华文楷体" w:hAnsi="华文楷体" w:eastAsia="华文楷体"/>
          <w:b/>
        </w:rPr>
        <w:fldChar w:fldCharType="separate"/>
      </w:r>
      <w:r>
        <w:rPr>
          <w:rFonts w:ascii="华文楷体" w:hAnsi="华文楷体" w:eastAsia="华文楷体"/>
          <w:b/>
        </w:rPr>
        <w:t>59</w:t>
      </w:r>
      <w:r>
        <w:rPr>
          <w:rFonts w:ascii="华文楷体" w:hAnsi="华文楷体" w:eastAsia="华文楷体"/>
          <w:b/>
        </w:rPr>
        <w:fldChar w:fldCharType="end"/>
      </w:r>
      <w:r>
        <w:rPr>
          <w:rFonts w:ascii="华文楷体" w:hAnsi="华文楷体" w:eastAsia="华文楷体"/>
          <w:b/>
        </w:rPr>
        <w:fldChar w:fldCharType="end"/>
      </w:r>
    </w:p>
    <w:p>
      <w:pPr>
        <w:pStyle w:val="15"/>
        <w:tabs>
          <w:tab w:val="right" w:leader="dot" w:pos="7939"/>
        </w:tabs>
        <w:spacing w:before="156"/>
        <w:rPr>
          <w:rFonts w:ascii="华文楷体" w:hAnsi="华文楷体" w:eastAsia="华文楷体" w:cstheme="minorBidi"/>
          <w:b/>
          <w:sz w:val="21"/>
          <w:szCs w:val="22"/>
        </w:rPr>
      </w:pPr>
      <w:r>
        <w:fldChar w:fldCharType="begin"/>
      </w:r>
      <w:r>
        <w:instrText xml:space="preserve"> HYPERLINK \l "_Toc6397535" </w:instrText>
      </w:r>
      <w:r>
        <w:fldChar w:fldCharType="separate"/>
      </w:r>
      <w:r>
        <w:rPr>
          <w:rStyle w:val="29"/>
          <w:rFonts w:hint="eastAsia" w:ascii="华文楷体" w:hAnsi="华文楷体" w:eastAsia="华文楷体"/>
          <w:b/>
        </w:rPr>
        <w:t>附件</w:t>
      </w:r>
      <w:r>
        <w:rPr>
          <w:rStyle w:val="29"/>
          <w:rFonts w:ascii="华文楷体" w:hAnsi="华文楷体" w:eastAsia="华文楷体"/>
          <w:b/>
        </w:rPr>
        <w:t>5</w:t>
      </w:r>
      <w:r>
        <w:rPr>
          <w:rStyle w:val="29"/>
          <w:rFonts w:hint="eastAsia" w:ascii="华文楷体" w:hAnsi="华文楷体" w:eastAsia="华文楷体"/>
          <w:b/>
        </w:rPr>
        <w:t>《信托财产估值规则》</w:t>
      </w:r>
      <w:r>
        <w:rPr>
          <w:rFonts w:ascii="华文楷体" w:hAnsi="华文楷体" w:eastAsia="华文楷体"/>
          <w:b/>
        </w:rPr>
        <w:tab/>
      </w:r>
      <w:r>
        <w:rPr>
          <w:rFonts w:ascii="华文楷体" w:hAnsi="华文楷体" w:eastAsia="华文楷体"/>
          <w:b/>
        </w:rPr>
        <w:fldChar w:fldCharType="begin"/>
      </w:r>
      <w:r>
        <w:rPr>
          <w:rFonts w:ascii="华文楷体" w:hAnsi="华文楷体" w:eastAsia="华文楷体"/>
          <w:b/>
        </w:rPr>
        <w:instrText xml:space="preserve"> PAGEREF _Toc6397535 \h </w:instrText>
      </w:r>
      <w:r>
        <w:rPr>
          <w:rFonts w:ascii="华文楷体" w:hAnsi="华文楷体" w:eastAsia="华文楷体"/>
          <w:b/>
        </w:rPr>
        <w:fldChar w:fldCharType="separate"/>
      </w:r>
      <w:r>
        <w:rPr>
          <w:rFonts w:ascii="华文楷体" w:hAnsi="华文楷体" w:eastAsia="华文楷体"/>
          <w:b/>
        </w:rPr>
        <w:t>63</w:t>
      </w:r>
      <w:r>
        <w:rPr>
          <w:rFonts w:ascii="华文楷体" w:hAnsi="华文楷体" w:eastAsia="华文楷体"/>
          <w:b/>
        </w:rPr>
        <w:fldChar w:fldCharType="end"/>
      </w:r>
      <w:r>
        <w:rPr>
          <w:rFonts w:ascii="华文楷体" w:hAnsi="华文楷体" w:eastAsia="华文楷体"/>
          <w:b/>
        </w:rPr>
        <w:fldChar w:fldCharType="end"/>
      </w:r>
    </w:p>
    <w:p>
      <w:pPr>
        <w:spacing w:line="360" w:lineRule="auto"/>
        <w:rPr>
          <w:rFonts w:ascii="华文楷体" w:hAnsi="华文楷体" w:eastAsia="华文楷体"/>
        </w:rPr>
        <w:sectPr>
          <w:pgSz w:w="11906" w:h="16838"/>
          <w:pgMar w:top="1440" w:right="1797" w:bottom="1440" w:left="2160" w:header="851" w:footer="992" w:gutter="0"/>
          <w:pgNumType w:start="0"/>
          <w:cols w:space="720" w:num="1"/>
          <w:titlePg/>
          <w:docGrid w:type="lines" w:linePitch="312" w:charSpace="0"/>
        </w:sectPr>
      </w:pPr>
      <w:r>
        <w:rPr>
          <w:rFonts w:ascii="华文楷体" w:hAnsi="华文楷体" w:eastAsia="华文楷体"/>
          <w:b/>
        </w:rPr>
        <w:fldChar w:fldCharType="end"/>
      </w:r>
    </w:p>
    <w:p>
      <w:pPr>
        <w:pStyle w:val="2"/>
        <w:keepNext w:val="0"/>
        <w:tabs>
          <w:tab w:val="left" w:pos="1276"/>
        </w:tabs>
        <w:adjustRightInd w:val="0"/>
        <w:snapToGrid w:val="0"/>
        <w:spacing w:line="360" w:lineRule="auto"/>
        <w:ind w:firstLine="3187" w:firstLineChars="995"/>
        <w:jc w:val="both"/>
        <w:rPr>
          <w:rFonts w:ascii="华文楷体" w:hAnsi="华文楷体" w:eastAsia="华文楷体"/>
          <w:color w:val="auto"/>
          <w:sz w:val="32"/>
          <w:szCs w:val="28"/>
        </w:rPr>
      </w:pPr>
      <w:bookmarkStart w:id="28" w:name="_Toc6397506"/>
      <w:r>
        <w:rPr>
          <w:rFonts w:hint="eastAsia" w:ascii="华文楷体" w:hAnsi="华文楷体" w:eastAsia="华文楷体"/>
          <w:color w:val="auto"/>
          <w:sz w:val="32"/>
          <w:szCs w:val="28"/>
        </w:rPr>
        <w:t>前  言</w:t>
      </w:r>
      <w:bookmarkEnd w:id="26"/>
      <w:bookmarkEnd w:id="27"/>
      <w:bookmarkEnd w:id="28"/>
    </w:p>
    <w:p>
      <w:pPr>
        <w:tabs>
          <w:tab w:val="left" w:pos="1276"/>
        </w:tabs>
        <w:spacing w:line="360" w:lineRule="auto"/>
        <w:ind w:firstLine="420" w:firstLineChars="200"/>
        <w:rPr>
          <w:rFonts w:ascii="华文楷体" w:hAnsi="华文楷体" w:eastAsia="华文楷体"/>
        </w:rPr>
      </w:pP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根据《中华人民共和国信托法》以及其他有关法律、行政法规，在平等自愿、诚实信用、充分保护委托人、受益人合法权益的原则基础上，订立信托合同。</w:t>
      </w: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信托合同是规定信托合同当事人之间权利义务关系的基本法律文件，其他与本信托相关的涉及信托合同当事人之间权利义务关系的任何文件或表述，均以信托合同为准。信托合同未约定的，信托合同当事人按照《中华人民共和国信托法》及其他有关法律、行政法规的规定享有权利、承担义务。</w:t>
      </w:r>
    </w:p>
    <w:p>
      <w:pPr>
        <w:tabs>
          <w:tab w:val="left" w:pos="1276"/>
        </w:tabs>
        <w:adjustRightInd w:val="0"/>
        <w:snapToGrid w:val="0"/>
        <w:spacing w:line="360" w:lineRule="auto"/>
        <w:ind w:firstLine="480" w:firstLineChars="200"/>
        <w:rPr>
          <w:rFonts w:ascii="华文楷体" w:hAnsi="华文楷体" w:eastAsia="华文楷体"/>
          <w:sz w:val="24"/>
        </w:rPr>
      </w:pPr>
      <w:r>
        <w:rPr>
          <w:rFonts w:hint="eastAsia" w:ascii="华文楷体" w:hAnsi="华文楷体" w:eastAsia="华文楷体"/>
          <w:sz w:val="24"/>
        </w:rPr>
        <w:t>本信托由受托人按照信托合同、《中华人民共和国信托法》及其他有关法律、行政法规的规定设立。受托人将按照本合同恪尽职守，履行诚实、信用、谨慎、有效管理的义务，但并不保证信托财产的运用无风险，也不保证最低收益。</w:t>
      </w:r>
    </w:p>
    <w:p>
      <w:pPr>
        <w:tabs>
          <w:tab w:val="left" w:pos="1276"/>
        </w:tabs>
        <w:adjustRightInd w:val="0"/>
        <w:snapToGrid w:val="0"/>
        <w:spacing w:line="360" w:lineRule="auto"/>
        <w:ind w:firstLine="480" w:firstLineChars="200"/>
        <w:rPr>
          <w:rFonts w:ascii="华文楷体" w:hAnsi="华文楷体" w:eastAsia="华文楷体"/>
          <w:sz w:val="24"/>
        </w:rPr>
      </w:pPr>
      <w:r>
        <w:rPr>
          <w:rFonts w:ascii="华文楷体" w:hAnsi="华文楷体" w:eastAsia="华文楷体"/>
          <w:sz w:val="24"/>
        </w:rPr>
        <w:br w:type="page"/>
      </w:r>
    </w:p>
    <w:p>
      <w:pPr>
        <w:pStyle w:val="2"/>
        <w:keepNext w:val="0"/>
        <w:tabs>
          <w:tab w:val="left" w:pos="1276"/>
        </w:tabs>
        <w:adjustRightInd w:val="0"/>
        <w:snapToGrid w:val="0"/>
        <w:spacing w:line="360" w:lineRule="auto"/>
        <w:rPr>
          <w:rFonts w:ascii="华文楷体" w:hAnsi="华文楷体" w:eastAsia="华文楷体"/>
          <w:color w:val="auto"/>
          <w:sz w:val="32"/>
          <w:szCs w:val="28"/>
        </w:rPr>
      </w:pPr>
      <w:bookmarkStart w:id="29" w:name="_Toc493768134"/>
      <w:bookmarkStart w:id="30" w:name="_Toc421520867"/>
      <w:bookmarkStart w:id="31" w:name="_Toc421189315"/>
      <w:bookmarkStart w:id="32" w:name="_Toc6397507"/>
      <w:r>
        <w:rPr>
          <w:rFonts w:hint="eastAsia" w:ascii="华文楷体" w:hAnsi="华文楷体" w:eastAsia="华文楷体"/>
          <w:color w:val="auto"/>
          <w:sz w:val="32"/>
          <w:szCs w:val="28"/>
        </w:rPr>
        <w:t>信托的释义</w:t>
      </w:r>
      <w:bookmarkEnd w:id="29"/>
      <w:bookmarkEnd w:id="30"/>
      <w:bookmarkEnd w:id="31"/>
      <w:bookmarkEnd w:id="32"/>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b w:val="0"/>
          <w:bCs w:val="0"/>
          <w:sz w:val="24"/>
        </w:rPr>
      </w:pPr>
      <w:bookmarkStart w:id="33" w:name="_Toc325723978"/>
      <w:bookmarkStart w:id="34" w:name="_Toc421189316"/>
      <w:bookmarkStart w:id="35" w:name="_Toc297378531"/>
      <w:bookmarkStart w:id="36" w:name="_Toc421520868"/>
      <w:bookmarkStart w:id="37" w:name="_Toc217903213"/>
      <w:bookmarkStart w:id="38" w:name="_Toc6397508"/>
      <w:r>
        <w:rPr>
          <w:rFonts w:hint="eastAsia" w:ascii="华文楷体" w:hAnsi="华文楷体" w:eastAsia="华文楷体" w:cs="宋体"/>
          <w:color w:val="auto"/>
          <w:sz w:val="24"/>
          <w:szCs w:val="24"/>
        </w:rPr>
        <w:t>释义</w:t>
      </w:r>
      <w:bookmarkEnd w:id="33"/>
      <w:bookmarkEnd w:id="34"/>
      <w:bookmarkEnd w:id="35"/>
      <w:bookmarkEnd w:id="36"/>
      <w:bookmarkEnd w:id="37"/>
      <w:bookmarkEnd w:id="38"/>
    </w:p>
    <w:p>
      <w:pPr>
        <w:pStyle w:val="3"/>
        <w:keepNext w:val="0"/>
        <w:keepLines w:val="0"/>
        <w:spacing w:before="0" w:after="0" w:line="360" w:lineRule="auto"/>
        <w:rPr>
          <w:rFonts w:ascii="华文楷体" w:hAnsi="华文楷体" w:eastAsia="华文楷体"/>
        </w:rPr>
      </w:pPr>
      <w:bookmarkStart w:id="39" w:name="_Hlt157495317"/>
      <w:bookmarkEnd w:id="39"/>
      <w:r>
        <w:rPr>
          <w:rFonts w:hint="eastAsia" w:ascii="华文楷体" w:hAnsi="华文楷体" w:eastAsia="华文楷体"/>
        </w:rPr>
        <w:t>1.1. 定义</w:t>
      </w:r>
    </w:p>
    <w:p>
      <w:pPr>
        <w:tabs>
          <w:tab w:val="left" w:pos="1276"/>
        </w:tabs>
        <w:adjustRightInd w:val="0"/>
        <w:snapToGrid w:val="0"/>
        <w:spacing w:line="360" w:lineRule="auto"/>
        <w:ind w:firstLine="480" w:firstLineChars="200"/>
        <w:jc w:val="left"/>
        <w:rPr>
          <w:rFonts w:ascii="华文楷体" w:hAnsi="华文楷体" w:eastAsia="华文楷体" w:cs="宋体"/>
          <w:bCs/>
          <w:sz w:val="24"/>
        </w:rPr>
      </w:pPr>
      <w:r>
        <w:rPr>
          <w:rFonts w:hint="eastAsia" w:ascii="华文楷体" w:hAnsi="华文楷体" w:eastAsia="华文楷体" w:cs="宋体"/>
          <w:bCs/>
          <w:sz w:val="24"/>
        </w:rPr>
        <w:t>在信托合同中，除非上下文另有解释，下列词语具有以下含义：</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委托人</w:t>
      </w:r>
      <w:r>
        <w:rPr>
          <w:rFonts w:hint="eastAsia" w:ascii="华文楷体" w:hAnsi="华文楷体" w:eastAsia="华文楷体" w:cs="宋体"/>
          <w:sz w:val="24"/>
        </w:rPr>
        <w:t>：</w:t>
      </w:r>
      <w:r>
        <w:rPr>
          <w:rFonts w:hint="eastAsia" w:ascii="华文楷体" w:hAnsi="华文楷体" w:eastAsia="华文楷体" w:cs="宋体"/>
          <w:color w:val="000000"/>
          <w:sz w:val="24"/>
        </w:rPr>
        <w:t>指交付资产设立本信托的具有完全民事行为能力的自然人</w:t>
      </w:r>
      <w:r>
        <w:rPr>
          <w:rFonts w:hint="eastAsia" w:ascii="华文楷体" w:hAnsi="华文楷体" w:eastAsia="华文楷体" w:cs="宋体"/>
          <w:sz w:val="24"/>
        </w:rPr>
        <w:t>。本信托委托人信息详见本合同附件</w:t>
      </w:r>
      <w:r>
        <w:rPr>
          <w:rFonts w:ascii="华文楷体" w:hAnsi="华文楷体" w:eastAsia="华文楷体" w:cs="宋体"/>
          <w:sz w:val="24"/>
        </w:rPr>
        <w:t>2</w:t>
      </w:r>
      <w:r>
        <w:rPr>
          <w:rFonts w:hint="eastAsia" w:ascii="华文楷体" w:hAnsi="华文楷体" w:eastAsia="华文楷体" w:cs="宋体"/>
          <w:sz w:val="24"/>
        </w:rPr>
        <w:t>《信托分配方案》。</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受托人</w:t>
      </w:r>
      <w:r>
        <w:rPr>
          <w:rFonts w:hint="eastAsia" w:ascii="华文楷体" w:hAnsi="华文楷体" w:eastAsia="华文楷体" w:cs="宋体"/>
          <w:sz w:val="24"/>
        </w:rPr>
        <w:t>：指长安国际信托股份有限公司。</w:t>
      </w:r>
    </w:p>
    <w:p>
      <w:pPr>
        <w:tabs>
          <w:tab w:val="left" w:pos="1276"/>
        </w:tabs>
        <w:adjustRightInd w:val="0"/>
        <w:snapToGrid w:val="0"/>
        <w:spacing w:line="360" w:lineRule="auto"/>
        <w:ind w:firstLine="480" w:firstLineChars="200"/>
        <w:jc w:val="left"/>
        <w:rPr>
          <w:rFonts w:ascii="华文楷体" w:hAnsi="华文楷体" w:eastAsia="华文楷体" w:cs="宋体"/>
          <w:b/>
          <w:sz w:val="24"/>
        </w:rPr>
      </w:pPr>
      <w:r>
        <w:rPr>
          <w:rFonts w:hint="eastAsia" w:ascii="华文楷体" w:hAnsi="华文楷体" w:eastAsia="华文楷体" w:cs="宋体"/>
          <w:b/>
          <w:sz w:val="24"/>
        </w:rPr>
        <w:t>财务顾问机构：</w:t>
      </w:r>
      <w:r>
        <w:rPr>
          <w:rFonts w:hint="eastAsia" w:ascii="华文楷体" w:hAnsi="华文楷体" w:eastAsia="华文楷体" w:cs="宋体"/>
          <w:sz w:val="24"/>
        </w:rPr>
        <w:t>指中国农业银行股份有限公司（以下简称“农业银行”）。</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本信托</w:t>
      </w:r>
      <w:r>
        <w:rPr>
          <w:rFonts w:hint="eastAsia" w:ascii="华文楷体" w:hAnsi="华文楷体" w:eastAsia="华文楷体" w:cs="宋体"/>
          <w:sz w:val="24"/>
        </w:rPr>
        <w:t>：指受托人接受委托人的委托，根据信托文件设立的本家族信托。</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风险申明书</w:t>
      </w:r>
      <w:r>
        <w:rPr>
          <w:rFonts w:hint="eastAsia" w:ascii="华文楷体" w:hAnsi="华文楷体" w:eastAsia="华文楷体" w:cs="宋体"/>
          <w:sz w:val="24"/>
        </w:rPr>
        <w:t>：指本家族信托的风险申明书。</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信托合同</w:t>
      </w:r>
      <w:r>
        <w:rPr>
          <w:rFonts w:hint="eastAsia" w:ascii="华文楷体" w:hAnsi="华文楷体" w:eastAsia="华文楷体" w:cs="宋体"/>
          <w:sz w:val="24"/>
        </w:rPr>
        <w:t>：指本合同及对本合同的任何有效修订或补充。</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信托分配方案</w:t>
      </w:r>
      <w:r>
        <w:rPr>
          <w:rFonts w:hint="eastAsia" w:ascii="华文楷体" w:hAnsi="华文楷体" w:eastAsia="华文楷体" w:cs="宋体"/>
          <w:sz w:val="24"/>
        </w:rPr>
        <w:t>：指本合同附件</w:t>
      </w:r>
      <w:r>
        <w:rPr>
          <w:rFonts w:ascii="华文楷体" w:hAnsi="华文楷体" w:eastAsia="华文楷体" w:cs="宋体"/>
          <w:sz w:val="24"/>
        </w:rPr>
        <w:t>2</w:t>
      </w:r>
      <w:r>
        <w:rPr>
          <w:rFonts w:hint="eastAsia" w:ascii="华文楷体" w:hAnsi="华文楷体" w:eastAsia="华文楷体" w:cs="宋体"/>
          <w:sz w:val="24"/>
        </w:rPr>
        <w:t>《信托分配方案》。</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投资管理及财务顾问合同：</w:t>
      </w:r>
      <w:r>
        <w:rPr>
          <w:rFonts w:hint="eastAsia" w:ascii="华文楷体" w:hAnsi="华文楷体" w:eastAsia="华文楷体" w:cs="宋体"/>
          <w:sz w:val="24"/>
        </w:rPr>
        <w:t>指《长安信托</w:t>
      </w:r>
      <w:r>
        <w:rPr>
          <w:rFonts w:ascii="华文楷体" w:hAnsi="华文楷体" w:eastAsia="华文楷体" w:cs="宋体"/>
          <w:sz w:val="24"/>
        </w:rPr>
        <w:t>▪</w:t>
      </w:r>
      <w:r>
        <w:rPr>
          <w:rFonts w:hint="eastAsia" w:ascii="华文楷体" w:hAnsi="华文楷体" w:eastAsia="华文楷体" w:cs="宋体"/>
          <w:sz w:val="24"/>
        </w:rPr>
        <w:t>恒字2019002号家族信托之投资管理及财务顾问合同》（合同编号为：长单恒字2019002号19661002-2）及对其任何有效修订或补充。</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ascii="华文楷体" w:hAnsi="华文楷体" w:eastAsia="华文楷体" w:cs="宋体"/>
          <w:b/>
          <w:sz w:val="24"/>
        </w:rPr>
        <w:t>资金保管合同</w:t>
      </w:r>
      <w:r>
        <w:rPr>
          <w:rFonts w:hint="eastAsia" w:ascii="华文楷体" w:hAnsi="华文楷体" w:eastAsia="华文楷体" w:cs="宋体"/>
          <w:b/>
          <w:sz w:val="24"/>
        </w:rPr>
        <w:t>：</w:t>
      </w:r>
      <w:r>
        <w:rPr>
          <w:rFonts w:hint="eastAsia" w:ascii="华文楷体" w:hAnsi="华文楷体" w:eastAsia="华文楷体" w:cs="宋体"/>
          <w:sz w:val="24"/>
        </w:rPr>
        <w:t>指《长安信托</w:t>
      </w:r>
      <w:r>
        <w:rPr>
          <w:rFonts w:ascii="华文楷体" w:hAnsi="华文楷体" w:eastAsia="华文楷体" w:cs="宋体"/>
          <w:sz w:val="24"/>
        </w:rPr>
        <w:t>▪</w:t>
      </w:r>
      <w:r>
        <w:rPr>
          <w:rFonts w:hint="eastAsia" w:ascii="华文楷体" w:hAnsi="华文楷体" w:eastAsia="华文楷体" w:cs="宋体"/>
          <w:sz w:val="24"/>
        </w:rPr>
        <w:t xml:space="preserve">恒字2019002号家族信托资金保管合同》（合同编号为：长单恒字2019002号19661002-3）及对其任何有效修订或补充。 </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信托文件</w:t>
      </w:r>
      <w:r>
        <w:rPr>
          <w:rFonts w:hint="eastAsia" w:ascii="华文楷体" w:hAnsi="华文楷体" w:eastAsia="华文楷体" w:cs="宋体"/>
          <w:sz w:val="24"/>
        </w:rPr>
        <w:t>：指信托合同、风险申明书及对其任何有效修订或补充，《投资管理及财务顾问合同》及对其任何有效修订或补充，《资金保管合同》及对其任何有效修订或补充，及在本信托设立和存续过程中各方当事人不时签署的其他相关法律文件。</w:t>
      </w:r>
    </w:p>
    <w:p>
      <w:pPr>
        <w:pStyle w:val="59"/>
        <w:tabs>
          <w:tab w:val="left" w:pos="1276"/>
        </w:tabs>
        <w:adjustRightInd w:val="0"/>
        <w:snapToGrid w:val="0"/>
        <w:spacing w:line="360" w:lineRule="auto"/>
        <w:ind w:firstLine="480"/>
        <w:rPr>
          <w:rFonts w:ascii="华文楷体" w:hAnsi="华文楷体" w:eastAsia="华文楷体" w:cs="宋体"/>
          <w:sz w:val="24"/>
        </w:rPr>
      </w:pPr>
      <w:r>
        <w:rPr>
          <w:rFonts w:hint="eastAsia" w:ascii="华文楷体" w:hAnsi="华文楷体" w:eastAsia="华文楷体" w:cs="宋体"/>
          <w:b/>
          <w:sz w:val="24"/>
        </w:rPr>
        <w:t>信托受益权</w:t>
      </w:r>
      <w:r>
        <w:rPr>
          <w:rFonts w:hint="eastAsia" w:ascii="华文楷体" w:hAnsi="华文楷体" w:eastAsia="华文楷体" w:cs="宋体"/>
          <w:sz w:val="24"/>
        </w:rPr>
        <w:t>：指受益人在本信托中享有的权利，包括但不限于取得受托人分配的信托利益的权利以及</w:t>
      </w:r>
      <w:r>
        <w:rPr>
          <w:rFonts w:hint="eastAsia" w:ascii="华文楷体" w:hAnsi="华文楷体" w:eastAsia="华文楷体" w:cs="宋体"/>
          <w:sz w:val="24"/>
          <w:szCs w:val="24"/>
        </w:rPr>
        <w:t>法律、行政法规规定的其他权利。</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信托利益</w:t>
      </w:r>
      <w:r>
        <w:rPr>
          <w:rFonts w:hint="eastAsia" w:ascii="华文楷体" w:hAnsi="华文楷体" w:eastAsia="华文楷体" w:cs="宋体"/>
          <w:sz w:val="24"/>
        </w:rPr>
        <w:t>：指受益人因享有信托受益权而根据信托文件的规定取得的受托人分配的信托财产</w:t>
      </w:r>
      <w:r>
        <w:rPr>
          <w:rFonts w:ascii="华文楷体" w:hAnsi="华文楷体" w:eastAsia="华文楷体" w:cs="宋体"/>
          <w:sz w:val="24"/>
        </w:rPr>
        <w:t>。</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受益人</w:t>
      </w:r>
      <w:r>
        <w:rPr>
          <w:rFonts w:hint="eastAsia" w:ascii="华文楷体" w:hAnsi="华文楷体" w:eastAsia="华文楷体" w:cs="宋体"/>
          <w:sz w:val="24"/>
        </w:rPr>
        <w:t>：指依据信托文件享有信托受益权的自然人、法人或者依法成立的其他组织。受益人信息详见本合同附件</w:t>
      </w:r>
      <w:r>
        <w:rPr>
          <w:rFonts w:ascii="华文楷体" w:hAnsi="华文楷体" w:eastAsia="华文楷体" w:cs="宋体"/>
          <w:sz w:val="24"/>
        </w:rPr>
        <w:t>2</w:t>
      </w:r>
      <w:r>
        <w:rPr>
          <w:rFonts w:hint="eastAsia" w:ascii="华文楷体" w:hAnsi="华文楷体" w:eastAsia="华文楷体" w:cs="宋体"/>
          <w:sz w:val="24"/>
        </w:rPr>
        <w:t>《信托分配方案》。</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监察人</w:t>
      </w:r>
      <w:r>
        <w:rPr>
          <w:rFonts w:hint="eastAsia" w:ascii="华文楷体" w:hAnsi="华文楷体" w:eastAsia="华文楷体" w:cs="宋体"/>
          <w:sz w:val="24"/>
        </w:rPr>
        <w:t>：指在信托存续期间，由委托人指定的且为受益人的利益行使监督信托的管理与信托利益分配的自然人、法人或者依法成立的其他组织。本信托中是否设立监察人由当事人按照合同约定</w:t>
      </w:r>
      <w:r>
        <w:rPr>
          <w:rFonts w:ascii="华文楷体" w:hAnsi="华文楷体" w:eastAsia="华文楷体" w:cs="宋体"/>
          <w:sz w:val="24"/>
        </w:rPr>
        <w:t>执行</w:t>
      </w:r>
      <w:r>
        <w:rPr>
          <w:rFonts w:hint="eastAsia" w:ascii="华文楷体" w:hAnsi="华文楷体" w:eastAsia="华文楷体" w:cs="宋体"/>
          <w:sz w:val="24"/>
        </w:rPr>
        <w:t>。</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生效受益人/退出受益人</w:t>
      </w:r>
      <w:r>
        <w:rPr>
          <w:rFonts w:hint="eastAsia" w:ascii="华文楷体" w:hAnsi="华文楷体" w:eastAsia="华文楷体" w:cs="宋体"/>
          <w:sz w:val="24"/>
        </w:rPr>
        <w:t>：委托人可以选择设置多顺位受益人，当且仅当前一顺位受益人死亡、放弃或被取消信托受益权时，与其相应的后一顺位受益人才享有实质性权益。享有实质性信托受益权的受益人为生效受益人，死亡或放弃或被取消信托受益权的受益人为退出受益人。</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信托资产</w:t>
      </w:r>
      <w:r>
        <w:rPr>
          <w:rFonts w:hint="eastAsia" w:ascii="华文楷体" w:hAnsi="华文楷体" w:eastAsia="华文楷体" w:cs="宋体"/>
          <w:sz w:val="24"/>
        </w:rPr>
        <w:t>：指委托人按照信托文件约定交付给受托人管理的资产，包括货币资金和非货币类财产。</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信托资金：</w:t>
      </w:r>
      <w:r>
        <w:rPr>
          <w:rFonts w:hint="eastAsia" w:ascii="华文楷体" w:hAnsi="华文楷体" w:eastAsia="华文楷体" w:cs="宋体"/>
          <w:sz w:val="24"/>
        </w:rPr>
        <w:t>信托财产中表现为货币形式的部分。</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信托财产</w:t>
      </w:r>
      <w:r>
        <w:rPr>
          <w:rFonts w:hint="eastAsia" w:ascii="华文楷体" w:hAnsi="华文楷体" w:eastAsia="华文楷体" w:cs="宋体"/>
          <w:sz w:val="24"/>
        </w:rPr>
        <w:t>：指信托资金和其他形式的财产及财产性权利，包括但不限于委托人交付、受托人确认接受的现金、金融理财产品及其他财产，以及受托人管理、运用、处分信托资金而产生的损益。</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信托专户</w:t>
      </w:r>
      <w:r>
        <w:rPr>
          <w:rFonts w:hint="eastAsia" w:ascii="华文楷体" w:hAnsi="华文楷体" w:eastAsia="华文楷体" w:cs="宋体"/>
          <w:sz w:val="24"/>
        </w:rPr>
        <w:t>：受托人在信托账户开户行以受托人名义开立的用于接收划入的信托资金、分配信托利益、扣划信托税费、保管、管理和运用信托资金的专用账户。本信托项下信托专户信息详见附件</w:t>
      </w:r>
      <w:r>
        <w:rPr>
          <w:rFonts w:ascii="华文楷体" w:hAnsi="华文楷体" w:eastAsia="华文楷体" w:cs="宋体"/>
          <w:sz w:val="24"/>
        </w:rPr>
        <w:t>2</w:t>
      </w:r>
      <w:r>
        <w:rPr>
          <w:rFonts w:hint="eastAsia" w:ascii="华文楷体" w:hAnsi="华文楷体" w:eastAsia="华文楷体" w:cs="宋体"/>
          <w:sz w:val="24"/>
        </w:rPr>
        <w:t>《信托分配方案》。</w:t>
      </w:r>
    </w:p>
    <w:p>
      <w:pPr>
        <w:pStyle w:val="57"/>
        <w:ind w:left="0" w:firstLine="420"/>
        <w:rPr>
          <w:rFonts w:ascii="华文楷体" w:hAnsi="华文楷体" w:eastAsia="华文楷体"/>
        </w:rPr>
      </w:pPr>
      <w:r>
        <w:rPr>
          <w:rFonts w:hint="eastAsia" w:ascii="华文楷体" w:hAnsi="华文楷体" w:eastAsia="华文楷体"/>
        </w:rPr>
        <w:t>委托投资资产：</w:t>
      </w:r>
      <w:r>
        <w:rPr>
          <w:rFonts w:hint="eastAsia" w:ascii="华文楷体" w:hAnsi="华文楷体" w:eastAsia="华文楷体" w:cs="宋体"/>
          <w:b w:val="0"/>
          <w:color w:val="auto"/>
        </w:rPr>
        <w:t>信托财产在信托专户的资金除用于支付信托利益、信托财产管理服务报酬及其他信托税费外，在闲置期间可进行投资，该部分可用于投资的信托财产为委托投资资产。</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信托成立日</w:t>
      </w:r>
      <w:r>
        <w:rPr>
          <w:rFonts w:hint="eastAsia" w:ascii="华文楷体" w:hAnsi="华文楷体" w:eastAsia="华文楷体" w:cs="宋体"/>
          <w:sz w:val="24"/>
        </w:rPr>
        <w:t>：指本信托成立的当日，即受托人通知的信托成立的日期，记为某年的M月T日,以下所称的M月T日均指信托成立日所对应的M月T日。</w:t>
      </w:r>
    </w:p>
    <w:p>
      <w:pPr>
        <w:tabs>
          <w:tab w:val="left" w:pos="1276"/>
        </w:tabs>
        <w:adjustRightInd w:val="0"/>
        <w:snapToGrid w:val="0"/>
        <w:spacing w:line="360" w:lineRule="auto"/>
        <w:ind w:firstLine="480" w:firstLineChars="200"/>
        <w:jc w:val="left"/>
        <w:rPr>
          <w:rFonts w:ascii="华文楷体" w:hAnsi="华文楷体" w:eastAsia="华文楷体" w:cs="宋体"/>
          <w:b/>
          <w:sz w:val="24"/>
        </w:rPr>
      </w:pPr>
      <w:r>
        <w:rPr>
          <w:rFonts w:hint="eastAsia" w:ascii="华文楷体" w:hAnsi="华文楷体" w:eastAsia="华文楷体" w:cs="宋体"/>
          <w:b/>
          <w:sz w:val="24"/>
        </w:rPr>
        <w:t>信托年度</w:t>
      </w:r>
      <w:r>
        <w:rPr>
          <w:rFonts w:hint="eastAsia" w:ascii="华文楷体" w:hAnsi="华文楷体" w:eastAsia="华文楷体" w:cs="宋体"/>
          <w:sz w:val="24"/>
        </w:rPr>
        <w:t xml:space="preserve">：指信托期间从当年的M月T日（含）到下一个年度的M月T日（不含）的期间，当年M月无T日的，以该月最后一日为准。   </w:t>
      </w:r>
    </w:p>
    <w:p>
      <w:pPr>
        <w:tabs>
          <w:tab w:val="left" w:pos="1276"/>
        </w:tabs>
        <w:adjustRightInd w:val="0"/>
        <w:snapToGrid w:val="0"/>
        <w:spacing w:line="360" w:lineRule="auto"/>
        <w:ind w:firstLine="480" w:firstLineChars="200"/>
        <w:jc w:val="left"/>
        <w:rPr>
          <w:rFonts w:ascii="华文楷体" w:hAnsi="华文楷体" w:eastAsia="华文楷体" w:cs="宋体"/>
          <w:b/>
          <w:sz w:val="24"/>
        </w:rPr>
      </w:pPr>
      <w:r>
        <w:rPr>
          <w:rFonts w:hint="eastAsia" w:ascii="华文楷体" w:hAnsi="华文楷体" w:eastAsia="华文楷体" w:cs="宋体"/>
          <w:b/>
          <w:sz w:val="24"/>
        </w:rPr>
        <w:t>信托财产追加日：</w:t>
      </w:r>
      <w:r>
        <w:rPr>
          <w:rFonts w:hint="eastAsia" w:ascii="华文楷体" w:hAnsi="华文楷体" w:eastAsia="华文楷体" w:cs="宋体"/>
          <w:sz w:val="24"/>
        </w:rPr>
        <w:t>指信托存续期间，受托人确认接收委托人追加交付的信托财产之日。</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信托利益分配日</w:t>
      </w:r>
      <w:r>
        <w:rPr>
          <w:rFonts w:hint="eastAsia" w:ascii="华文楷体" w:hAnsi="华文楷体" w:eastAsia="华文楷体" w:cs="宋体"/>
          <w:sz w:val="24"/>
        </w:rPr>
        <w:t>：指信托存续期间，受托人向受益人分配信托利益之日。</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信托终止日</w:t>
      </w:r>
      <w:r>
        <w:rPr>
          <w:rFonts w:hint="eastAsia" w:ascii="华文楷体" w:hAnsi="华文楷体" w:eastAsia="华文楷体" w:cs="宋体"/>
          <w:sz w:val="24"/>
        </w:rPr>
        <w:t>：指发生信托文件规定的信托终止事由，受托人通知的信托终止之日。</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信托财产总值</w:t>
      </w:r>
      <w:r>
        <w:rPr>
          <w:rFonts w:hint="eastAsia" w:ascii="华文楷体" w:hAnsi="华文楷体" w:eastAsia="华文楷体" w:cs="宋体"/>
          <w:sz w:val="24"/>
        </w:rPr>
        <w:t>：是信托财产投资的各类资产按照信托文件约定的估值方法计算的价值的总和。</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信托财产净值：</w:t>
      </w:r>
      <w:r>
        <w:rPr>
          <w:rFonts w:hint="eastAsia" w:ascii="华文楷体" w:hAnsi="华文楷体" w:eastAsia="华文楷体" w:cs="宋体"/>
          <w:sz w:val="24"/>
        </w:rPr>
        <w:t>是指信托财产总值扣除负债后的余额，计算结果精确到小数点后两位，小数点两位以后的部分四舍五入，由此产生的损益归入信托财产。</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服务报酬计提日</w:t>
      </w:r>
      <w:r>
        <w:rPr>
          <w:rFonts w:hint="eastAsia" w:ascii="华文楷体" w:hAnsi="华文楷体" w:eastAsia="华文楷体" w:cs="宋体"/>
          <w:sz w:val="24"/>
        </w:rPr>
        <w:t>：指受托人、资金保管机构、财务顾问机构服务报酬计提日，即</w:t>
      </w:r>
      <w:bookmarkStart w:id="40" w:name="_Hlk511324845"/>
      <w:r>
        <w:rPr>
          <w:rFonts w:hint="eastAsia" w:ascii="华文楷体" w:hAnsi="华文楷体" w:eastAsia="华文楷体" w:cs="宋体"/>
          <w:sz w:val="24"/>
        </w:rPr>
        <w:t>每自然季度末月第二十日（非工作日顺延）、信托财产追加日、信托利益分配日以及信托终止日</w:t>
      </w:r>
      <w:bookmarkEnd w:id="40"/>
      <w:r>
        <w:rPr>
          <w:rFonts w:hint="eastAsia" w:ascii="华文楷体" w:hAnsi="华文楷体" w:eastAsia="华文楷体" w:cs="宋体"/>
          <w:sz w:val="24"/>
        </w:rPr>
        <w:t>；服务报酬计提日与估值日一致。</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当期实际天数</w:t>
      </w:r>
      <w:r>
        <w:rPr>
          <w:rFonts w:hint="eastAsia" w:ascii="华文楷体" w:hAnsi="华文楷体" w:eastAsia="华文楷体" w:cs="宋体"/>
          <w:sz w:val="24"/>
        </w:rPr>
        <w:t>：指自上一服务报酬计提日（含）或信托生效日（含）至本次服务报酬计提日（不含）或信托到期日（不含）期间的天数。首次计提服务报酬时的当期实际天数为信托生效日（含）至首次服务报酬计提日（不含）之间的天数；最后一次计提服务报酬时的当期实际天数为上一服务报酬计提日（含）至信托终止日（不含）之间的天数。</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信托单位</w:t>
      </w:r>
      <w:r>
        <w:rPr>
          <w:rFonts w:hint="eastAsia" w:ascii="华文楷体" w:hAnsi="华文楷体" w:eastAsia="华文楷体" w:cs="宋体"/>
          <w:sz w:val="24"/>
        </w:rPr>
        <w:t>：用于计算、衡量信托财产价值以及委托人认购的计量单位，在信托生效日，每一信托单位对应信托资金人民币1元。</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信托单位总份数</w:t>
      </w:r>
      <w:r>
        <w:rPr>
          <w:rFonts w:hint="eastAsia" w:ascii="华文楷体" w:hAnsi="华文楷体" w:eastAsia="华文楷体" w:cs="宋体"/>
          <w:sz w:val="24"/>
        </w:rPr>
        <w:t>：指信托项下信托单位的总数，计算结果精确到个位，小数点后第1位四舍五入，由此产生的损益归入信托财产。</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信托期限</w:t>
      </w:r>
      <w:r>
        <w:rPr>
          <w:rFonts w:hint="eastAsia" w:ascii="华文楷体" w:hAnsi="华文楷体" w:eastAsia="华文楷体" w:cs="宋体"/>
          <w:sz w:val="24"/>
        </w:rPr>
        <w:t>：指自本信托成立生效之日（含）起至本信托终止日（不含）的期间。</w:t>
      </w:r>
    </w:p>
    <w:p>
      <w:pPr>
        <w:tabs>
          <w:tab w:val="left" w:pos="1276"/>
        </w:tabs>
        <w:adjustRightInd w:val="0"/>
        <w:snapToGrid w:val="0"/>
        <w:spacing w:line="360" w:lineRule="auto"/>
        <w:ind w:firstLine="480" w:firstLineChars="200"/>
        <w:jc w:val="left"/>
        <w:rPr>
          <w:rFonts w:ascii="华文楷体" w:hAnsi="华文楷体" w:eastAsia="华文楷体" w:cs="宋体"/>
          <w:b/>
          <w:sz w:val="24"/>
        </w:rPr>
      </w:pPr>
      <w:r>
        <w:rPr>
          <w:rFonts w:hint="eastAsia" w:ascii="华文楷体" w:hAnsi="华文楷体" w:eastAsia="华文楷体" w:cs="宋体"/>
          <w:b/>
          <w:sz w:val="24"/>
        </w:rPr>
        <w:t>死亡</w:t>
      </w:r>
      <w:r>
        <w:rPr>
          <w:rFonts w:hint="eastAsia" w:ascii="华文楷体" w:hAnsi="华文楷体" w:eastAsia="华文楷体" w:cs="宋体"/>
          <w:bCs/>
          <w:sz w:val="24"/>
        </w:rPr>
        <w:t>：</w:t>
      </w:r>
      <w:r>
        <w:rPr>
          <w:rFonts w:hint="eastAsia" w:ascii="华文楷体" w:hAnsi="华文楷体" w:eastAsia="华文楷体" w:cs="宋体"/>
          <w:sz w:val="24"/>
        </w:rPr>
        <w:t>指自然死亡、被宣告死亡以及其他从法律上被认定为死亡的情形。</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突发事件</w:t>
      </w:r>
      <w:r>
        <w:rPr>
          <w:rFonts w:hint="eastAsia" w:ascii="华文楷体" w:hAnsi="华文楷体" w:eastAsia="华文楷体" w:cs="宋体"/>
          <w:sz w:val="24"/>
        </w:rPr>
        <w:t>：指信托当事人发生死亡、被宣告死亡、被宣告失踪以及在法律上被认定为丧失民事行为能力的情况。</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证明材料</w:t>
      </w:r>
      <w:r>
        <w:rPr>
          <w:rFonts w:hint="eastAsia" w:ascii="华文楷体" w:hAnsi="华文楷体" w:eastAsia="华文楷体" w:cs="宋体"/>
          <w:sz w:val="24"/>
        </w:rPr>
        <w:t>：指死亡证明、丧失民事行为能力证明、被宣告死亡或失踪等法院判决、裁定、公证文书、司法文书等具有法律效力的书面证明材料，以及条件分配中约定的能证明该条件成就的材料，如结婚证、入学通知、医院缴款单等。</w:t>
      </w:r>
    </w:p>
    <w:p>
      <w:pPr>
        <w:tabs>
          <w:tab w:val="left" w:pos="1276"/>
        </w:tabs>
        <w:adjustRightInd w:val="0"/>
        <w:snapToGrid w:val="0"/>
        <w:spacing w:line="360" w:lineRule="auto"/>
        <w:ind w:firstLine="480" w:firstLineChars="200"/>
        <w:jc w:val="left"/>
        <w:rPr>
          <w:rFonts w:ascii="华文楷体" w:hAnsi="华文楷体" w:eastAsia="华文楷体" w:cs="宋体"/>
          <w:b/>
          <w:sz w:val="24"/>
        </w:rPr>
      </w:pPr>
      <w:r>
        <w:rPr>
          <w:rFonts w:hint="eastAsia" w:ascii="华文楷体" w:hAnsi="华文楷体" w:eastAsia="华文楷体" w:cs="宋体"/>
          <w:b/>
          <w:sz w:val="24"/>
        </w:rPr>
        <w:t>形式审核</w:t>
      </w:r>
      <w:r>
        <w:rPr>
          <w:rFonts w:hint="eastAsia" w:ascii="华文楷体" w:hAnsi="华文楷体" w:eastAsia="华文楷体" w:cs="宋体"/>
          <w:bCs/>
          <w:sz w:val="24"/>
        </w:rPr>
        <w:t>：</w:t>
      </w:r>
      <w:r>
        <w:rPr>
          <w:rFonts w:hint="eastAsia" w:ascii="华文楷体" w:hAnsi="华文楷体" w:eastAsia="华文楷体" w:cs="宋体"/>
          <w:sz w:val="24"/>
        </w:rPr>
        <w:t>即指受托人对相关当事人提交的申请材料、证明材料、投资建议等文件上各要素的齐全性以及与信托文件约定的相关内容的一致性进行审核，但不对签字以及提供内容的真实性负责。</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不可抗力</w:t>
      </w:r>
      <w:r>
        <w:rPr>
          <w:rFonts w:hint="eastAsia" w:ascii="华文楷体" w:hAnsi="华文楷体" w:eastAsia="华文楷体" w:cs="宋体"/>
          <w:sz w:val="24"/>
        </w:rPr>
        <w:t>：指受托人不能避免、不能克服的客观情况，包括但不限于法律、行政法规或政策变化、政府限制、电子或机械设备或通讯线路失灵、电话或其他接收系统出现故障、盗窃、战争、罢工、社会骚乱、恐怖活动、火灾、自然灾害等。</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法律法规</w:t>
      </w:r>
      <w:r>
        <w:rPr>
          <w:rFonts w:hint="eastAsia" w:ascii="华文楷体" w:hAnsi="华文楷体" w:eastAsia="华文楷体" w:cs="宋体"/>
          <w:sz w:val="24"/>
        </w:rPr>
        <w:t>：系指中华人民共和国（港澳台地区除外）的法律、行政法规、地方性法规、部门规章、地方政府规章、司法解释、监管政策及其他规范性文件。</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工作日</w:t>
      </w:r>
      <w:r>
        <w:rPr>
          <w:rFonts w:hint="eastAsia" w:ascii="华文楷体" w:hAnsi="华文楷体" w:eastAsia="华文楷体" w:cs="宋体"/>
          <w:sz w:val="24"/>
        </w:rPr>
        <w:t>：指除星期六、星期日及中国法定假期外的其他日期。</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b/>
          <w:sz w:val="24"/>
        </w:rPr>
        <w:t>元</w:t>
      </w:r>
      <w:r>
        <w:rPr>
          <w:rFonts w:hint="eastAsia" w:ascii="华文楷体" w:hAnsi="华文楷体" w:eastAsia="华文楷体" w:cs="宋体"/>
          <w:sz w:val="24"/>
        </w:rPr>
        <w:t>：指人民币元。</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1.2. 解释</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ascii="华文楷体" w:hAnsi="华文楷体" w:eastAsia="华文楷体"/>
          <w:sz w:val="24"/>
        </w:rPr>
        <w:t>本合同各条款的标题仅为行文方便而设，不得被视为等同于该条款所包括的全部内容，或被用来解释该等条款或本合同。</w:t>
      </w:r>
    </w:p>
    <w:p>
      <w:pPr>
        <w:tabs>
          <w:tab w:val="left" w:pos="1276"/>
        </w:tabs>
        <w:adjustRightInd w:val="0"/>
        <w:snapToGrid w:val="0"/>
        <w:spacing w:line="360" w:lineRule="auto"/>
        <w:ind w:firstLine="480" w:firstLineChars="200"/>
        <w:rPr>
          <w:rFonts w:ascii="华文楷体" w:hAnsi="华文楷体" w:eastAsia="华文楷体" w:cs="宋体"/>
          <w:sz w:val="24"/>
        </w:rPr>
      </w:pPr>
    </w:p>
    <w:p>
      <w:pPr>
        <w:pStyle w:val="2"/>
        <w:keepNext w:val="0"/>
        <w:numPr>
          <w:ilvl w:val="0"/>
          <w:numId w:val="4"/>
        </w:numPr>
        <w:tabs>
          <w:tab w:val="left" w:pos="1276"/>
        </w:tabs>
        <w:adjustRightInd w:val="0"/>
        <w:snapToGrid w:val="0"/>
        <w:spacing w:line="360" w:lineRule="auto"/>
        <w:ind w:left="0" w:firstLine="0"/>
        <w:rPr>
          <w:rFonts w:ascii="华文楷体" w:hAnsi="华文楷体" w:eastAsia="华文楷体"/>
          <w:color w:val="auto"/>
          <w:sz w:val="32"/>
          <w:szCs w:val="28"/>
        </w:rPr>
      </w:pPr>
      <w:bookmarkStart w:id="41" w:name="_Toc6397509"/>
      <w:bookmarkStart w:id="42" w:name="_Toc421520869"/>
      <w:r>
        <w:rPr>
          <w:rFonts w:hint="eastAsia" w:ascii="华文楷体" w:hAnsi="华文楷体" w:eastAsia="华文楷体"/>
          <w:color w:val="auto"/>
          <w:sz w:val="32"/>
          <w:szCs w:val="28"/>
        </w:rPr>
        <w:t>信托的基本要素</w:t>
      </w:r>
      <w:bookmarkEnd w:id="41"/>
      <w:bookmarkEnd w:id="42"/>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43" w:name="_Toc6397510"/>
      <w:bookmarkStart w:id="44" w:name="_Toc325723979"/>
      <w:bookmarkStart w:id="45" w:name="_Toc421520870"/>
      <w:bookmarkStart w:id="46" w:name="_Ref421518621"/>
      <w:bookmarkStart w:id="47" w:name="_Toc421189317"/>
      <w:r>
        <w:rPr>
          <w:rFonts w:hint="eastAsia" w:ascii="华文楷体" w:hAnsi="华文楷体" w:eastAsia="华文楷体" w:cs="宋体"/>
          <w:color w:val="auto"/>
          <w:sz w:val="24"/>
          <w:szCs w:val="24"/>
        </w:rPr>
        <w:t>信托目的</w:t>
      </w:r>
      <w:bookmarkEnd w:id="43"/>
      <w:bookmarkEnd w:id="44"/>
      <w:bookmarkEnd w:id="45"/>
      <w:bookmarkEnd w:id="46"/>
      <w:bookmarkEnd w:id="47"/>
    </w:p>
    <w:p>
      <w:pPr>
        <w:tabs>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委托人基于对受托人的信任，以其合法拥有的资产委托给受托人设立本信托，由受托人依据信托文件之规定，为受益人的利益，以自己的名义管理、运用或处分信托财产，以实现委托人家族财富保值增值以及传承等目的。</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48" w:name="_Toc315962221"/>
      <w:bookmarkStart w:id="49" w:name="_Toc421189318"/>
      <w:bookmarkStart w:id="50" w:name="_Toc265737021"/>
      <w:bookmarkStart w:id="51" w:name="_Toc421520871"/>
      <w:bookmarkStart w:id="52" w:name="_Toc325723980"/>
      <w:bookmarkStart w:id="53" w:name="_Toc6397511"/>
      <w:r>
        <w:rPr>
          <w:rFonts w:hint="eastAsia" w:ascii="华文楷体" w:hAnsi="华文楷体" w:eastAsia="华文楷体" w:cs="宋体"/>
          <w:color w:val="auto"/>
          <w:sz w:val="24"/>
          <w:szCs w:val="24"/>
        </w:rPr>
        <w:t>信托要素</w:t>
      </w:r>
      <w:bookmarkEnd w:id="48"/>
      <w:bookmarkEnd w:id="49"/>
      <w:bookmarkEnd w:id="50"/>
      <w:bookmarkEnd w:id="51"/>
      <w:bookmarkEnd w:id="52"/>
      <w:bookmarkEnd w:id="53"/>
    </w:p>
    <w:p>
      <w:pPr>
        <w:pStyle w:val="3"/>
        <w:keepNext w:val="0"/>
        <w:keepLines w:val="0"/>
        <w:spacing w:before="0" w:after="0" w:line="360" w:lineRule="auto"/>
        <w:rPr>
          <w:rFonts w:ascii="华文楷体" w:hAnsi="华文楷体" w:eastAsia="华文楷体"/>
        </w:rPr>
      </w:pPr>
      <w:bookmarkStart w:id="54" w:name="_Toc421189319"/>
      <w:bookmarkStart w:id="55" w:name="_Toc421177141"/>
      <w:r>
        <w:rPr>
          <w:rFonts w:hint="eastAsia" w:ascii="华文楷体" w:hAnsi="华文楷体" w:eastAsia="华文楷体"/>
        </w:rPr>
        <w:t>3.1. 信托相关主体</w:t>
      </w:r>
      <w:bookmarkEnd w:id="54"/>
      <w:bookmarkEnd w:id="55"/>
    </w:p>
    <w:p>
      <w:pPr>
        <w:numPr>
          <w:ilvl w:val="2"/>
          <w:numId w:val="3"/>
        </w:numPr>
        <w:tabs>
          <w:tab w:val="left" w:pos="709"/>
          <w:tab w:val="left" w:pos="1276"/>
          <w:tab w:val="left" w:pos="1702"/>
        </w:tabs>
        <w:adjustRightInd w:val="0"/>
        <w:snapToGrid w:val="0"/>
        <w:spacing w:line="360" w:lineRule="auto"/>
        <w:jc w:val="left"/>
        <w:outlineLvl w:val="2"/>
        <w:rPr>
          <w:rFonts w:ascii="华文楷体" w:hAnsi="华文楷体" w:eastAsia="华文楷体" w:cs="宋体"/>
          <w:sz w:val="24"/>
        </w:rPr>
      </w:pPr>
      <w:bookmarkStart w:id="56" w:name="_Ref423680376"/>
      <w:r>
        <w:rPr>
          <w:rFonts w:hint="eastAsia" w:ascii="华文楷体" w:hAnsi="华文楷体" w:eastAsia="华文楷体" w:cs="宋体"/>
          <w:sz w:val="24"/>
        </w:rPr>
        <w:t>委托人</w:t>
      </w:r>
      <w:bookmarkEnd w:id="56"/>
    </w:p>
    <w:p>
      <w:pPr>
        <w:numPr>
          <w:ilvl w:val="3"/>
          <w:numId w:val="3"/>
        </w:numPr>
        <w:tabs>
          <w:tab w:val="left" w:pos="0"/>
          <w:tab w:val="left" w:pos="567"/>
          <w:tab w:val="left" w:pos="1276"/>
        </w:tabs>
        <w:adjustRightInd w:val="0"/>
        <w:snapToGrid w:val="0"/>
        <w:spacing w:line="360" w:lineRule="auto"/>
        <w:jc w:val="left"/>
        <w:outlineLvl w:val="3"/>
        <w:rPr>
          <w:rFonts w:ascii="华文楷体" w:hAnsi="华文楷体" w:eastAsia="华文楷体" w:cs="宋体"/>
          <w:sz w:val="24"/>
        </w:rPr>
      </w:pPr>
      <w:bookmarkStart w:id="57" w:name="_Ref421518626"/>
      <w:r>
        <w:rPr>
          <w:rFonts w:hint="eastAsia" w:ascii="华文楷体" w:hAnsi="华文楷体" w:eastAsia="华文楷体" w:cs="宋体"/>
          <w:sz w:val="24"/>
        </w:rPr>
        <w:t>本信托项下的委托人基本信息见本合同附件2《信托分配方案》。</w:t>
      </w:r>
      <w:bookmarkEnd w:id="57"/>
    </w:p>
    <w:p>
      <w:pPr>
        <w:numPr>
          <w:ilvl w:val="3"/>
          <w:numId w:val="3"/>
        </w:numPr>
        <w:tabs>
          <w:tab w:val="left" w:pos="0"/>
          <w:tab w:val="left" w:pos="567"/>
          <w:tab w:val="left" w:pos="1276"/>
        </w:tabs>
        <w:adjustRightInd w:val="0"/>
        <w:snapToGrid w:val="0"/>
        <w:spacing w:line="360" w:lineRule="auto"/>
        <w:jc w:val="left"/>
        <w:outlineLvl w:val="3"/>
        <w:rPr>
          <w:rFonts w:ascii="华文楷体" w:hAnsi="华文楷体" w:eastAsia="华文楷体" w:cs="宋体"/>
          <w:sz w:val="24"/>
        </w:rPr>
      </w:pPr>
      <w:r>
        <w:rPr>
          <w:rFonts w:hint="eastAsia" w:ascii="华文楷体" w:hAnsi="华文楷体" w:eastAsia="华文楷体" w:cs="宋体"/>
          <w:sz w:val="24"/>
        </w:rPr>
        <w:t>当委托人发生突发事件的，由相关当事人将突发事件辅以证明材料书面告知受托人，在受托人收到上述事项书面证明材料并经受托人确认时，委托人发生突发事件相关的条款开始生效。本节中的相关当事人包括：受益人、委托人的法定继承人、受益人的法定继承人、监察人（若有）。</w:t>
      </w:r>
    </w:p>
    <w:p>
      <w:pPr>
        <w:numPr>
          <w:ilvl w:val="3"/>
          <w:numId w:val="3"/>
        </w:numPr>
        <w:tabs>
          <w:tab w:val="left" w:pos="0"/>
          <w:tab w:val="left" w:pos="567"/>
          <w:tab w:val="left" w:pos="1276"/>
        </w:tabs>
        <w:adjustRightInd w:val="0"/>
        <w:snapToGrid w:val="0"/>
        <w:spacing w:line="360" w:lineRule="auto"/>
        <w:jc w:val="left"/>
        <w:outlineLvl w:val="3"/>
        <w:rPr>
          <w:rFonts w:ascii="华文楷体" w:hAnsi="华文楷体" w:eastAsia="华文楷体" w:cs="宋体"/>
          <w:sz w:val="24"/>
        </w:rPr>
      </w:pPr>
      <w:r>
        <w:rPr>
          <w:rFonts w:hint="eastAsia" w:ascii="华文楷体" w:hAnsi="华文楷体" w:eastAsia="华文楷体" w:cs="宋体"/>
          <w:sz w:val="24"/>
        </w:rPr>
        <w:t>委托人发生突发事件不影响本信托的存续。</w:t>
      </w:r>
    </w:p>
    <w:p>
      <w:pPr>
        <w:numPr>
          <w:ilvl w:val="2"/>
          <w:numId w:val="3"/>
        </w:numPr>
        <w:tabs>
          <w:tab w:val="left" w:pos="709"/>
          <w:tab w:val="left" w:pos="1276"/>
          <w:tab w:val="left" w:pos="1702"/>
        </w:tabs>
        <w:adjustRightInd w:val="0"/>
        <w:snapToGrid w:val="0"/>
        <w:spacing w:line="360" w:lineRule="auto"/>
        <w:jc w:val="left"/>
        <w:outlineLvl w:val="2"/>
        <w:rPr>
          <w:rFonts w:ascii="华文楷体" w:hAnsi="华文楷体" w:eastAsia="华文楷体" w:cs="宋体"/>
          <w:sz w:val="24"/>
        </w:rPr>
      </w:pPr>
      <w:r>
        <w:rPr>
          <w:rFonts w:hint="eastAsia" w:ascii="华文楷体" w:hAnsi="华文楷体" w:eastAsia="华文楷体" w:cs="宋体"/>
          <w:sz w:val="24"/>
        </w:rPr>
        <w:t>受托人</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sz w:val="24"/>
        </w:rPr>
        <w:t>名称：长安国际信托股份有限公司</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color w:val="000000"/>
          <w:sz w:val="24"/>
        </w:rPr>
        <w:t>注册地点：中国西安市高新区科技路33号高新国际商务中心23-24层</w:t>
      </w:r>
    </w:p>
    <w:p>
      <w:pPr>
        <w:tabs>
          <w:tab w:val="left" w:pos="1276"/>
        </w:tabs>
        <w:adjustRightInd w:val="0"/>
        <w:snapToGrid w:val="0"/>
        <w:spacing w:line="360" w:lineRule="auto"/>
        <w:ind w:firstLine="480" w:firstLineChars="200"/>
        <w:jc w:val="left"/>
        <w:rPr>
          <w:rFonts w:ascii="华文楷体" w:hAnsi="华文楷体" w:eastAsia="华文楷体" w:cs="宋体"/>
          <w:color w:val="000000"/>
          <w:sz w:val="24"/>
        </w:rPr>
      </w:pPr>
      <w:r>
        <w:rPr>
          <w:rFonts w:hint="eastAsia" w:ascii="华文楷体" w:hAnsi="华文楷体" w:eastAsia="华文楷体" w:cs="宋体"/>
          <w:color w:val="000000"/>
          <w:sz w:val="24"/>
        </w:rPr>
        <w:t>办公地点：中国西安市高新区科技路33号高新国际商务中心23、24、35、36层</w:t>
      </w:r>
    </w:p>
    <w:p>
      <w:pPr>
        <w:tabs>
          <w:tab w:val="left" w:pos="1276"/>
        </w:tabs>
        <w:adjustRightInd w:val="0"/>
        <w:snapToGrid w:val="0"/>
        <w:spacing w:line="360" w:lineRule="auto"/>
        <w:ind w:firstLine="480" w:firstLineChars="200"/>
        <w:jc w:val="left"/>
        <w:rPr>
          <w:rFonts w:ascii="华文楷体" w:hAnsi="华文楷体" w:eastAsia="华文楷体" w:cs="宋体"/>
          <w:color w:val="000000"/>
          <w:sz w:val="24"/>
        </w:rPr>
      </w:pPr>
      <w:r>
        <w:rPr>
          <w:rFonts w:hint="eastAsia" w:ascii="华文楷体" w:hAnsi="华文楷体" w:eastAsia="华文楷体" w:cs="宋体"/>
          <w:color w:val="000000"/>
          <w:sz w:val="24"/>
        </w:rPr>
        <w:t>官网地址：www.caitc.cn</w:t>
      </w:r>
    </w:p>
    <w:p>
      <w:pPr>
        <w:tabs>
          <w:tab w:val="left" w:pos="1276"/>
        </w:tabs>
        <w:adjustRightInd w:val="0"/>
        <w:snapToGrid w:val="0"/>
        <w:spacing w:line="360" w:lineRule="auto"/>
        <w:ind w:firstLine="480" w:firstLineChars="200"/>
        <w:jc w:val="left"/>
        <w:rPr>
          <w:rFonts w:ascii="华文楷体" w:hAnsi="华文楷体" w:eastAsia="华文楷体" w:cs="宋体"/>
          <w:bCs/>
          <w:color w:val="000000"/>
          <w:sz w:val="24"/>
        </w:rPr>
      </w:pPr>
      <w:r>
        <w:rPr>
          <w:rFonts w:hint="eastAsia" w:ascii="华文楷体" w:hAnsi="华文楷体" w:eastAsia="华文楷体" w:cs="宋体"/>
          <w:color w:val="000000"/>
          <w:sz w:val="24"/>
        </w:rPr>
        <w:t>客服电话：</w:t>
      </w:r>
      <w:r>
        <w:rPr>
          <w:rFonts w:hint="eastAsia" w:ascii="华文楷体" w:hAnsi="华文楷体" w:eastAsia="华文楷体" w:cs="宋体"/>
          <w:bCs/>
          <w:color w:val="000000"/>
          <w:sz w:val="24"/>
        </w:rPr>
        <w:t>400-000-0080</w:t>
      </w:r>
    </w:p>
    <w:p>
      <w:pPr>
        <w:tabs>
          <w:tab w:val="left" w:pos="1276"/>
        </w:tabs>
        <w:adjustRightInd w:val="0"/>
        <w:snapToGrid w:val="0"/>
        <w:spacing w:line="360" w:lineRule="auto"/>
        <w:ind w:firstLine="480" w:firstLineChars="200"/>
        <w:jc w:val="left"/>
        <w:rPr>
          <w:rFonts w:ascii="华文楷体" w:hAnsi="华文楷体" w:eastAsia="华文楷体" w:cs="宋体"/>
          <w:bCs/>
          <w:color w:val="000000"/>
          <w:sz w:val="24"/>
        </w:rPr>
      </w:pPr>
      <w:r>
        <w:rPr>
          <w:rFonts w:hint="eastAsia" w:ascii="华文楷体" w:hAnsi="华文楷体" w:eastAsia="华文楷体" w:cs="宋体"/>
          <w:sz w:val="24"/>
        </w:rPr>
        <w:t>指定邮箱：fwm@caitc.cn</w:t>
      </w:r>
    </w:p>
    <w:p>
      <w:pPr>
        <w:numPr>
          <w:ilvl w:val="2"/>
          <w:numId w:val="3"/>
        </w:numPr>
        <w:tabs>
          <w:tab w:val="left" w:pos="709"/>
          <w:tab w:val="left" w:pos="1276"/>
          <w:tab w:val="left" w:pos="1702"/>
        </w:tabs>
        <w:adjustRightInd w:val="0"/>
        <w:snapToGrid w:val="0"/>
        <w:spacing w:line="360" w:lineRule="auto"/>
        <w:jc w:val="left"/>
        <w:outlineLvl w:val="2"/>
        <w:rPr>
          <w:rFonts w:ascii="华文楷体" w:hAnsi="华文楷体" w:eastAsia="华文楷体" w:cs="宋体"/>
          <w:sz w:val="24"/>
        </w:rPr>
      </w:pPr>
      <w:r>
        <w:rPr>
          <w:rFonts w:hint="eastAsia" w:ascii="华文楷体" w:hAnsi="华文楷体" w:eastAsia="华文楷体" w:cs="宋体"/>
          <w:sz w:val="24"/>
        </w:rPr>
        <w:t>受益人</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本信托成立时的受益人名单见</w:t>
      </w:r>
      <w:r>
        <w:rPr>
          <w:rFonts w:hint="eastAsia" w:ascii="华文楷体" w:hAnsi="华文楷体" w:eastAsia="华文楷体" w:cs="宋体"/>
          <w:sz w:val="24"/>
        </w:rPr>
        <w:t>本合同附件2《信托分配方案》</w:t>
      </w:r>
      <w:r>
        <w:rPr>
          <w:rFonts w:hint="eastAsia" w:ascii="华文楷体" w:hAnsi="华文楷体" w:eastAsia="华文楷体" w:cs="宋体"/>
          <w:bCs/>
          <w:color w:val="000000"/>
          <w:sz w:val="24"/>
        </w:rPr>
        <w:t>。</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当受益人发生突发事件的，由相关当事人将突发事件辅以证明材料书面告知受托人。此节相关当事人包括：委托人、发生突发事件情况的受益人的监护人（若有）、发生突发事件情况的受益人的</w:t>
      </w:r>
      <w:r>
        <w:rPr>
          <w:rFonts w:hint="eastAsia" w:ascii="华文楷体" w:hAnsi="华文楷体" w:eastAsia="华文楷体" w:cs="宋体"/>
          <w:sz w:val="24"/>
        </w:rPr>
        <w:t>第二顺位</w:t>
      </w:r>
      <w:r>
        <w:rPr>
          <w:rFonts w:hint="eastAsia" w:ascii="华文楷体" w:hAnsi="华文楷体" w:eastAsia="华文楷体" w:cs="宋体"/>
          <w:bCs/>
          <w:color w:val="000000"/>
          <w:sz w:val="24"/>
        </w:rPr>
        <w:t>受益人（若有）、发生突发事件情况的受益人的法定继承人、监察人（若有）、其他受益人。新受益人的产生按照信托分配方案规定办理。</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本信托运行期间，若受益人不具有完全民事行为能力，由其监护人代受益人向受托人做出相应的意思表示及接收受托人发出的各项通知，监护人代受益人履行本信托项下的各项权利和义务。监护人履行职责前，需向受托人提交其具有监护权的证明文件。</w:t>
      </w:r>
    </w:p>
    <w:p>
      <w:pPr>
        <w:numPr>
          <w:ilvl w:val="2"/>
          <w:numId w:val="3"/>
        </w:numPr>
        <w:tabs>
          <w:tab w:val="left" w:pos="709"/>
          <w:tab w:val="left" w:pos="1276"/>
          <w:tab w:val="left" w:pos="1702"/>
        </w:tabs>
        <w:adjustRightInd w:val="0"/>
        <w:snapToGrid w:val="0"/>
        <w:spacing w:line="360" w:lineRule="auto"/>
        <w:jc w:val="left"/>
        <w:outlineLvl w:val="2"/>
        <w:rPr>
          <w:rFonts w:ascii="华文楷体" w:hAnsi="华文楷体" w:eastAsia="华文楷体"/>
          <w:sz w:val="24"/>
        </w:rPr>
      </w:pPr>
      <w:r>
        <w:rPr>
          <w:rFonts w:hint="eastAsia" w:ascii="华文楷体" w:hAnsi="华文楷体" w:eastAsia="华文楷体"/>
          <w:sz w:val="24"/>
        </w:rPr>
        <w:t>监察人</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本信托成立时以及信托期间，委托人有权设置或变更监察人；但信托分配方案另有约定的，从其约定。若有设置监察人的，则监察人名单以及监察人的顺位顺序见附件2《信托分配方案》。</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若未设置监察人的，则监察人相关条款不生效。</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在本信托存续期间，委托人有权以书面形式指示受托人对监察人以及监察人的顺位顺序、监察人的权利进行调整，无须征得监察人本人的同意；但信托分配方案另有约定的，从其约定。</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若在信托期间设置或变更监察人的，由委托人提交申请，并报受托人备案，委托人可增加或变更监察人；若委托人发生突发事件的，则经全体受益人达成一致意见，并报受托人备案，可增加或变更监察人。但信托分配方案另有约定的，从其约定。</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当已经设置监察人的，如未有特别约定，则监察人的生效时间为委托人发生突发事件并由受托人确认时，</w:t>
      </w:r>
      <w:r>
        <w:rPr>
          <w:rFonts w:hint="eastAsia" w:ascii="华文楷体" w:hAnsi="华文楷体" w:eastAsia="华文楷体" w:cs="宋体"/>
          <w:sz w:val="24"/>
        </w:rPr>
        <w:t>第二顺位</w:t>
      </w:r>
      <w:r>
        <w:rPr>
          <w:rFonts w:hint="eastAsia" w:ascii="华文楷体" w:hAnsi="华文楷体" w:eastAsia="华文楷体" w:cs="宋体"/>
          <w:bCs/>
          <w:color w:val="000000"/>
          <w:sz w:val="24"/>
        </w:rPr>
        <w:t>监察人的生效时间为生效监察人发生突发事件、放弃监察人身份、被取消监察人身份并经受托人确认时。如信托分配方案中对监察人的设置有特别约定的，则从其规定。监察人生效前，监察人不享有监察人对应的权利义务。</w:t>
      </w:r>
    </w:p>
    <w:p>
      <w:pPr>
        <w:numPr>
          <w:ilvl w:val="3"/>
          <w:numId w:val="3"/>
        </w:numPr>
        <w:tabs>
          <w:tab w:val="left" w:pos="0"/>
          <w:tab w:val="left" w:pos="567"/>
          <w:tab w:val="left" w:pos="772"/>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监察人发生突发事件的，由相关当事人将突发事件辅以证明材料书面告知受托人。此节相关当事人包括：委托人、第二顺位监察人（若有）、受益人、受益人的法定继承人、委托人的法定继承人。</w:t>
      </w:r>
    </w:p>
    <w:p>
      <w:pPr>
        <w:pStyle w:val="3"/>
        <w:keepNext w:val="0"/>
        <w:keepLines w:val="0"/>
        <w:spacing w:before="0" w:after="0" w:line="360" w:lineRule="auto"/>
        <w:rPr>
          <w:rFonts w:ascii="华文楷体" w:hAnsi="华文楷体" w:eastAsia="华文楷体"/>
          <w:color w:val="000000"/>
        </w:rPr>
      </w:pPr>
      <w:bookmarkStart w:id="58" w:name="_Hlt157525852"/>
      <w:bookmarkEnd w:id="58"/>
      <w:bookmarkStart w:id="59" w:name="_Hlt157496962"/>
      <w:bookmarkEnd w:id="59"/>
      <w:bookmarkStart w:id="60" w:name="_Hlt157264438"/>
      <w:bookmarkEnd w:id="60"/>
      <w:bookmarkStart w:id="61" w:name="_Hlt157526203"/>
      <w:bookmarkEnd w:id="61"/>
      <w:bookmarkStart w:id="62" w:name="_Hlt157526171"/>
      <w:bookmarkEnd w:id="62"/>
      <w:r>
        <w:rPr>
          <w:rFonts w:hint="eastAsia" w:ascii="华文楷体" w:hAnsi="华文楷体" w:eastAsia="华文楷体"/>
        </w:rPr>
        <w:t>3.2. 信托期限</w:t>
      </w:r>
    </w:p>
    <w:p>
      <w:pPr>
        <w:tabs>
          <w:tab w:val="left" w:pos="709"/>
          <w:tab w:val="left" w:pos="1276"/>
        </w:tabs>
        <w:adjustRightInd w:val="0"/>
        <w:snapToGrid w:val="0"/>
        <w:spacing w:line="360" w:lineRule="auto"/>
        <w:ind w:left="426"/>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3.2.1. 本信托期限见</w:t>
      </w:r>
      <w:r>
        <w:rPr>
          <w:rFonts w:hint="eastAsia" w:ascii="华文楷体" w:hAnsi="华文楷体" w:eastAsia="华文楷体" w:cs="宋体"/>
          <w:sz w:val="24"/>
        </w:rPr>
        <w:t>本合同附件2《信托分配方案》</w:t>
      </w:r>
      <w:r>
        <w:rPr>
          <w:rFonts w:hint="eastAsia" w:ascii="华文楷体" w:hAnsi="华文楷体" w:eastAsia="华文楷体" w:cs="宋体"/>
          <w:bCs/>
          <w:color w:val="000000"/>
          <w:sz w:val="24"/>
        </w:rPr>
        <w:t>的约定。</w:t>
      </w:r>
    </w:p>
    <w:p>
      <w:pPr>
        <w:tabs>
          <w:tab w:val="left" w:pos="709"/>
          <w:tab w:val="left" w:pos="1276"/>
          <w:tab w:val="left" w:pos="1702"/>
        </w:tabs>
        <w:adjustRightInd w:val="0"/>
        <w:snapToGrid w:val="0"/>
        <w:spacing w:line="360" w:lineRule="auto"/>
        <w:ind w:left="426"/>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3.2.2. 当发生本合同13.1.2条款约定的终止事由时，信托终止。</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3.3. 信托规模</w:t>
      </w:r>
    </w:p>
    <w:p>
      <w:pPr>
        <w:tabs>
          <w:tab w:val="left" w:pos="709"/>
          <w:tab w:val="left" w:pos="1276"/>
          <w:tab w:val="left" w:pos="1702"/>
        </w:tabs>
        <w:adjustRightInd w:val="0"/>
        <w:snapToGrid w:val="0"/>
        <w:spacing w:line="360" w:lineRule="auto"/>
        <w:ind w:firstLine="425"/>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3.3.1. 本信托规模不设上限，</w:t>
      </w:r>
      <w:r>
        <w:rPr>
          <w:rFonts w:hint="eastAsia" w:ascii="华文楷体" w:hAnsi="华文楷体" w:eastAsia="华文楷体"/>
          <w:sz w:val="24"/>
        </w:rPr>
        <w:t>具体规模以委托人实际交付的信托资产的规模总额为准。信托规模为交付日信托资产规模总和，按照第5.2所列方法进行计算。</w:t>
      </w:r>
    </w:p>
    <w:p>
      <w:pPr>
        <w:tabs>
          <w:tab w:val="left" w:pos="709"/>
          <w:tab w:val="left" w:pos="1276"/>
          <w:tab w:val="left" w:pos="1702"/>
        </w:tabs>
        <w:adjustRightInd w:val="0"/>
        <w:snapToGrid w:val="0"/>
        <w:spacing w:line="360" w:lineRule="auto"/>
        <w:ind w:firstLine="425"/>
        <w:jc w:val="left"/>
        <w:outlineLvl w:val="2"/>
        <w:rPr>
          <w:rFonts w:ascii="华文楷体" w:hAnsi="华文楷体" w:eastAsia="华文楷体" w:cs="宋体"/>
          <w:sz w:val="24"/>
        </w:rPr>
      </w:pPr>
      <w:r>
        <w:rPr>
          <w:rFonts w:hint="eastAsia" w:ascii="华文楷体" w:hAnsi="华文楷体" w:eastAsia="华文楷体" w:cs="宋体"/>
          <w:bCs/>
          <w:color w:val="000000"/>
          <w:sz w:val="24"/>
        </w:rPr>
        <w:t>3.3.2. 信托期间，委托人可追加信托资产，每次追加交付的信托资产规模不得低于1,000,000.00元（大写：壹佰万元）人民币；信托存续期间，委托人不可赎回信托财产。委托人追加信托资产均需经受托人同意，并按照本合同4.2条款约定执行。追加时按照附件5.《信托财产估值规则》约定的估值方法计算信托单位总份数的增加。</w:t>
      </w:r>
    </w:p>
    <w:p>
      <w:pPr>
        <w:pStyle w:val="57"/>
        <w:rPr>
          <w:rFonts w:ascii="华文楷体" w:hAnsi="华文楷体" w:eastAsia="华文楷体"/>
        </w:rPr>
      </w:pPr>
    </w:p>
    <w:p>
      <w:pPr>
        <w:pStyle w:val="2"/>
        <w:keepNext w:val="0"/>
        <w:numPr>
          <w:ilvl w:val="0"/>
          <w:numId w:val="4"/>
        </w:numPr>
        <w:tabs>
          <w:tab w:val="left" w:pos="1276"/>
        </w:tabs>
        <w:adjustRightInd w:val="0"/>
        <w:snapToGrid w:val="0"/>
        <w:spacing w:line="360" w:lineRule="auto"/>
        <w:ind w:left="0" w:firstLine="0"/>
        <w:rPr>
          <w:rFonts w:ascii="华文楷体" w:hAnsi="华文楷体" w:eastAsia="华文楷体"/>
          <w:color w:val="auto"/>
          <w:sz w:val="32"/>
          <w:szCs w:val="28"/>
        </w:rPr>
      </w:pPr>
      <w:bookmarkStart w:id="63" w:name="_Toc421520872"/>
      <w:bookmarkStart w:id="64" w:name="_Toc6397512"/>
      <w:r>
        <w:rPr>
          <w:rFonts w:hint="eastAsia" w:ascii="华文楷体" w:hAnsi="华文楷体" w:eastAsia="华文楷体"/>
          <w:color w:val="auto"/>
          <w:sz w:val="32"/>
          <w:szCs w:val="28"/>
        </w:rPr>
        <w:t>信托的运营</w:t>
      </w:r>
      <w:bookmarkEnd w:id="63"/>
      <w:bookmarkEnd w:id="64"/>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65" w:name="_Toc325723981"/>
      <w:bookmarkStart w:id="66" w:name="_Toc421520873"/>
      <w:bookmarkStart w:id="67" w:name="_Toc421189320"/>
      <w:bookmarkStart w:id="68" w:name="_Toc6397513"/>
      <w:r>
        <w:rPr>
          <w:rFonts w:hint="eastAsia" w:ascii="华文楷体" w:hAnsi="华文楷体" w:eastAsia="华文楷体" w:cs="宋体"/>
          <w:color w:val="auto"/>
          <w:sz w:val="24"/>
          <w:szCs w:val="24"/>
        </w:rPr>
        <w:t>信托资产的交付</w:t>
      </w:r>
      <w:bookmarkEnd w:id="65"/>
      <w:r>
        <w:rPr>
          <w:rFonts w:hint="eastAsia" w:ascii="华文楷体" w:hAnsi="华文楷体" w:eastAsia="华文楷体" w:cs="宋体"/>
          <w:color w:val="auto"/>
          <w:sz w:val="24"/>
          <w:szCs w:val="24"/>
        </w:rPr>
        <w:t>、追加</w:t>
      </w:r>
      <w:bookmarkEnd w:id="66"/>
      <w:bookmarkEnd w:id="67"/>
      <w:bookmarkEnd w:id="68"/>
    </w:p>
    <w:p>
      <w:pPr>
        <w:pStyle w:val="3"/>
        <w:keepNext w:val="0"/>
        <w:keepLines w:val="0"/>
        <w:spacing w:before="0" w:after="0" w:line="360" w:lineRule="auto"/>
        <w:rPr>
          <w:rFonts w:ascii="华文楷体" w:hAnsi="华文楷体" w:eastAsia="华文楷体"/>
        </w:rPr>
      </w:pPr>
      <w:bookmarkStart w:id="69" w:name="_Ref425783600"/>
      <w:r>
        <w:rPr>
          <w:rFonts w:hint="eastAsia" w:ascii="华文楷体" w:hAnsi="华文楷体" w:eastAsia="华文楷体"/>
        </w:rPr>
        <w:t>4.1. 信托资产</w:t>
      </w:r>
      <w:bookmarkEnd w:id="69"/>
      <w:r>
        <w:rPr>
          <w:rFonts w:hint="eastAsia" w:ascii="华文楷体" w:hAnsi="华文楷体" w:eastAsia="华文楷体"/>
        </w:rPr>
        <w:t>的交付</w:t>
      </w:r>
    </w:p>
    <w:p>
      <w:pPr>
        <w:numPr>
          <w:ilvl w:val="2"/>
          <w:numId w:val="3"/>
        </w:numPr>
        <w:tabs>
          <w:tab w:val="left" w:pos="709"/>
          <w:tab w:val="left" w:pos="1276"/>
          <w:tab w:val="left" w:pos="1702"/>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本信托委托人交付的信托资产须为委托人合法所有的财产。</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sz w:val="24"/>
        </w:rPr>
        <w:t>本信托项下可交付的信托资产的范围为：资金以及经受托人认可的动产、不动产、股权、金融理财产品、保险金请求权等其他信托资产。</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委托人交付资金形式的信托资产时，应将资金划拨至信托专户，并在划拨当日向受托人提交划拨凭证。</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委托人交付信托受益权的，委托人应将其在该信托计划项下的信托受益权全部一次性交付，不得拆分交付。</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委托人交付非资金形式的信托资产的，应经受托人同意后，与受托人另行签署相关协议，并按该等协议的约定及相关法律规定办理非资金形式信托资产的交割手续。</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委托人交付的首期信托财产以委托人实际交付的为准。</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因信托资产过户而发生的税费，应由委托人承担的由委托人自行承担，但协议约定从信托财产列支的从信托财产中列支。应由受托人承担的税费从信托财产中列支。</w:t>
      </w:r>
    </w:p>
    <w:p>
      <w:pPr>
        <w:numPr>
          <w:ilvl w:val="2"/>
          <w:numId w:val="3"/>
        </w:numPr>
        <w:tabs>
          <w:tab w:val="left" w:pos="709"/>
          <w:tab w:val="left" w:pos="1276"/>
        </w:tabs>
        <w:adjustRightInd w:val="0"/>
        <w:snapToGrid w:val="0"/>
        <w:spacing w:line="360" w:lineRule="auto"/>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委托人按约定交付信托资产的，则该等信托资产成为本信托项下的信托财产，受托人按本信托文件规定对信托财产进行管理、运用和处分。</w:t>
      </w:r>
    </w:p>
    <w:p>
      <w:pPr>
        <w:pStyle w:val="3"/>
        <w:keepNext w:val="0"/>
        <w:keepLines w:val="0"/>
        <w:spacing w:before="0" w:after="0" w:line="360" w:lineRule="auto"/>
        <w:rPr>
          <w:rFonts w:ascii="华文楷体" w:hAnsi="华文楷体" w:eastAsia="华文楷体"/>
        </w:rPr>
      </w:pPr>
      <w:bookmarkStart w:id="70" w:name="_Ref452537327"/>
      <w:r>
        <w:rPr>
          <w:rFonts w:hint="eastAsia" w:ascii="华文楷体" w:hAnsi="华文楷体" w:eastAsia="华文楷体"/>
        </w:rPr>
        <w:t>4.2. 信托资产的追加</w:t>
      </w:r>
      <w:bookmarkEnd w:id="70"/>
    </w:p>
    <w:p>
      <w:pPr>
        <w:tabs>
          <w:tab w:val="left" w:pos="709"/>
          <w:tab w:val="left" w:pos="1276"/>
        </w:tabs>
        <w:adjustRightInd w:val="0"/>
        <w:snapToGrid w:val="0"/>
        <w:spacing w:line="360" w:lineRule="auto"/>
        <w:ind w:firstLine="425"/>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4.2.1. 委托人追加交付的资产须经受托人书面确认，未经受托人确认的资产，受托人有权退回。受托人在收到委托人提交的追加交付资产的申请后3个工作日内，就是否同意委托人的申请进行确认。</w:t>
      </w:r>
    </w:p>
    <w:p>
      <w:pPr>
        <w:tabs>
          <w:tab w:val="left" w:pos="709"/>
          <w:tab w:val="left" w:pos="1276"/>
        </w:tabs>
        <w:adjustRightInd w:val="0"/>
        <w:snapToGrid w:val="0"/>
        <w:spacing w:line="360" w:lineRule="auto"/>
        <w:ind w:firstLine="425"/>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4.2.2. 委托人在获得受托人的许可下可追加交付资金、金融理财产品、房产、股权、保险金请求权等财产。委托人交付非资金性的财产须和受托人另行签订相关协议。</w:t>
      </w:r>
    </w:p>
    <w:p>
      <w:pPr>
        <w:tabs>
          <w:tab w:val="left" w:pos="709"/>
          <w:tab w:val="left" w:pos="1276"/>
        </w:tabs>
        <w:adjustRightInd w:val="0"/>
        <w:snapToGrid w:val="0"/>
        <w:spacing w:line="360" w:lineRule="auto"/>
        <w:ind w:left="426"/>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4.2.3. 委托人未经受托人同意擅自交付的，受托人有权退回。</w:t>
      </w:r>
    </w:p>
    <w:p>
      <w:pPr>
        <w:pStyle w:val="2"/>
        <w:keepNext w:val="0"/>
        <w:numPr>
          <w:ilvl w:val="0"/>
          <w:numId w:val="3"/>
        </w:numPr>
        <w:tabs>
          <w:tab w:val="left" w:pos="425"/>
          <w:tab w:val="left" w:pos="1276"/>
        </w:tabs>
        <w:adjustRightInd w:val="0"/>
        <w:snapToGrid w:val="0"/>
        <w:spacing w:line="360" w:lineRule="auto"/>
        <w:ind w:left="850"/>
        <w:jc w:val="left"/>
        <w:rPr>
          <w:rFonts w:ascii="华文楷体" w:hAnsi="华文楷体" w:eastAsia="华文楷体" w:cs="宋体"/>
          <w:color w:val="auto"/>
          <w:sz w:val="24"/>
          <w:szCs w:val="24"/>
        </w:rPr>
      </w:pPr>
      <w:bookmarkStart w:id="71" w:name="_Toc217903217"/>
      <w:bookmarkStart w:id="72" w:name="_Toc421189321"/>
      <w:bookmarkStart w:id="73" w:name="_Toc297378535"/>
      <w:bookmarkStart w:id="74" w:name="_Toc325723982"/>
      <w:bookmarkStart w:id="75" w:name="_Toc6397514"/>
      <w:bookmarkStart w:id="76" w:name="_Toc421520874"/>
      <w:bookmarkStart w:id="77" w:name="_Toc166088554"/>
      <w:r>
        <w:rPr>
          <w:rFonts w:hint="eastAsia" w:ascii="华文楷体" w:hAnsi="华文楷体" w:eastAsia="华文楷体" w:cs="宋体"/>
          <w:color w:val="auto"/>
          <w:sz w:val="24"/>
          <w:szCs w:val="24"/>
        </w:rPr>
        <w:t>信托成立</w:t>
      </w:r>
      <w:bookmarkEnd w:id="71"/>
      <w:bookmarkEnd w:id="72"/>
      <w:bookmarkEnd w:id="73"/>
      <w:bookmarkEnd w:id="74"/>
      <w:bookmarkEnd w:id="75"/>
      <w:bookmarkEnd w:id="76"/>
      <w:bookmarkEnd w:id="77"/>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 xml:space="preserve">5.1. </w:t>
      </w:r>
      <w:r>
        <w:rPr>
          <w:rFonts w:hint="eastAsia" w:ascii="华文楷体" w:hAnsi="华文楷体" w:eastAsia="华文楷体"/>
          <w:b w:val="0"/>
        </w:rPr>
        <w:t>本信托原则上在同时满足如下两个条件的两个工作日内成立并生效，具体成立日（生效日）以受托人通知为准：</w:t>
      </w:r>
    </w:p>
    <w:p>
      <w:pPr>
        <w:numPr>
          <w:ilvl w:val="0"/>
          <w:numId w:val="5"/>
        </w:numPr>
        <w:tabs>
          <w:tab w:val="left" w:pos="1276"/>
        </w:tabs>
        <w:adjustRightInd w:val="0"/>
        <w:snapToGrid w:val="0"/>
        <w:spacing w:line="360" w:lineRule="auto"/>
        <w:ind w:left="0" w:firstLine="424" w:firstLineChars="177"/>
        <w:rPr>
          <w:rFonts w:ascii="华文楷体" w:hAnsi="华文楷体" w:eastAsia="华文楷体" w:cs="宋体"/>
          <w:sz w:val="24"/>
        </w:rPr>
      </w:pPr>
      <w:r>
        <w:rPr>
          <w:rFonts w:hint="eastAsia" w:ascii="华文楷体" w:hAnsi="华文楷体" w:eastAsia="华文楷体" w:cs="宋体"/>
          <w:sz w:val="24"/>
        </w:rPr>
        <w:t>委托人交付第一笔信托资产至信托财产专户，并经受托人确认；</w:t>
      </w:r>
    </w:p>
    <w:p>
      <w:pPr>
        <w:numPr>
          <w:ilvl w:val="0"/>
          <w:numId w:val="5"/>
        </w:numPr>
        <w:tabs>
          <w:tab w:val="left" w:pos="1276"/>
        </w:tabs>
        <w:adjustRightInd w:val="0"/>
        <w:snapToGrid w:val="0"/>
        <w:spacing w:line="360" w:lineRule="auto"/>
        <w:ind w:left="0" w:firstLine="424" w:firstLineChars="177"/>
        <w:rPr>
          <w:rFonts w:ascii="华文楷体" w:hAnsi="华文楷体" w:eastAsia="华文楷体" w:cs="宋体"/>
          <w:sz w:val="24"/>
        </w:rPr>
      </w:pPr>
      <w:r>
        <w:rPr>
          <w:rFonts w:hint="eastAsia" w:ascii="华文楷体" w:hAnsi="华文楷体" w:eastAsia="华文楷体" w:cs="宋体"/>
          <w:sz w:val="24"/>
        </w:rPr>
        <w:t>委托人与受托人已签署信托合同。</w:t>
      </w:r>
    </w:p>
    <w:p>
      <w:pPr>
        <w:pStyle w:val="3"/>
        <w:keepNext w:val="0"/>
        <w:keepLines w:val="0"/>
        <w:spacing w:before="0" w:after="0" w:line="360" w:lineRule="auto"/>
        <w:rPr>
          <w:rFonts w:ascii="华文楷体" w:hAnsi="华文楷体" w:eastAsia="华文楷体"/>
          <w:b w:val="0"/>
        </w:rPr>
      </w:pPr>
      <w:bookmarkStart w:id="78" w:name="_Ref446006065"/>
      <w:r>
        <w:rPr>
          <w:rFonts w:hint="eastAsia" w:ascii="华文楷体" w:hAnsi="华文楷体" w:eastAsia="华文楷体"/>
        </w:rPr>
        <w:t xml:space="preserve">5.2. </w:t>
      </w:r>
      <w:r>
        <w:rPr>
          <w:rFonts w:hint="eastAsia" w:ascii="华文楷体" w:hAnsi="华文楷体" w:eastAsia="华文楷体"/>
          <w:b w:val="0"/>
        </w:rPr>
        <w:t>各类信托资产规模计算方式如下，具体成立规模以受托人通知为准：</w:t>
      </w:r>
      <w:bookmarkEnd w:id="78"/>
    </w:p>
    <w:p>
      <w:pPr>
        <w:numPr>
          <w:ilvl w:val="0"/>
          <w:numId w:val="6"/>
        </w:numPr>
        <w:tabs>
          <w:tab w:val="left" w:pos="1276"/>
        </w:tabs>
        <w:adjustRightInd w:val="0"/>
        <w:snapToGrid w:val="0"/>
        <w:spacing w:line="360" w:lineRule="auto"/>
        <w:ind w:left="0" w:firstLine="426"/>
        <w:rPr>
          <w:rFonts w:ascii="华文楷体" w:hAnsi="华文楷体" w:eastAsia="华文楷体" w:cs="宋体"/>
          <w:sz w:val="24"/>
        </w:rPr>
      </w:pPr>
      <w:r>
        <w:rPr>
          <w:rFonts w:hint="eastAsia" w:ascii="华文楷体" w:hAnsi="华文楷体" w:eastAsia="华文楷体" w:cs="宋体"/>
          <w:sz w:val="24"/>
        </w:rPr>
        <w:t>以资金形式交付的信托资产规模以委托人实际交付的金额为准。</w:t>
      </w:r>
    </w:p>
    <w:p>
      <w:pPr>
        <w:numPr>
          <w:ilvl w:val="0"/>
          <w:numId w:val="6"/>
        </w:numPr>
        <w:tabs>
          <w:tab w:val="left" w:pos="1276"/>
        </w:tabs>
        <w:adjustRightInd w:val="0"/>
        <w:snapToGrid w:val="0"/>
        <w:spacing w:line="360" w:lineRule="auto"/>
        <w:ind w:left="0" w:firstLine="426"/>
        <w:rPr>
          <w:rFonts w:ascii="华文楷体" w:hAnsi="华文楷体" w:eastAsia="华文楷体" w:cs="宋体"/>
          <w:sz w:val="24"/>
        </w:rPr>
      </w:pPr>
      <w:r>
        <w:rPr>
          <w:rFonts w:hint="eastAsia" w:ascii="华文楷体" w:hAnsi="华文楷体" w:eastAsia="华文楷体" w:cs="宋体"/>
          <w:sz w:val="24"/>
        </w:rPr>
        <w:t>以金融理财产品形式交付的信托资产规模以交付时剩余的金融理财产品份额对应标的资产的成本计价（即标的资产交付时剩余的持有份额×认购/申购时的单位净值）。</w:t>
      </w:r>
    </w:p>
    <w:p>
      <w:pPr>
        <w:numPr>
          <w:ilvl w:val="0"/>
          <w:numId w:val="6"/>
        </w:numPr>
        <w:tabs>
          <w:tab w:val="left" w:pos="1276"/>
        </w:tabs>
        <w:adjustRightInd w:val="0"/>
        <w:snapToGrid w:val="0"/>
        <w:spacing w:line="360" w:lineRule="auto"/>
        <w:ind w:left="0" w:firstLine="426"/>
        <w:rPr>
          <w:rFonts w:ascii="华文楷体" w:hAnsi="华文楷体" w:eastAsia="华文楷体" w:cs="宋体"/>
          <w:sz w:val="24"/>
        </w:rPr>
      </w:pPr>
      <w:r>
        <w:rPr>
          <w:rFonts w:hint="eastAsia" w:ascii="华文楷体" w:hAnsi="华文楷体" w:eastAsia="华文楷体" w:cs="宋体"/>
          <w:sz w:val="24"/>
        </w:rPr>
        <w:t>对于以其他形式交付的信托资产规模，以委托人与受托人共同认可的价值为准。</w:t>
      </w:r>
    </w:p>
    <w:p>
      <w:pPr>
        <w:pStyle w:val="2"/>
        <w:keepNext w:val="0"/>
        <w:numPr>
          <w:ilvl w:val="0"/>
          <w:numId w:val="3"/>
        </w:numPr>
        <w:tabs>
          <w:tab w:val="left" w:pos="425"/>
          <w:tab w:val="left" w:pos="1276"/>
        </w:tabs>
        <w:adjustRightInd w:val="0"/>
        <w:snapToGrid w:val="0"/>
        <w:spacing w:line="360" w:lineRule="auto"/>
        <w:ind w:left="850"/>
        <w:jc w:val="left"/>
        <w:rPr>
          <w:rFonts w:ascii="华文楷体" w:hAnsi="华文楷体" w:eastAsia="华文楷体" w:cs="宋体"/>
          <w:color w:val="auto"/>
          <w:sz w:val="24"/>
          <w:szCs w:val="24"/>
        </w:rPr>
      </w:pPr>
      <w:bookmarkStart w:id="79" w:name="_Toc6397515"/>
      <w:bookmarkStart w:id="80" w:name="_Toc421520875"/>
      <w:bookmarkStart w:id="81" w:name="_Toc325723983"/>
      <w:bookmarkStart w:id="82" w:name="_Toc297378536"/>
      <w:bookmarkStart w:id="83" w:name="_Toc217903218"/>
      <w:bookmarkStart w:id="84" w:name="_Toc421189322"/>
      <w:bookmarkStart w:id="85" w:name="_Toc166088556"/>
      <w:r>
        <w:rPr>
          <w:rFonts w:hint="eastAsia" w:ascii="华文楷体" w:hAnsi="华文楷体" w:eastAsia="华文楷体" w:cs="宋体"/>
          <w:color w:val="auto"/>
          <w:sz w:val="24"/>
          <w:szCs w:val="24"/>
        </w:rPr>
        <w:t>信托专户</w:t>
      </w:r>
      <w:bookmarkEnd w:id="79"/>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 xml:space="preserve">6.1. </w:t>
      </w:r>
      <w:r>
        <w:rPr>
          <w:rFonts w:hint="eastAsia" w:ascii="华文楷体" w:hAnsi="华文楷体" w:eastAsia="华文楷体"/>
          <w:b w:val="0"/>
        </w:rPr>
        <w:t>受托人为本信托在中国农业银行股份有限公司开设信托专户，并对信托财产进行单独管理。本信托的一切资金往来均需通过信托专户进行。受托人应完整记录并保留信托财产和信托财产使用情况的报表和文件。</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 xml:space="preserve">6.2. </w:t>
      </w:r>
      <w:r>
        <w:rPr>
          <w:rFonts w:ascii="华文楷体" w:hAnsi="华文楷体" w:eastAsia="华文楷体"/>
          <w:b w:val="0"/>
        </w:rPr>
        <w:t>受托人不得使用本信托项下的信托专户进行本信托以外的任何活动。</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6.3.</w:t>
      </w:r>
      <w:r>
        <w:rPr>
          <w:rFonts w:ascii="华文楷体" w:hAnsi="华文楷体" w:eastAsia="华文楷体"/>
          <w:b w:val="0"/>
        </w:rPr>
        <w:t>为了提高信托财产管理的透明度，保障受益人的利益，受托人聘请</w:t>
      </w:r>
      <w:r>
        <w:rPr>
          <w:rFonts w:hint="eastAsia" w:ascii="华文楷体" w:hAnsi="华文楷体" w:eastAsia="华文楷体"/>
          <w:b w:val="0"/>
        </w:rPr>
        <w:t>中国农业</w:t>
      </w:r>
      <w:r>
        <w:rPr>
          <w:rFonts w:ascii="华文楷体" w:hAnsi="华文楷体" w:eastAsia="华文楷体"/>
          <w:b w:val="0"/>
        </w:rPr>
        <w:t>银行股份有限公司对信托专户进行保管，且</w:t>
      </w:r>
      <w:r>
        <w:rPr>
          <w:rFonts w:hint="eastAsia" w:ascii="华文楷体" w:hAnsi="华文楷体" w:eastAsia="华文楷体"/>
          <w:b w:val="0"/>
        </w:rPr>
        <w:t>中国农业</w:t>
      </w:r>
      <w:r>
        <w:rPr>
          <w:rFonts w:ascii="华文楷体" w:hAnsi="华文楷体" w:eastAsia="华文楷体"/>
          <w:b w:val="0"/>
        </w:rPr>
        <w:t>银行股份有限公司根据法律规定及与受托人签署的《资金保管合同》的约定对该账户予以监督。</w:t>
      </w:r>
    </w:p>
    <w:p>
      <w:pPr>
        <w:pStyle w:val="3"/>
        <w:keepNext w:val="0"/>
        <w:keepLines w:val="0"/>
        <w:spacing w:before="0" w:afterLines="50" w:line="360" w:lineRule="auto"/>
        <w:rPr>
          <w:rFonts w:ascii="华文楷体" w:hAnsi="华文楷体" w:eastAsia="华文楷体"/>
          <w:b w:val="0"/>
        </w:rPr>
      </w:pPr>
      <w:r>
        <w:rPr>
          <w:rFonts w:ascii="华文楷体" w:hAnsi="华文楷体" w:eastAsia="华文楷体"/>
        </w:rPr>
        <w:pict>
          <v:rect id="Text Box 40" o:spid="_x0000_s1027" o:spt="1" style="position:absolute;left:0pt;margin-left:-70.75pt;margin-top:-451.25pt;height:0.7pt;width:0.7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">
            <v:path/>
            <v:fill focussize="0,0"/>
            <v:stroke/>
            <v:imagedata o:title=""/>
            <o:lock v:ext="edit"/>
            <v:textbox>
              <w:txbxContent>
                <w:p/>
              </w:txbxContent>
            </v:textbox>
          </v:rect>
        </w:pict>
      </w:r>
      <w:r>
        <w:rPr>
          <w:rFonts w:hint="eastAsia" w:ascii="华文楷体" w:hAnsi="华文楷体" w:eastAsia="华文楷体"/>
        </w:rPr>
        <w:t xml:space="preserve">6.4. </w:t>
      </w:r>
      <w:r>
        <w:rPr>
          <w:rFonts w:ascii="华文楷体" w:hAnsi="华文楷体" w:eastAsia="华文楷体"/>
          <w:b w:val="0"/>
        </w:rPr>
        <w:t>依本合同所设立的信托财产专户名称应以法律法规、行业惯例以及受托人或者保管银行的规定而定；但信托财产投资运用于国外投资标的时，则需依照受托人与国外相关机构的法律约定予以办理。</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86" w:name="_Toc6397516"/>
      <w:r>
        <w:rPr>
          <w:rFonts w:hint="eastAsia" w:ascii="华文楷体" w:hAnsi="华文楷体" w:eastAsia="华文楷体" w:cs="宋体"/>
          <w:color w:val="auto"/>
          <w:sz w:val="24"/>
          <w:szCs w:val="24"/>
        </w:rPr>
        <w:t>信托财产的</w:t>
      </w:r>
      <w:bookmarkEnd w:id="80"/>
      <w:bookmarkEnd w:id="81"/>
      <w:bookmarkEnd w:id="82"/>
      <w:bookmarkEnd w:id="83"/>
      <w:bookmarkEnd w:id="84"/>
      <w:r>
        <w:rPr>
          <w:rFonts w:hint="eastAsia" w:ascii="华文楷体" w:hAnsi="华文楷体" w:eastAsia="华文楷体" w:cs="宋体"/>
          <w:color w:val="auto"/>
          <w:sz w:val="24"/>
          <w:szCs w:val="24"/>
        </w:rPr>
        <w:t>管理及运用方法</w:t>
      </w:r>
      <w:bookmarkEnd w:id="86"/>
    </w:p>
    <w:p>
      <w:pPr>
        <w:pStyle w:val="3"/>
        <w:keepNext w:val="0"/>
        <w:keepLines w:val="0"/>
        <w:spacing w:before="120" w:line="360" w:lineRule="auto"/>
        <w:rPr>
          <w:rFonts w:ascii="华文楷体" w:hAnsi="华文楷体" w:eastAsia="华文楷体"/>
          <w:b w:val="0"/>
        </w:rPr>
      </w:pPr>
      <w:r>
        <w:rPr>
          <w:rFonts w:hint="eastAsia" w:ascii="华文楷体" w:hAnsi="华文楷体" w:eastAsia="华文楷体"/>
        </w:rPr>
        <w:t xml:space="preserve">7.1. </w:t>
      </w:r>
      <w:r>
        <w:rPr>
          <w:rFonts w:hint="eastAsia" w:ascii="华文楷体" w:hAnsi="华文楷体" w:eastAsia="华文楷体"/>
          <w:b w:val="0"/>
          <w:bCs w:val="0"/>
        </w:rPr>
        <w:t>委托人在此确认并同意：委托人指定并要求受托人聘请中国农业银行股份有限公司作为财务顾问机构，对信托财产管理运用处分提供财务顾问服务。受</w:t>
      </w:r>
      <w:r>
        <w:rPr>
          <w:rFonts w:hint="eastAsia" w:ascii="华文楷体" w:hAnsi="华文楷体" w:eastAsia="华文楷体"/>
          <w:b w:val="0"/>
        </w:rPr>
        <w:t>托人根据委托人的指定和要求，聘请中国农业银行股份有限公司担任委托投资资产的财务顾问机构。信托资金拟投资产品或资产若由财务顾问机构推荐，则由委托人或委托人的被授权人（若有）、财务顾问机构进行尽职调查，受托人无须进行。信托资金投资可能产生的风险全部由信托财产承担。本信托运行期间，受托人保留对信托资金拟投资产品或资产进行调查的权利，以确认投资行为是否合法合规。委托人确认并同意，在本信托期限内，财务顾问机构按照《投资管理及财务顾问合同》的约定就委托投资资产的管理运用向受托人提供财务顾问服务。财务顾问机构应根据《投资管理及财务顾问合同》的约定向受托人发出财务顾问建议，受托人</w:t>
      </w:r>
      <w:r>
        <w:rPr>
          <w:rFonts w:ascii="华文楷体" w:hAnsi="华文楷体" w:eastAsia="华文楷体"/>
          <w:b w:val="0"/>
        </w:rPr>
        <w:t>根据《</w:t>
      </w:r>
      <w:r>
        <w:rPr>
          <w:rFonts w:hint="eastAsia" w:ascii="华文楷体" w:hAnsi="华文楷体" w:eastAsia="华文楷体"/>
          <w:b w:val="0"/>
        </w:rPr>
        <w:t>投资管理及财务顾问合同</w:t>
      </w:r>
      <w:r>
        <w:rPr>
          <w:rFonts w:ascii="华文楷体" w:hAnsi="华文楷体" w:eastAsia="华文楷体"/>
          <w:b w:val="0"/>
        </w:rPr>
        <w:t>》</w:t>
      </w:r>
      <w:r>
        <w:rPr>
          <w:rFonts w:hint="eastAsia" w:ascii="华文楷体" w:hAnsi="华文楷体" w:eastAsia="华文楷体"/>
          <w:b w:val="0"/>
        </w:rPr>
        <w:t>的</w:t>
      </w:r>
      <w:r>
        <w:rPr>
          <w:rFonts w:ascii="华文楷体" w:hAnsi="华文楷体" w:eastAsia="华文楷体"/>
          <w:b w:val="0"/>
        </w:rPr>
        <w:t>约定执行</w:t>
      </w:r>
      <w:r>
        <w:rPr>
          <w:rFonts w:hint="eastAsia" w:ascii="华文楷体" w:hAnsi="华文楷体" w:eastAsia="华文楷体"/>
          <w:b w:val="0"/>
        </w:rPr>
        <w:t>财务顾问建议</w:t>
      </w:r>
      <w:r>
        <w:rPr>
          <w:rFonts w:ascii="华文楷体" w:hAnsi="华文楷体" w:eastAsia="华文楷体"/>
          <w:b w:val="0"/>
        </w:rPr>
        <w:t>，</w:t>
      </w:r>
      <w:r>
        <w:rPr>
          <w:rFonts w:hint="eastAsia" w:ascii="华文楷体" w:hAnsi="华文楷体" w:eastAsia="华文楷体"/>
          <w:b w:val="0"/>
        </w:rPr>
        <w:t>财务顾问建议的发出和确认依据《投资管理及财务顾问合同》的约定进行。</w:t>
      </w:r>
      <w:r>
        <w:rPr>
          <w:rFonts w:hint="eastAsia" w:ascii="华文楷体" w:hAnsi="华文楷体" w:eastAsia="华文楷体"/>
        </w:rPr>
        <w:t>受托人按上述约定对委托投资资产进行投资所产生的投资收益及投资损失均由信托财产承担，与受托人无关。</w:t>
      </w:r>
      <w:r>
        <w:rPr>
          <w:rFonts w:hint="eastAsia" w:ascii="华文楷体" w:hAnsi="华文楷体" w:eastAsia="华文楷体"/>
          <w:b w:val="0"/>
        </w:rPr>
        <w:t>关于委托投资资产的投资范围、投资策略等详见本合同附件4《信托财产投资管理约定函》。关于委托投资资产的投资方式、具体管理职责等详见委托人、受托人与财务顾问机构签署的《投资管理及财务顾问合同》。</w:t>
      </w:r>
    </w:p>
    <w:p>
      <w:pPr>
        <w:pStyle w:val="3"/>
        <w:keepNext w:val="0"/>
        <w:keepLines w:val="0"/>
        <w:spacing w:before="0" w:after="0" w:line="360" w:lineRule="auto"/>
        <w:rPr>
          <w:rFonts w:ascii="华文楷体" w:hAnsi="华文楷体" w:eastAsia="华文楷体"/>
          <w:b w:val="0"/>
          <w:bCs w:val="0"/>
        </w:rPr>
      </w:pPr>
      <w:r>
        <w:rPr>
          <w:rFonts w:hint="eastAsia" w:ascii="华文楷体" w:hAnsi="华文楷体" w:eastAsia="华文楷体"/>
        </w:rPr>
        <w:t xml:space="preserve">7.2. </w:t>
      </w:r>
      <w:r>
        <w:rPr>
          <w:rFonts w:hint="eastAsia" w:ascii="华文楷体" w:hAnsi="华文楷体" w:eastAsia="华文楷体"/>
          <w:b w:val="0"/>
        </w:rPr>
        <w:t>若财务顾问机构做出的财务顾问建议违反法律法规、监管政策或信托文件的约定，或执行财务顾问建议将对受托人造成声誉等负面影响的，受托人有权拒</w:t>
      </w:r>
      <w:r>
        <w:rPr>
          <w:rFonts w:hint="eastAsia" w:ascii="华文楷体" w:hAnsi="华文楷体" w:eastAsia="华文楷体"/>
          <w:b w:val="0"/>
          <w:bCs w:val="0"/>
        </w:rPr>
        <w:t>绝按照财务顾问的财务顾问建议进行操作，因此可能产生的风险或损失由信托财产承担。受托人拒绝按照财务顾问的财务顾问建议进行操作的，将及时通知委托人</w:t>
      </w:r>
      <w:r>
        <w:rPr>
          <w:rFonts w:hint="eastAsia" w:ascii="华文楷体" w:hAnsi="华文楷体" w:eastAsia="华文楷体"/>
          <w:b w:val="0"/>
        </w:rPr>
        <w:t>或委托人的被授权人（若有）</w:t>
      </w:r>
      <w:r>
        <w:rPr>
          <w:rFonts w:hint="eastAsia" w:ascii="华文楷体" w:hAnsi="华文楷体" w:eastAsia="华文楷体"/>
          <w:b w:val="0"/>
          <w:bCs w:val="0"/>
        </w:rPr>
        <w:t>、财务顾问机构。</w:t>
      </w:r>
    </w:p>
    <w:p>
      <w:pPr>
        <w:pStyle w:val="3"/>
        <w:keepNext w:val="0"/>
        <w:keepLines w:val="0"/>
        <w:spacing w:before="0" w:after="0" w:line="360" w:lineRule="auto"/>
        <w:rPr>
          <w:rFonts w:ascii="华文楷体" w:hAnsi="华文楷体" w:eastAsia="华文楷体" w:cs="宋体"/>
          <w:color w:val="0000FF"/>
          <w:kern w:val="0"/>
          <w:sz w:val="22"/>
          <w:szCs w:val="22"/>
          <w:lang w:val="zh-CN"/>
        </w:rPr>
      </w:pPr>
      <w:r>
        <w:rPr>
          <w:rFonts w:hint="eastAsia" w:ascii="华文楷体" w:hAnsi="华文楷体" w:eastAsia="华文楷体"/>
        </w:rPr>
        <w:t>7.</w:t>
      </w:r>
      <w:r>
        <w:rPr>
          <w:rFonts w:ascii="华文楷体" w:hAnsi="华文楷体" w:eastAsia="华文楷体"/>
        </w:rPr>
        <w:t>3</w:t>
      </w:r>
      <w:r>
        <w:rPr>
          <w:rFonts w:hint="eastAsia" w:ascii="华文楷体" w:hAnsi="华文楷体" w:eastAsia="华文楷体"/>
        </w:rPr>
        <w:t xml:space="preserve">. </w:t>
      </w:r>
      <w:r>
        <w:rPr>
          <w:rFonts w:hint="eastAsia" w:ascii="华文楷体" w:hAnsi="华文楷体" w:eastAsia="华文楷体"/>
          <w:b w:val="0"/>
        </w:rPr>
        <w:t>若投资产品为受托人提供的产品（即受托人内部审批准入的产品），受托人将其认为委托投资资产可以投资的完整产品信息发送给财务顾问机构，财务顾问机构收到后履行内部的审批流程，审批通过后财务顾问机构不再提出财务顾问建议，仅向受托人出具《长安信托产品配置知晓书》及《产品配置委托人知晓通知书》（若有）。受托人收到上述知晓书和通知书后进行投资操作。关于委托投资资产的投资方式、具体管理职责等详见委托人、受托人与财务顾问机构签署的《投资管理及财务顾问合同》。</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7.</w:t>
      </w:r>
      <w:r>
        <w:rPr>
          <w:rFonts w:ascii="华文楷体" w:hAnsi="华文楷体" w:eastAsia="华文楷体"/>
        </w:rPr>
        <w:t>4</w:t>
      </w:r>
      <w:r>
        <w:rPr>
          <w:rFonts w:hint="eastAsia" w:ascii="华文楷体" w:hAnsi="华文楷体" w:eastAsia="华文楷体"/>
        </w:rPr>
        <w:t xml:space="preserve">. </w:t>
      </w:r>
      <w:r>
        <w:rPr>
          <w:rFonts w:hint="eastAsia" w:ascii="华文楷体" w:hAnsi="华文楷体" w:eastAsia="华文楷体"/>
          <w:b w:val="0"/>
        </w:rPr>
        <w:t>受托人将信托财产与其固有财产分别管理、分别记账，并与其管理的其他信托财产分别管理、分别记账。</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7.</w:t>
      </w:r>
      <w:r>
        <w:rPr>
          <w:rFonts w:ascii="华文楷体" w:hAnsi="华文楷体" w:eastAsia="华文楷体"/>
        </w:rPr>
        <w:t>5</w:t>
      </w:r>
      <w:r>
        <w:rPr>
          <w:rFonts w:hint="eastAsia" w:ascii="华文楷体" w:hAnsi="华文楷体" w:eastAsia="华文楷体"/>
        </w:rPr>
        <w:t xml:space="preserve">. </w:t>
      </w:r>
      <w:r>
        <w:rPr>
          <w:rFonts w:hint="eastAsia" w:ascii="华文楷体" w:hAnsi="华文楷体" w:eastAsia="华文楷体"/>
          <w:b w:val="0"/>
        </w:rPr>
        <w:t>受托人按本合同约定的方式，管理、运用及处分信托财产，以实现受益人利益的最大化。</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7.</w:t>
      </w:r>
      <w:r>
        <w:rPr>
          <w:rFonts w:ascii="华文楷体" w:hAnsi="华文楷体" w:eastAsia="华文楷体"/>
        </w:rPr>
        <w:t>6</w:t>
      </w:r>
      <w:r>
        <w:rPr>
          <w:rFonts w:hint="eastAsia" w:ascii="华文楷体" w:hAnsi="华文楷体" w:eastAsia="华文楷体"/>
        </w:rPr>
        <w:t xml:space="preserve">. </w:t>
      </w:r>
      <w:r>
        <w:rPr>
          <w:rFonts w:hint="eastAsia" w:ascii="华文楷体" w:hAnsi="华文楷体" w:eastAsia="华文楷体"/>
          <w:b w:val="0"/>
        </w:rPr>
        <w:t>受托人认为适当时，可将信托事务委托给第三人代为处理。受托人将信托事务委托第三人代理的，应当对第三人处理信托事务的行为承担责任。</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7.</w:t>
      </w:r>
      <w:r>
        <w:rPr>
          <w:rFonts w:ascii="华文楷体" w:hAnsi="华文楷体" w:eastAsia="华文楷体"/>
        </w:rPr>
        <w:t>7</w:t>
      </w:r>
      <w:r>
        <w:rPr>
          <w:rFonts w:hint="eastAsia" w:ascii="华文楷体" w:hAnsi="华文楷体" w:eastAsia="华文楷体"/>
        </w:rPr>
        <w:t xml:space="preserve">. </w:t>
      </w:r>
      <w:r>
        <w:rPr>
          <w:rFonts w:hint="eastAsia" w:ascii="华文楷体" w:hAnsi="华文楷体" w:eastAsia="华文楷体"/>
          <w:b w:val="0"/>
        </w:rPr>
        <w:t>委托人/受益人在此确认：本信托期限内，按照《投资管理及财务顾问合同》约定的投资流程，受托人有权将信托财产与受托人的固有财产或者受托人管理的不同委托人的信托财产以公平的市场价格进行相互交易。</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7.</w:t>
      </w:r>
      <w:r>
        <w:rPr>
          <w:rFonts w:ascii="华文楷体" w:hAnsi="华文楷体" w:eastAsia="华文楷体"/>
        </w:rPr>
        <w:t>8</w:t>
      </w:r>
      <w:r>
        <w:rPr>
          <w:rFonts w:hint="eastAsia" w:ascii="华文楷体" w:hAnsi="华文楷体" w:eastAsia="华文楷体"/>
        </w:rPr>
        <w:t xml:space="preserve">. </w:t>
      </w:r>
      <w:r>
        <w:rPr>
          <w:rFonts w:hint="eastAsia" w:ascii="华文楷体" w:hAnsi="华文楷体" w:eastAsia="华文楷体"/>
          <w:b w:val="0"/>
        </w:rPr>
        <w:t>信托资金运用于存款以外的投资标的，不受存款保险制度的保障。</w:t>
      </w:r>
    </w:p>
    <w:p>
      <w:pPr>
        <w:pStyle w:val="3"/>
        <w:keepNext w:val="0"/>
        <w:keepLines w:val="0"/>
        <w:spacing w:before="0" w:after="0" w:line="360" w:lineRule="auto"/>
        <w:rPr>
          <w:rFonts w:ascii="华文楷体" w:hAnsi="华文楷体" w:eastAsia="华文楷体"/>
          <w:b w:val="0"/>
        </w:rPr>
      </w:pPr>
      <w:r>
        <w:rPr>
          <w:rFonts w:ascii="华文楷体" w:hAnsi="华文楷体" w:eastAsia="华文楷体"/>
        </w:rPr>
        <w:t>7.9</w:t>
      </w:r>
      <w:r>
        <w:rPr>
          <w:rFonts w:hint="eastAsia" w:ascii="华文楷体" w:hAnsi="华文楷体" w:eastAsia="华文楷体"/>
        </w:rPr>
        <w:t xml:space="preserve">. </w:t>
      </w:r>
      <w:r>
        <w:rPr>
          <w:rFonts w:hint="eastAsia" w:ascii="华文楷体" w:hAnsi="华文楷体" w:eastAsia="华文楷体"/>
          <w:b w:val="0"/>
        </w:rPr>
        <w:t>委托人、受益人及受托人应遵守信托业务或投资标的本身的相关规定及其适用的法律。如该投资标的为国外投资标的时，委托人、受益人及受托人也应遵守投资该投资标的应遵守的相关法律规定、发行机构约定及相关合同约定。</w:t>
      </w:r>
    </w:p>
    <w:p>
      <w:pPr>
        <w:pStyle w:val="3"/>
        <w:keepNext w:val="0"/>
        <w:keepLines w:val="0"/>
        <w:spacing w:before="0" w:after="0" w:line="360" w:lineRule="auto"/>
        <w:rPr>
          <w:rFonts w:ascii="华文楷体" w:hAnsi="华文楷体" w:eastAsia="华文楷体"/>
          <w:b w:val="0"/>
        </w:rPr>
      </w:pPr>
      <w:r>
        <w:rPr>
          <w:rFonts w:ascii="华文楷体" w:hAnsi="华文楷体" w:eastAsia="华文楷体"/>
        </w:rPr>
        <w:t>7.10</w:t>
      </w:r>
      <w:r>
        <w:rPr>
          <w:rFonts w:hint="eastAsia" w:ascii="华文楷体" w:hAnsi="华文楷体" w:eastAsia="华文楷体"/>
        </w:rPr>
        <w:t xml:space="preserve">. </w:t>
      </w:r>
      <w:r>
        <w:rPr>
          <w:rFonts w:hint="eastAsia" w:ascii="华文楷体" w:hAnsi="华文楷体" w:eastAsia="华文楷体"/>
          <w:b w:val="0"/>
        </w:rPr>
        <w:t>若受托人获得交易对手或投资标的发行人（所有人）有关增（减）</w:t>
      </w:r>
    </w:p>
    <w:p>
      <w:pPr>
        <w:spacing w:line="360" w:lineRule="auto"/>
        <w:rPr>
          <w:rFonts w:ascii="华文楷体" w:hAnsi="华文楷体" w:eastAsia="华文楷体"/>
          <w:sz w:val="24"/>
        </w:rPr>
      </w:pPr>
      <w:r>
        <w:rPr>
          <w:rFonts w:hint="eastAsia" w:ascii="华文楷体" w:hAnsi="华文楷体" w:eastAsia="华文楷体"/>
          <w:sz w:val="24"/>
        </w:rPr>
        <w:t>资、清算、变更（包括名称、计价币别、计价方式、投资数额等）、合并、分立、并购、解散、暂停交易或暂停交割、清算、重大对外担保、运营困难或其他不得已事由等通知时，或因法律限制或其发行机构的规定，致受托人不能进行投资或继续投资时，如需委托人、受益人配合办理相关事务，则委托人、受益人同意配合办理该等事务或终止该项投资，由此产生的费用支出、损失或利益由信托财产承担。如有届时之现金类信托财产不足以承担前述费用支出、损失进而形成差额的，则委托人有义务补足差额，受益人对该补足义务承担连带责任。如委托人或受益人未在限定时间内补足支付差额费用，则受托人有权直接变现信托财产后对上述差额予以补足。无论如何，受托人对上述差额没有垫付义务，但受托人如以固有财产先行垫付的，则针对该垫付资金及其资金成本形成信托财产对受托人固有财产的负债，受托人享有针对信托财产对应金额的优先受偿权。如非因受托人的过错导致信托财产未能及时变现以补足差额，致使信托财产遭受损失的，受托人不承担任何责任。</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7.1</w:t>
      </w:r>
      <w:r>
        <w:rPr>
          <w:rFonts w:ascii="华文楷体" w:hAnsi="华文楷体" w:eastAsia="华文楷体"/>
        </w:rPr>
        <w:t>1</w:t>
      </w:r>
      <w:r>
        <w:rPr>
          <w:rFonts w:hint="eastAsia" w:ascii="华文楷体" w:hAnsi="华文楷体" w:eastAsia="华文楷体"/>
        </w:rPr>
        <w:t>.</w:t>
      </w:r>
      <w:r>
        <w:rPr>
          <w:rFonts w:ascii="华文楷体" w:hAnsi="华文楷体" w:eastAsia="华文楷体"/>
          <w:b w:val="0"/>
        </w:rPr>
        <w:t>信托财产的估值</w:t>
      </w:r>
      <w:r>
        <w:rPr>
          <w:rFonts w:hint="eastAsia" w:ascii="华文楷体" w:hAnsi="华文楷体" w:eastAsia="华文楷体"/>
          <w:b w:val="0"/>
        </w:rPr>
        <w:t>方式</w:t>
      </w:r>
      <w:r>
        <w:rPr>
          <w:rFonts w:ascii="华文楷体" w:hAnsi="华文楷体" w:eastAsia="华文楷体"/>
          <w:b w:val="0"/>
        </w:rPr>
        <w:t>、估值</w:t>
      </w:r>
      <w:r>
        <w:rPr>
          <w:rFonts w:hint="eastAsia" w:ascii="华文楷体" w:hAnsi="华文楷体" w:eastAsia="华文楷体"/>
          <w:b w:val="0"/>
        </w:rPr>
        <w:t>频率</w:t>
      </w:r>
      <w:r>
        <w:rPr>
          <w:rFonts w:ascii="华文楷体" w:hAnsi="华文楷体" w:eastAsia="华文楷体"/>
          <w:b w:val="0"/>
        </w:rPr>
        <w:t>等</w:t>
      </w:r>
      <w:r>
        <w:rPr>
          <w:rFonts w:hint="eastAsia" w:ascii="华文楷体" w:hAnsi="华文楷体" w:eastAsia="华文楷体"/>
          <w:b w:val="0"/>
        </w:rPr>
        <w:t>以本协议附件5《信托财产估值规则》为准。</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7.1</w:t>
      </w:r>
      <w:r>
        <w:rPr>
          <w:rFonts w:ascii="华文楷体" w:hAnsi="华文楷体" w:eastAsia="华文楷体"/>
        </w:rPr>
        <w:t>2</w:t>
      </w:r>
      <w:r>
        <w:rPr>
          <w:rFonts w:hint="eastAsia" w:ascii="华文楷体" w:hAnsi="华文楷体" w:eastAsia="华文楷体"/>
        </w:rPr>
        <w:t xml:space="preserve">. </w:t>
      </w:r>
      <w:r>
        <w:rPr>
          <w:rFonts w:ascii="华文楷体" w:hAnsi="华文楷体" w:eastAsia="华文楷体"/>
        </w:rPr>
        <w:t>信托业保障基金的认购</w:t>
      </w:r>
    </w:p>
    <w:p>
      <w:pPr>
        <w:tabs>
          <w:tab w:val="left" w:pos="567"/>
          <w:tab w:val="left" w:pos="993"/>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受托人</w:t>
      </w:r>
      <w:r>
        <w:rPr>
          <w:rFonts w:ascii="华文楷体" w:hAnsi="华文楷体" w:eastAsia="华文楷体" w:cs="宋体"/>
          <w:sz w:val="24"/>
        </w:rPr>
        <w:t>根据《信托业保障基金管理办法》、《中国银监会办公厅关于做好信托业保障基金筹集和管理</w:t>
      </w:r>
      <w:r>
        <w:rPr>
          <w:rFonts w:hint="eastAsia" w:ascii="华文楷体" w:hAnsi="华文楷体" w:eastAsia="华文楷体" w:cs="宋体"/>
          <w:sz w:val="24"/>
        </w:rPr>
        <w:t>等</w:t>
      </w:r>
      <w:r>
        <w:rPr>
          <w:rFonts w:ascii="华文楷体" w:hAnsi="华文楷体" w:eastAsia="华文楷体" w:cs="宋体"/>
          <w:sz w:val="24"/>
        </w:rPr>
        <w:t>有关具体事项的通知》（银监办发【201</w:t>
      </w:r>
      <w:r>
        <w:rPr>
          <w:rFonts w:hint="eastAsia" w:ascii="华文楷体" w:hAnsi="华文楷体" w:eastAsia="华文楷体" w:cs="宋体"/>
          <w:sz w:val="24"/>
        </w:rPr>
        <w:t>5</w:t>
      </w:r>
      <w:r>
        <w:rPr>
          <w:rFonts w:ascii="华文楷体" w:hAnsi="华文楷体" w:eastAsia="华文楷体" w:cs="宋体"/>
          <w:sz w:val="24"/>
        </w:rPr>
        <w:t>】32号）的规定</w:t>
      </w:r>
      <w:r>
        <w:rPr>
          <w:rFonts w:hint="eastAsia" w:ascii="华文楷体" w:hAnsi="华文楷体" w:eastAsia="华文楷体" w:cs="宋体"/>
          <w:sz w:val="24"/>
        </w:rPr>
        <w:t>认购信托业保障基金。其中，属于</w:t>
      </w:r>
      <w:r>
        <w:rPr>
          <w:rFonts w:ascii="华文楷体" w:hAnsi="华文楷体" w:eastAsia="华文楷体" w:cs="宋体"/>
          <w:sz w:val="24"/>
        </w:rPr>
        <w:t>投资性资金信托</w:t>
      </w:r>
      <w:r>
        <w:rPr>
          <w:rFonts w:hint="eastAsia" w:ascii="华文楷体" w:hAnsi="华文楷体" w:eastAsia="华文楷体" w:cs="宋体"/>
          <w:sz w:val="24"/>
        </w:rPr>
        <w:t>的部分</w:t>
      </w:r>
      <w:r>
        <w:rPr>
          <w:rFonts w:ascii="华文楷体" w:hAnsi="华文楷体" w:eastAsia="华文楷体" w:cs="宋体"/>
          <w:sz w:val="24"/>
        </w:rPr>
        <w:t>，受托人将按照</w:t>
      </w:r>
      <w:r>
        <w:rPr>
          <w:rFonts w:hint="eastAsia" w:ascii="华文楷体" w:hAnsi="华文楷体" w:eastAsia="华文楷体" w:cs="宋体"/>
          <w:sz w:val="24"/>
        </w:rPr>
        <w:t>《信托业保障基金管理办法》相关规定</w:t>
      </w:r>
      <w:r>
        <w:rPr>
          <w:rFonts w:ascii="华文楷体" w:hAnsi="华文楷体" w:eastAsia="华文楷体" w:cs="宋体"/>
          <w:sz w:val="24"/>
        </w:rPr>
        <w:t>以信托财产代表本信托认购</w:t>
      </w:r>
      <w:r>
        <w:rPr>
          <w:rFonts w:hint="eastAsia" w:ascii="华文楷体" w:hAnsi="华文楷体" w:eastAsia="华文楷体" w:cs="宋体"/>
          <w:sz w:val="24"/>
        </w:rPr>
        <w:t>信托业</w:t>
      </w:r>
      <w:r>
        <w:rPr>
          <w:rFonts w:ascii="华文楷体" w:hAnsi="华文楷体" w:eastAsia="华文楷体" w:cs="宋体"/>
          <w:sz w:val="24"/>
        </w:rPr>
        <w:t>保障基金。受托人认购</w:t>
      </w:r>
      <w:r>
        <w:rPr>
          <w:rFonts w:hint="eastAsia" w:ascii="华文楷体" w:hAnsi="华文楷体" w:eastAsia="华文楷体" w:cs="宋体"/>
          <w:sz w:val="24"/>
        </w:rPr>
        <w:t>信托业</w:t>
      </w:r>
      <w:r>
        <w:rPr>
          <w:rFonts w:ascii="华文楷体" w:hAnsi="华文楷体" w:eastAsia="华文楷体" w:cs="宋体"/>
          <w:sz w:val="24"/>
        </w:rPr>
        <w:t>保障基金作为信托财产投资组合的一部分</w:t>
      </w:r>
      <w:r>
        <w:rPr>
          <w:rFonts w:hint="eastAsia" w:ascii="华文楷体" w:hAnsi="华文楷体" w:eastAsia="华文楷体" w:cs="宋体"/>
          <w:sz w:val="24"/>
        </w:rPr>
        <w:t>，此部分由信托财产承担。受托人执行上述操作无需财务顾问出具投资指令。</w:t>
      </w:r>
      <w:r>
        <w:rPr>
          <w:rFonts w:hint="eastAsia" w:ascii="华文楷体" w:hAnsi="华文楷体" w:eastAsia="华文楷体"/>
          <w:sz w:val="24"/>
        </w:rPr>
        <w:t>依上述约定认购的信托业保障基金的收益分配与结算具体方式以届时有权机关或机构的有效规定为准。</w:t>
      </w:r>
    </w:p>
    <w:bookmarkEnd w:id="85"/>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87" w:name="_Ref446940714"/>
      <w:bookmarkStart w:id="88" w:name="_Ref446589211"/>
      <w:bookmarkStart w:id="89" w:name="_Toc6397517"/>
      <w:bookmarkStart w:id="90" w:name="_Toc421520876"/>
      <w:bookmarkStart w:id="91" w:name="_Toc217903220"/>
      <w:bookmarkStart w:id="92" w:name="_Toc166088557"/>
      <w:bookmarkStart w:id="93" w:name="_Toc325723984"/>
      <w:bookmarkStart w:id="94" w:name="_Toc297378538"/>
      <w:bookmarkStart w:id="95" w:name="_Toc421189323"/>
      <w:r>
        <w:rPr>
          <w:rFonts w:hint="eastAsia" w:ascii="华文楷体" w:hAnsi="华文楷体" w:eastAsia="华文楷体" w:cs="宋体"/>
          <w:color w:val="auto"/>
          <w:sz w:val="24"/>
          <w:szCs w:val="24"/>
        </w:rPr>
        <w:t>信托费用的范围及其支付方法</w:t>
      </w:r>
      <w:bookmarkEnd w:id="87"/>
      <w:bookmarkEnd w:id="88"/>
      <w:bookmarkEnd w:id="89"/>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8.1</w:t>
      </w:r>
      <w:r>
        <w:rPr>
          <w:rFonts w:hint="eastAsia" w:ascii="华文楷体" w:hAnsi="华文楷体" w:eastAsia="华文楷体"/>
          <w:b w:val="0"/>
        </w:rPr>
        <w:t xml:space="preserve">. </w:t>
      </w:r>
      <w:r>
        <w:rPr>
          <w:rFonts w:ascii="华文楷体" w:hAnsi="华文楷体" w:eastAsia="华文楷体"/>
          <w:b w:val="0"/>
        </w:rPr>
        <w:t>本信托项下下列信托费用由信托财产承担。本合同未事先约定的信托费用或信托费用变更的，由受托人与委托人（委托人发生突发事件时为受益人</w:t>
      </w:r>
      <w:r>
        <w:rPr>
          <w:rFonts w:hint="eastAsia" w:ascii="华文楷体" w:hAnsi="华文楷体" w:eastAsia="华文楷体"/>
          <w:b w:val="0"/>
        </w:rPr>
        <w:t>，受益人意思表示的具体产生方法详见本合同16.3条款的约定</w:t>
      </w:r>
      <w:r>
        <w:rPr>
          <w:rFonts w:ascii="华文楷体" w:hAnsi="华文楷体" w:eastAsia="华文楷体"/>
          <w:b w:val="0"/>
        </w:rPr>
        <w:t>）签署补充协议予以约定。本合同未事先约定和补充约定的费用，不得从信托财产中支取。</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8.1.1</w:t>
      </w:r>
      <w:r>
        <w:rPr>
          <w:rFonts w:ascii="华文楷体" w:hAnsi="华文楷体" w:eastAsia="华文楷体" w:cs="宋体"/>
          <w:b w:val="0"/>
          <w:sz w:val="24"/>
        </w:rPr>
        <w:t>受托人信托报酬：</w:t>
      </w:r>
      <w:r>
        <w:rPr>
          <w:rFonts w:hint="eastAsia" w:ascii="华文楷体" w:hAnsi="华文楷体" w:eastAsia="华文楷体" w:cs="宋体"/>
          <w:b w:val="0"/>
          <w:sz w:val="24"/>
        </w:rPr>
        <w:t>指长安国际信托股份有限公司作为受托人为委托人管理本信托所收取的管理费</w:t>
      </w:r>
      <w:r>
        <w:rPr>
          <w:rFonts w:ascii="华文楷体" w:hAnsi="华文楷体" w:eastAsia="华文楷体" w:cs="宋体"/>
          <w:b w:val="0"/>
          <w:sz w:val="24"/>
        </w:rPr>
        <w:t>。收费</w:t>
      </w:r>
      <w:r>
        <w:rPr>
          <w:rFonts w:hint="eastAsia" w:ascii="华文楷体" w:hAnsi="华文楷体" w:eastAsia="华文楷体" w:cs="宋体"/>
          <w:b w:val="0"/>
          <w:sz w:val="24"/>
        </w:rPr>
        <w:t>标准详见本合同</w:t>
      </w:r>
      <w:r>
        <w:rPr>
          <w:rFonts w:ascii="华文楷体" w:hAnsi="华文楷体" w:eastAsia="华文楷体" w:cs="宋体"/>
          <w:b w:val="0"/>
          <w:sz w:val="24"/>
        </w:rPr>
        <w:t>附件</w:t>
      </w:r>
      <w:r>
        <w:rPr>
          <w:rFonts w:hint="eastAsia" w:ascii="华文楷体" w:hAnsi="华文楷体" w:eastAsia="华文楷体" w:cs="宋体"/>
          <w:b w:val="0"/>
          <w:sz w:val="24"/>
        </w:rPr>
        <w:t>3</w:t>
      </w:r>
      <w:r>
        <w:rPr>
          <w:rFonts w:ascii="华文楷体" w:hAnsi="华文楷体" w:eastAsia="华文楷体" w:cs="宋体"/>
          <w:b w:val="0"/>
          <w:sz w:val="24"/>
        </w:rPr>
        <w:t>《信托费用明细》。</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ascii="华文楷体" w:hAnsi="华文楷体" w:eastAsia="华文楷体" w:cs="宋体"/>
          <w:b w:val="0"/>
          <w:sz w:val="24"/>
        </w:rPr>
        <w:t>8.1.2</w:t>
      </w:r>
      <w:r>
        <w:rPr>
          <w:rFonts w:hint="eastAsia" w:ascii="华文楷体" w:hAnsi="华文楷体" w:eastAsia="华文楷体" w:cs="宋体"/>
          <w:b w:val="0"/>
          <w:sz w:val="24"/>
        </w:rPr>
        <w:t>财务顾问机构服务报酬：指根据委托人的意愿，受托人聘请的财务顾问机构为本信托提供财务顾问服务而收取的报酬。具体收费标准以委托人、受托人与财务顾问机构为本信托签署的《投资管理及财务顾问合同》约定为准。</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ascii="华文楷体" w:hAnsi="华文楷体" w:eastAsia="华文楷体" w:cs="宋体"/>
          <w:b w:val="0"/>
          <w:sz w:val="24"/>
        </w:rPr>
        <w:t>8.1.3</w:t>
      </w:r>
      <w:r>
        <w:rPr>
          <w:rFonts w:hint="eastAsia" w:ascii="华文楷体" w:hAnsi="华文楷体" w:eastAsia="华文楷体" w:cs="宋体"/>
          <w:b w:val="0"/>
          <w:sz w:val="24"/>
        </w:rPr>
        <w:t>保管费：指资金保管机构履行信托资金保管职责而收取的报酬。具体收费标准以受托人与保管银行为本信托签署的《资金保管合同》约定为准。</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ascii="华文楷体" w:hAnsi="华文楷体" w:eastAsia="华文楷体" w:cs="宋体"/>
          <w:b w:val="0"/>
          <w:sz w:val="24"/>
        </w:rPr>
        <w:t xml:space="preserve">8.1.4 </w:t>
      </w:r>
      <w:r>
        <w:rPr>
          <w:rFonts w:hint="eastAsia" w:ascii="华文楷体" w:hAnsi="华文楷体" w:eastAsia="华文楷体" w:cs="宋体"/>
          <w:b w:val="0"/>
          <w:sz w:val="24"/>
        </w:rPr>
        <w:t>资产运用手续费：因信托财产投资标的的运用所支付的资产运用</w:t>
      </w:r>
    </w:p>
    <w:p>
      <w:pPr>
        <w:spacing w:line="360" w:lineRule="auto"/>
        <w:rPr>
          <w:rFonts w:ascii="华文楷体" w:hAnsi="华文楷体" w:eastAsia="华文楷体" w:cs="宋体"/>
          <w:sz w:val="24"/>
        </w:rPr>
      </w:pPr>
      <w:r>
        <w:rPr>
          <w:rFonts w:hint="eastAsia" w:ascii="华文楷体" w:hAnsi="华文楷体" w:eastAsia="华文楷体" w:cs="宋体"/>
          <w:sz w:val="24"/>
        </w:rPr>
        <w:t>手续费、认购费、申购费、赎回费、管理费、过户费、结算费、佣金、解约费、转换手续费等费用。该费用于受托人对外投资时自信托财产中予以扣除。</w:t>
      </w:r>
    </w:p>
    <w:p>
      <w:pPr>
        <w:spacing w:line="360" w:lineRule="auto"/>
        <w:rPr>
          <w:rFonts w:ascii="华文楷体" w:hAnsi="华文楷体" w:eastAsia="华文楷体" w:cs="宋体"/>
          <w:sz w:val="24"/>
        </w:rPr>
      </w:pPr>
      <w:r>
        <w:rPr>
          <w:rFonts w:hint="eastAsia" w:ascii="华文楷体" w:hAnsi="华文楷体" w:eastAsia="华文楷体" w:cs="宋体"/>
          <w:sz w:val="24"/>
        </w:rPr>
        <w:t>该费用的收费标准以相关投资标的交易文件约定为准。</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ascii="华文楷体" w:hAnsi="华文楷体" w:eastAsia="华文楷体" w:cs="宋体"/>
          <w:b w:val="0"/>
          <w:sz w:val="24"/>
        </w:rPr>
        <w:t>8.1.5</w:t>
      </w:r>
      <w:r>
        <w:rPr>
          <w:rFonts w:hint="eastAsia" w:ascii="华文楷体" w:hAnsi="华文楷体" w:eastAsia="华文楷体" w:cs="宋体"/>
          <w:b w:val="0"/>
          <w:sz w:val="24"/>
        </w:rPr>
        <w:t>其他必要费用：</w:t>
      </w:r>
    </w:p>
    <w:p>
      <w:pPr>
        <w:numPr>
          <w:ilvl w:val="0"/>
          <w:numId w:val="7"/>
        </w:numPr>
        <w:spacing w:line="360" w:lineRule="auto"/>
        <w:rPr>
          <w:rFonts w:ascii="华文楷体" w:hAnsi="华文楷体" w:eastAsia="华文楷体" w:cs="宋体"/>
          <w:sz w:val="24"/>
        </w:rPr>
      </w:pPr>
      <w:r>
        <w:rPr>
          <w:rFonts w:hint="eastAsia" w:ascii="华文楷体" w:hAnsi="华文楷体" w:eastAsia="华文楷体" w:cs="宋体"/>
          <w:sz w:val="24"/>
        </w:rPr>
        <w:t>除受托人有故意或重大过失外，受托人因管理、运用或处分信托财产，对第三方为诉讼上或非诉讼上的请求，或遭受第三方的诉讼或非诉讼上的请求，由此所发生之一切费用。</w:t>
      </w:r>
    </w:p>
    <w:p>
      <w:pPr>
        <w:numPr>
          <w:ilvl w:val="0"/>
          <w:numId w:val="7"/>
        </w:numPr>
        <w:spacing w:line="360" w:lineRule="auto"/>
        <w:rPr>
          <w:rFonts w:ascii="华文楷体" w:hAnsi="华文楷体" w:eastAsia="华文楷体" w:cs="宋体"/>
          <w:sz w:val="24"/>
        </w:rPr>
      </w:pPr>
      <w:r>
        <w:rPr>
          <w:rFonts w:hint="eastAsia" w:ascii="华文楷体" w:hAnsi="华文楷体" w:eastAsia="华文楷体" w:cs="宋体"/>
          <w:sz w:val="24"/>
        </w:rPr>
        <w:t>受托人因管理、运用或处分信托财产有关事项所应支付律师、会计师、或其他专门技术或职业人士之报酬或费用；及其他为处理信托事务所产生的相关费用或负担的债务。</w:t>
      </w:r>
    </w:p>
    <w:p>
      <w:pPr>
        <w:numPr>
          <w:ilvl w:val="0"/>
          <w:numId w:val="7"/>
        </w:numPr>
        <w:spacing w:line="360" w:lineRule="auto"/>
        <w:rPr>
          <w:rFonts w:ascii="华文楷体" w:hAnsi="华文楷体" w:eastAsia="华文楷体" w:cs="宋体"/>
          <w:sz w:val="24"/>
        </w:rPr>
      </w:pPr>
      <w:r>
        <w:rPr>
          <w:rFonts w:hint="eastAsia" w:ascii="华文楷体" w:hAnsi="华文楷体" w:eastAsia="华文楷体" w:cs="宋体"/>
          <w:sz w:val="24"/>
        </w:rPr>
        <w:t>受托人管理、运用或处分信托财产所发生的其他费用。</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8.2.</w:t>
      </w:r>
      <w:r>
        <w:rPr>
          <w:rFonts w:ascii="华文楷体" w:hAnsi="华文楷体" w:eastAsia="华文楷体"/>
          <w:b w:val="0"/>
        </w:rPr>
        <w:t>除非特别说明，上述所有信托费用均在发生时，由受托人以支付完毕本合同</w:t>
      </w:r>
      <w:r>
        <w:fldChar w:fldCharType="begin"/>
      </w:r>
      <w:r>
        <w:instrText xml:space="preserve"> REF _Ref326326527 \r \h  \* MERGEFORMAT </w:instrText>
      </w:r>
      <w:r>
        <w:fldChar w:fldCharType="separate"/>
      </w:r>
      <w:r>
        <w:rPr>
          <w:rFonts w:ascii="华文楷体" w:hAnsi="华文楷体" w:eastAsia="华文楷体"/>
          <w:b w:val="0"/>
        </w:rPr>
        <w:t>第9条</w:t>
      </w:r>
      <w:r>
        <w:rPr>
          <w:rFonts w:ascii="华文楷体" w:hAnsi="华文楷体" w:eastAsia="华文楷体"/>
          <w:b w:val="0"/>
        </w:rPr>
        <w:fldChar w:fldCharType="end"/>
      </w:r>
      <w:r>
        <w:rPr>
          <w:rFonts w:ascii="华文楷体" w:hAnsi="华文楷体" w:eastAsia="华文楷体"/>
          <w:b w:val="0"/>
        </w:rPr>
        <w:t>项下应付未付税赋（如有）后的现金类信托财产予以支付。如信托费用、税赋支付时点的现金类信托财产不足支付而形成差额的</w:t>
      </w:r>
      <w:r>
        <w:rPr>
          <w:rFonts w:hint="eastAsia" w:ascii="华文楷体" w:hAnsi="华文楷体" w:eastAsia="华文楷体"/>
          <w:b w:val="0"/>
        </w:rPr>
        <w:t>，则</w:t>
      </w:r>
      <w:r>
        <w:rPr>
          <w:rFonts w:ascii="华文楷体" w:hAnsi="华文楷体" w:eastAsia="华文楷体"/>
          <w:b w:val="0"/>
        </w:rPr>
        <w:t>委托人</w:t>
      </w:r>
      <w:r>
        <w:rPr>
          <w:rFonts w:hint="eastAsia" w:ascii="华文楷体" w:hAnsi="华文楷体" w:eastAsia="华文楷体"/>
          <w:b w:val="0"/>
        </w:rPr>
        <w:t>有义务</w:t>
      </w:r>
      <w:r>
        <w:rPr>
          <w:rFonts w:ascii="华文楷体" w:hAnsi="华文楷体" w:eastAsia="华文楷体"/>
          <w:b w:val="0"/>
        </w:rPr>
        <w:t>补足，</w:t>
      </w:r>
      <w:r>
        <w:rPr>
          <w:rFonts w:hint="eastAsia" w:ascii="华文楷体" w:hAnsi="华文楷体" w:eastAsia="华文楷体"/>
          <w:b w:val="0"/>
        </w:rPr>
        <w:t>受益人对委托人的补足支付义务承担连带责任</w:t>
      </w:r>
      <w:r>
        <w:rPr>
          <w:rFonts w:ascii="华文楷体" w:hAnsi="华文楷体" w:eastAsia="华文楷体"/>
          <w:b w:val="0"/>
        </w:rPr>
        <w:t>。如委托人或受益人</w:t>
      </w:r>
      <w:r>
        <w:rPr>
          <w:rFonts w:hint="eastAsia" w:ascii="华文楷体" w:hAnsi="华文楷体" w:eastAsia="华文楷体"/>
          <w:b w:val="0"/>
        </w:rPr>
        <w:t>未在限定时间内</w:t>
      </w:r>
      <w:r>
        <w:rPr>
          <w:rFonts w:ascii="华文楷体" w:hAnsi="华文楷体" w:eastAsia="华文楷体"/>
          <w:b w:val="0"/>
        </w:rPr>
        <w:t>补足</w:t>
      </w:r>
      <w:r>
        <w:rPr>
          <w:rFonts w:hint="eastAsia" w:ascii="华文楷体" w:hAnsi="华文楷体" w:eastAsia="华文楷体"/>
          <w:b w:val="0"/>
        </w:rPr>
        <w:t>支付差额部分的费用</w:t>
      </w:r>
      <w:r>
        <w:rPr>
          <w:rFonts w:ascii="华文楷体" w:hAnsi="华文楷体" w:eastAsia="华文楷体"/>
          <w:b w:val="0"/>
        </w:rPr>
        <w:t>，则受托人有权</w:t>
      </w:r>
      <w:r>
        <w:rPr>
          <w:rFonts w:hint="eastAsia" w:ascii="华文楷体" w:hAnsi="华文楷体" w:eastAsia="华文楷体"/>
          <w:b w:val="0"/>
        </w:rPr>
        <w:t>直接变现信托财产后对上述差额</w:t>
      </w:r>
      <w:r>
        <w:rPr>
          <w:rFonts w:ascii="华文楷体" w:hAnsi="华文楷体" w:eastAsia="华文楷体"/>
          <w:b w:val="0"/>
        </w:rPr>
        <w:t>予以补足。无论如何，受托人对上述信托费用的支付没有垫付义务，但如以固有财产先行垫付的，则针对该垫付资金及其资金成本形成信托财产对受托人固有财产的负债，受托人享有针对信托财产对应金额的优先受偿权。</w:t>
      </w:r>
      <w:r>
        <w:rPr>
          <w:rFonts w:hint="eastAsia" w:ascii="华文楷体" w:hAnsi="华文楷体" w:eastAsia="华文楷体"/>
          <w:b w:val="0"/>
        </w:rPr>
        <w:t>如非因受托人的过错导致信托财产未能及时变现以补足差额，致使信托财产遭受损失的，受托人不承担任何责任。</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96" w:name="_Ref326326527"/>
      <w:bookmarkStart w:id="97" w:name="_Ref328227157"/>
      <w:bookmarkStart w:id="98" w:name="_Ref328227067"/>
      <w:bookmarkStart w:id="99" w:name="_Ref326242714"/>
      <w:bookmarkStart w:id="100" w:name="_Ref326242692"/>
      <w:bookmarkStart w:id="101" w:name="_Toc6397518"/>
      <w:r>
        <w:rPr>
          <w:rFonts w:hint="eastAsia" w:ascii="华文楷体" w:hAnsi="华文楷体" w:eastAsia="华文楷体" w:cs="宋体"/>
          <w:color w:val="auto"/>
          <w:sz w:val="24"/>
          <w:szCs w:val="24"/>
        </w:rPr>
        <w:t>信托财产承担的税</w:t>
      </w:r>
      <w:bookmarkEnd w:id="90"/>
      <w:bookmarkEnd w:id="91"/>
      <w:bookmarkEnd w:id="92"/>
      <w:bookmarkEnd w:id="93"/>
      <w:bookmarkEnd w:id="94"/>
      <w:bookmarkEnd w:id="95"/>
      <w:bookmarkEnd w:id="96"/>
      <w:bookmarkEnd w:id="97"/>
      <w:bookmarkEnd w:id="98"/>
      <w:bookmarkEnd w:id="99"/>
      <w:bookmarkEnd w:id="100"/>
      <w:r>
        <w:rPr>
          <w:rFonts w:hint="eastAsia" w:ascii="华文楷体" w:hAnsi="华文楷体" w:eastAsia="华文楷体" w:cs="宋体"/>
          <w:color w:val="auto"/>
          <w:sz w:val="24"/>
          <w:szCs w:val="24"/>
        </w:rPr>
        <w:t>赋</w:t>
      </w:r>
      <w:bookmarkEnd w:id="101"/>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 xml:space="preserve">9.1. </w:t>
      </w:r>
      <w:r>
        <w:rPr>
          <w:rFonts w:hint="eastAsia" w:ascii="华文楷体" w:hAnsi="华文楷体" w:eastAsia="华文楷体"/>
          <w:b w:val="0"/>
        </w:rPr>
        <w:t>本信托设立、信托财产的管理、运用和处分、信托利益的分配、信托终止清算等过程中发生的税赋，由相关主体按照本合同及届时生效的国内外相关法律、法规、规章和监管规定承担。</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 xml:space="preserve">9.2. </w:t>
      </w:r>
      <w:r>
        <w:rPr>
          <w:rFonts w:hint="eastAsia" w:ascii="华文楷体" w:hAnsi="华文楷体" w:eastAsia="华文楷体"/>
          <w:b w:val="0"/>
        </w:rPr>
        <w:t>委托人、受益人、受托人、保管银行、财务顾问机构、投资管理机构及其他专项事务机构应就其各自所得按照有关法律规定自行依法纳税。</w:t>
      </w:r>
    </w:p>
    <w:p>
      <w:pPr>
        <w:spacing w:line="360" w:lineRule="auto"/>
        <w:rPr>
          <w:rFonts w:ascii="华文楷体" w:hAnsi="华文楷体" w:eastAsia="华文楷体"/>
          <w:sz w:val="24"/>
        </w:rPr>
      </w:pPr>
      <w:r>
        <w:rPr>
          <w:rFonts w:hint="eastAsia" w:ascii="华文楷体" w:hAnsi="华文楷体" w:eastAsia="华文楷体"/>
          <w:sz w:val="24"/>
        </w:rPr>
        <w:t>除非国家税收法律法规或税收政策明确规定或在信托财产向受益人分配信托利益、信托清算等过程中税务机关要求受托人承担代为申报缴纳相关税款的义务，否则受托人对受益人不承担代扣代缴的义务。如法律规定受托人负有代扣代缴义务，则受托人有权从应向受益人分配的信托利益中扣除相应税赋。由受益人自行缴纳税赋的，在受托人需要时，受益人应配合受托人并向其提供完税证明。</w:t>
      </w:r>
    </w:p>
    <w:p>
      <w:pPr>
        <w:pStyle w:val="3"/>
        <w:keepNext w:val="0"/>
        <w:keepLines w:val="0"/>
        <w:spacing w:before="0" w:after="0" w:line="360" w:lineRule="auto"/>
        <w:rPr>
          <w:rFonts w:ascii="华文楷体" w:hAnsi="华文楷体" w:eastAsia="华文楷体"/>
          <w:b w:val="0"/>
        </w:rPr>
      </w:pPr>
      <w:r>
        <w:rPr>
          <w:rFonts w:hint="eastAsia" w:ascii="华文楷体" w:hAnsi="华文楷体" w:eastAsia="华文楷体"/>
        </w:rPr>
        <w:t>9.3</w:t>
      </w:r>
      <w:r>
        <w:rPr>
          <w:rFonts w:hint="eastAsia" w:ascii="华文楷体" w:hAnsi="华文楷体" w:eastAsia="华文楷体"/>
          <w:b w:val="0"/>
        </w:rPr>
        <w:t>根据《关于明确金融、房地产开发、教育辅助服务等增值税政策的通知》（财税〔2016〕140号）、《关于资管产品增值税政策有关问题的补充通知》（财税[2017]2号）、《关于资管产品增值税有关问题的通知》（财税〔2017〕56号）等相关规定，2018年1月1日（含）以后，信托财产管理及运用过程中发生的增值税应税行为，应按照相关规定缴纳增值税。因信托财产管理、运用或处分过程中发生的税费（包括但不限于增值税及附加、印花税等）由受托人以信托财产承担，并按照法律、行政法规及国家有关部门的规定办理。受托人以信托财产扣除信托财产运用过程中产生的税费和其他负债后的余额为限向受益人分配信托利益。</w:t>
      </w:r>
    </w:p>
    <w:p>
      <w:pPr>
        <w:pStyle w:val="3"/>
        <w:keepNext w:val="0"/>
        <w:keepLines w:val="0"/>
        <w:spacing w:before="0" w:after="0" w:line="360" w:lineRule="auto"/>
        <w:rPr>
          <w:rFonts w:ascii="华文楷体" w:hAnsi="华文楷体" w:eastAsia="华文楷体"/>
          <w:b w:val="0"/>
          <w:szCs w:val="21"/>
        </w:rPr>
      </w:pPr>
      <w:r>
        <w:rPr>
          <w:rFonts w:hint="eastAsia" w:ascii="华文楷体" w:hAnsi="华文楷体" w:eastAsia="华文楷体"/>
        </w:rPr>
        <w:t>9.4</w:t>
      </w:r>
      <w:r>
        <w:rPr>
          <w:rFonts w:hint="eastAsia" w:ascii="华文楷体" w:hAnsi="华文楷体" w:eastAsia="华文楷体"/>
          <w:b w:val="0"/>
          <w:szCs w:val="21"/>
        </w:rPr>
        <w:t>信托</w:t>
      </w:r>
      <w:r>
        <w:rPr>
          <w:rFonts w:ascii="华文楷体" w:hAnsi="华文楷体" w:eastAsia="华文楷体"/>
          <w:b w:val="0"/>
          <w:szCs w:val="21"/>
        </w:rPr>
        <w:t>费用和税</w:t>
      </w:r>
      <w:r>
        <w:rPr>
          <w:rFonts w:hint="eastAsia" w:ascii="华文楷体" w:hAnsi="华文楷体" w:eastAsia="华文楷体"/>
          <w:b w:val="0"/>
          <w:szCs w:val="21"/>
        </w:rPr>
        <w:t>赋</w:t>
      </w:r>
      <w:r>
        <w:rPr>
          <w:rFonts w:ascii="华文楷体" w:hAnsi="华文楷体" w:eastAsia="华文楷体"/>
          <w:b w:val="0"/>
          <w:szCs w:val="21"/>
        </w:rPr>
        <w:t>的支付顺序</w:t>
      </w:r>
    </w:p>
    <w:p>
      <w:pPr>
        <w:spacing w:line="360" w:lineRule="auto"/>
        <w:rPr>
          <w:rFonts w:ascii="华文楷体" w:hAnsi="华文楷体" w:eastAsia="华文楷体" w:cs="宋体"/>
          <w:bCs/>
          <w:sz w:val="24"/>
          <w:szCs w:val="32"/>
        </w:rPr>
      </w:pPr>
      <w:r>
        <w:rPr>
          <w:rFonts w:hint="eastAsia" w:ascii="华文楷体" w:hAnsi="华文楷体" w:eastAsia="华文楷体" w:cs="宋体"/>
          <w:bCs/>
          <w:sz w:val="24"/>
          <w:szCs w:val="32"/>
        </w:rPr>
        <w:t xml:space="preserve">    信托资金不足以支付全部应付信托费用和税收时，按照以下顺序优先支付，如有不足部分则待信托财产投资回收后（如有）按以下顺序补足：</w:t>
      </w:r>
    </w:p>
    <w:p>
      <w:pPr>
        <w:pStyle w:val="4"/>
        <w:keepNext w:val="0"/>
        <w:keepLines w:val="0"/>
        <w:spacing w:before="0" w:after="0" w:line="360" w:lineRule="auto"/>
        <w:ind w:firstLine="480" w:firstLineChars="200"/>
        <w:rPr>
          <w:rFonts w:ascii="华文楷体" w:hAnsi="华文楷体" w:eastAsia="华文楷体"/>
          <w:b w:val="0"/>
          <w:sz w:val="24"/>
          <w:szCs w:val="24"/>
        </w:rPr>
      </w:pPr>
      <w:r>
        <w:rPr>
          <w:rFonts w:hint="eastAsia" w:ascii="华文楷体" w:hAnsi="华文楷体" w:eastAsia="华文楷体"/>
          <w:b w:val="0"/>
          <w:sz w:val="24"/>
          <w:szCs w:val="24"/>
        </w:rPr>
        <w:t>9.4.1依据中国税法由受托人缴纳与本信托相关的税收；</w:t>
      </w:r>
    </w:p>
    <w:p>
      <w:pPr>
        <w:pStyle w:val="4"/>
        <w:keepNext w:val="0"/>
        <w:keepLines w:val="0"/>
        <w:spacing w:before="0" w:after="0" w:line="360" w:lineRule="auto"/>
        <w:ind w:firstLine="480" w:firstLineChars="200"/>
        <w:rPr>
          <w:rFonts w:ascii="华文楷体" w:hAnsi="华文楷体" w:eastAsia="华文楷体"/>
          <w:b w:val="0"/>
          <w:sz w:val="24"/>
          <w:szCs w:val="24"/>
        </w:rPr>
      </w:pPr>
      <w:r>
        <w:rPr>
          <w:rFonts w:hint="eastAsia" w:ascii="华文楷体" w:hAnsi="华文楷体" w:eastAsia="华文楷体"/>
          <w:b w:val="0"/>
          <w:sz w:val="24"/>
          <w:szCs w:val="24"/>
        </w:rPr>
        <w:t>9.4.2清算小组为清算信托财产所发生的合理费用；</w:t>
      </w:r>
    </w:p>
    <w:p>
      <w:pPr>
        <w:pStyle w:val="4"/>
        <w:keepNext w:val="0"/>
        <w:keepLines w:val="0"/>
        <w:spacing w:before="0" w:after="0" w:line="360" w:lineRule="auto"/>
        <w:ind w:firstLine="480" w:firstLineChars="200"/>
        <w:rPr>
          <w:rFonts w:ascii="华文楷体" w:hAnsi="华文楷体" w:eastAsia="华文楷体"/>
          <w:b w:val="0"/>
          <w:sz w:val="24"/>
          <w:szCs w:val="24"/>
        </w:rPr>
      </w:pPr>
      <w:r>
        <w:rPr>
          <w:rFonts w:hint="eastAsia" w:ascii="华文楷体" w:hAnsi="华文楷体" w:eastAsia="华文楷体"/>
          <w:b w:val="0"/>
          <w:sz w:val="24"/>
          <w:szCs w:val="24"/>
        </w:rPr>
        <w:t>9.4.3本合同第8条、第9条所涉费用和税赋原则上按费用和税赋发生时间先后进行支付，但同一核算周期内发生的受托人报酬、财务顾问机构服务报酬、保管费，若支付日的信托资金不足以支付同一核算周期内的上述费用，则本核算周期内的上述费用暂停支付，待信托资金足够支付时予以扣款。若信托财产全部变现后，仍不足支付的，则按比例支付。</w:t>
      </w:r>
    </w:p>
    <w:p>
      <w:pPr>
        <w:rPr>
          <w:rFonts w:ascii="华文楷体" w:hAnsi="华文楷体" w:eastAsia="华文楷体"/>
        </w:rPr>
      </w:pP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02" w:name="_Toc325723985"/>
      <w:bookmarkStart w:id="103" w:name="_Toc6397519"/>
      <w:bookmarkStart w:id="104" w:name="_Toc421520878"/>
      <w:bookmarkStart w:id="105" w:name="_Toc217903221"/>
      <w:bookmarkStart w:id="106" w:name="_Toc166088558"/>
      <w:bookmarkStart w:id="107" w:name="_Toc297378539"/>
      <w:bookmarkStart w:id="108" w:name="_Toc421189325"/>
      <w:r>
        <w:rPr>
          <w:rFonts w:hint="eastAsia" w:ascii="华文楷体" w:hAnsi="华文楷体" w:eastAsia="华文楷体" w:cs="宋体"/>
          <w:color w:val="auto"/>
          <w:sz w:val="24"/>
          <w:szCs w:val="24"/>
        </w:rPr>
        <w:t>信托受益权以及信托利益的计算和分配</w:t>
      </w:r>
      <w:bookmarkEnd w:id="102"/>
      <w:bookmarkEnd w:id="103"/>
      <w:bookmarkEnd w:id="104"/>
      <w:bookmarkEnd w:id="105"/>
      <w:bookmarkEnd w:id="106"/>
      <w:bookmarkEnd w:id="107"/>
      <w:bookmarkEnd w:id="108"/>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10.1. 信托受益权</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10.1.1. 信托受益权是指受益人在本信托中享有的权利，包括但不限于取得受托人分配的信托利益的权利以及法律、行政法规规定的其他权利。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10.1.2. </w:t>
      </w:r>
      <w:r>
        <w:rPr>
          <w:rFonts w:ascii="华文楷体" w:hAnsi="华文楷体" w:eastAsia="华文楷体" w:cs="宋体"/>
          <w:b w:val="0"/>
          <w:sz w:val="24"/>
        </w:rPr>
        <w:t>本信托的信托受益权不得</w:t>
      </w:r>
      <w:r>
        <w:rPr>
          <w:rFonts w:hint="eastAsia" w:ascii="华文楷体" w:hAnsi="华文楷体" w:eastAsia="华文楷体" w:cs="宋体"/>
          <w:b w:val="0"/>
          <w:sz w:val="24"/>
        </w:rPr>
        <w:t>转让、不得</w:t>
      </w:r>
      <w:r>
        <w:rPr>
          <w:rFonts w:ascii="华文楷体" w:hAnsi="华文楷体" w:eastAsia="华文楷体" w:cs="宋体"/>
          <w:b w:val="0"/>
          <w:sz w:val="24"/>
        </w:rPr>
        <w:t>用于清偿受益人的债务</w:t>
      </w:r>
      <w:r>
        <w:rPr>
          <w:rFonts w:hint="eastAsia" w:ascii="华文楷体" w:hAnsi="华文楷体" w:eastAsia="华文楷体" w:cs="宋体"/>
          <w:b w:val="0"/>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10.1.3. </w:t>
      </w:r>
      <w:r>
        <w:rPr>
          <w:rFonts w:ascii="华文楷体" w:hAnsi="华文楷体" w:eastAsia="华文楷体" w:cs="宋体"/>
          <w:b w:val="0"/>
          <w:sz w:val="24"/>
        </w:rPr>
        <w:t>本信托的受益人可书面申请受托人暂停对其进行信托利益分配</w:t>
      </w:r>
      <w:r>
        <w:rPr>
          <w:rFonts w:hint="eastAsia" w:ascii="华文楷体" w:hAnsi="华文楷体" w:eastAsia="华文楷体" w:cs="宋体"/>
          <w:b w:val="0"/>
          <w:sz w:val="24"/>
        </w:rPr>
        <w:t>。</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10.2. 信托利益分配的原则</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10.2.1. 受托人以全部信托财产扣除应付未付信托税费和其他负债后的余额为限，按信托合同和信托分配方案约定向受益人分配信托利益。</w:t>
      </w:r>
      <w:r>
        <w:rPr>
          <w:rFonts w:ascii="华文楷体" w:hAnsi="华文楷体" w:eastAsia="华文楷体" w:cs="宋体"/>
          <w:b w:val="0"/>
          <w:sz w:val="24"/>
        </w:rPr>
        <w:t>本</w:t>
      </w:r>
      <w:r>
        <w:rPr>
          <w:rFonts w:hint="eastAsia" w:ascii="华文楷体" w:hAnsi="华文楷体" w:eastAsia="华文楷体" w:cs="宋体"/>
          <w:b w:val="0"/>
          <w:sz w:val="24"/>
        </w:rPr>
        <w:t>信托文件中</w:t>
      </w:r>
      <w:r>
        <w:rPr>
          <w:rFonts w:ascii="华文楷体" w:hAnsi="华文楷体" w:eastAsia="华文楷体" w:cs="宋体"/>
          <w:b w:val="0"/>
          <w:sz w:val="24"/>
        </w:rPr>
        <w:t>关于“信托利益”的表述，并不应被解释为受托人保证信托</w:t>
      </w:r>
      <w:r>
        <w:rPr>
          <w:rFonts w:hint="eastAsia" w:ascii="华文楷体" w:hAnsi="华文楷体" w:eastAsia="华文楷体" w:cs="宋体"/>
          <w:b w:val="0"/>
          <w:sz w:val="24"/>
        </w:rPr>
        <w:t>资金</w:t>
      </w:r>
      <w:r>
        <w:rPr>
          <w:rFonts w:ascii="华文楷体" w:hAnsi="华文楷体" w:eastAsia="华文楷体" w:cs="宋体"/>
          <w:b w:val="0"/>
          <w:sz w:val="24"/>
        </w:rPr>
        <w:t>不受损失或保证收益或刚性兑付。受托人对信托财产的投资不承诺任何形式的投资本金和收益回报，对信托财产投资标的不承担任何兜底和兑付义务。</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10.2.2. 受托人有权以资金或保持信托财产现状的形式向受益人分配信托利益。</w:t>
      </w:r>
    </w:p>
    <w:p>
      <w:pPr>
        <w:pStyle w:val="4"/>
        <w:keepNext w:val="0"/>
        <w:keepLines w:val="0"/>
        <w:spacing w:before="0" w:after="0" w:line="360" w:lineRule="auto"/>
        <w:ind w:firstLine="480" w:firstLineChars="200"/>
        <w:rPr>
          <w:rFonts w:ascii="华文楷体" w:hAnsi="华文楷体" w:eastAsia="华文楷体"/>
          <w:sz w:val="24"/>
        </w:rPr>
      </w:pPr>
      <w:r>
        <w:rPr>
          <w:rFonts w:hint="eastAsia" w:ascii="华文楷体" w:hAnsi="华文楷体" w:eastAsia="华文楷体" w:cs="宋体"/>
          <w:b w:val="0"/>
          <w:sz w:val="24"/>
          <w:szCs w:val="24"/>
        </w:rPr>
        <w:t>10.2.3. 信托运行期间，各生效受益人按照附件2《信托分配方案》约定的形式享有信托利益。</w:t>
      </w:r>
      <w:r>
        <w:rPr>
          <w:rFonts w:hint="eastAsia" w:ascii="华文楷体" w:hAnsi="华文楷体" w:eastAsia="华文楷体"/>
          <w:b w:val="0"/>
          <w:sz w:val="24"/>
        </w:rPr>
        <w:t>若约定信托受益权比例的，则各受益人以其享有的信托受益权比例计算其信托利益，在委托人首次交付信托财产、追加交付信托财产时，若委托人没有特别指示的，则均按照信托合同中约定的信托受益权比例计入财产交付时生效受益人的信托份额。</w:t>
      </w:r>
      <w:r>
        <w:rPr>
          <w:rFonts w:hint="eastAsia" w:ascii="华文楷体" w:hAnsi="华文楷体" w:eastAsia="华文楷体" w:cs="宋体"/>
          <w:b w:val="0"/>
          <w:sz w:val="24"/>
        </w:rPr>
        <w:t>信托期间，受益人分配信托利益，从该受益人享有的信托受益权份额对应信托利益中扣减，待分配后按照对应的权益归属重新计算并设定各受益人对剩余存续信托财产信托受益权享有的比例。</w:t>
      </w:r>
      <w:r>
        <w:rPr>
          <w:rFonts w:hint="eastAsia" w:ascii="华文楷体" w:hAnsi="华文楷体" w:eastAsia="华文楷体"/>
          <w:b w:val="0"/>
          <w:sz w:val="24"/>
        </w:rPr>
        <w:t>若</w:t>
      </w:r>
      <w:r>
        <w:rPr>
          <w:rFonts w:hint="eastAsia" w:ascii="华文楷体" w:hAnsi="华文楷体" w:eastAsia="华文楷体" w:cs="宋体"/>
          <w:b w:val="0"/>
          <w:sz w:val="24"/>
        </w:rPr>
        <w:t>未约定信托受益权比例的，则各受益人以共同共有的方式享有信托财产，在委托人首次交付信托财产、追加交付信托财产时，均统一计入信托财产，信托运行期间，受益人分配信托利益，从信托财产中一并支付，信托终止时剩余的信托财产，按照信托文件的约定进行分配</w:t>
      </w:r>
      <w:r>
        <w:rPr>
          <w:rFonts w:hint="eastAsia" w:ascii="华文楷体" w:hAnsi="华文楷体" w:eastAsia="华文楷体"/>
          <w:b w:val="0"/>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10.2.4. 受益人身故、放弃</w:t>
      </w:r>
      <w:r>
        <w:rPr>
          <w:rFonts w:ascii="华文楷体" w:hAnsi="华文楷体" w:eastAsia="华文楷体" w:cs="宋体"/>
          <w:b w:val="0"/>
          <w:sz w:val="24"/>
        </w:rPr>
        <w:t>、</w:t>
      </w:r>
      <w:r>
        <w:rPr>
          <w:rFonts w:hint="eastAsia" w:ascii="华文楷体" w:hAnsi="华文楷体" w:eastAsia="华文楷体" w:cs="宋体"/>
          <w:b w:val="0"/>
          <w:sz w:val="24"/>
        </w:rPr>
        <w:t>被取消信托受益权后信托利益的处理：信</w:t>
      </w:r>
    </w:p>
    <w:p>
      <w:pPr>
        <w:spacing w:line="360" w:lineRule="auto"/>
        <w:rPr>
          <w:rFonts w:ascii="华文楷体" w:hAnsi="华文楷体" w:eastAsia="华文楷体" w:cs="宋体"/>
          <w:sz w:val="24"/>
        </w:rPr>
      </w:pPr>
      <w:r>
        <w:rPr>
          <w:rFonts w:hint="eastAsia" w:ascii="华文楷体" w:hAnsi="华文楷体" w:eastAsia="华文楷体" w:cs="宋体"/>
          <w:sz w:val="24"/>
        </w:rPr>
        <w:t>托运行期间，若受益人死亡、放弃</w:t>
      </w:r>
      <w:r>
        <w:rPr>
          <w:rFonts w:ascii="华文楷体" w:hAnsi="华文楷体" w:eastAsia="华文楷体" w:cs="宋体"/>
          <w:sz w:val="24"/>
        </w:rPr>
        <w:t>、</w:t>
      </w:r>
      <w:r>
        <w:rPr>
          <w:rFonts w:hint="eastAsia" w:ascii="华文楷体" w:hAnsi="华文楷体" w:eastAsia="华文楷体" w:cs="宋体"/>
          <w:sz w:val="24"/>
        </w:rPr>
        <w:t>被取消信托受益权，该受益人根据本合同附件2《信托分配方案》“固定分配规则”（如有）和“临时分配规则”（如有）享有的信托利益停止分配；该受益人享有的信托受益权利益按照本合同10.2.5条款处理。</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10.2.5. 顺位规则</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sz w:val="24"/>
        </w:rPr>
      </w:pPr>
      <w:r>
        <w:rPr>
          <w:rFonts w:hint="eastAsia" w:ascii="华文楷体" w:hAnsi="华文楷体" w:eastAsia="华文楷体" w:cs="宋体"/>
          <w:sz w:val="24"/>
        </w:rPr>
        <w:t>10.2.5.1. 委托人可以选择设置多顺位受益人，同一</w:t>
      </w:r>
      <w:r>
        <w:rPr>
          <w:rFonts w:ascii="华文楷体" w:hAnsi="华文楷体" w:eastAsia="华文楷体" w:cs="宋体"/>
          <w:sz w:val="24"/>
        </w:rPr>
        <w:t>顺位的受益人</w:t>
      </w:r>
      <w:r>
        <w:rPr>
          <w:rFonts w:hint="eastAsia" w:ascii="华文楷体" w:hAnsi="华文楷体" w:eastAsia="华文楷体" w:cs="宋体"/>
          <w:sz w:val="24"/>
        </w:rPr>
        <w:t>根据附件2《信托分配方案》约定的方式分配信托财产。当且仅当前一顺位受益人死亡、放弃、被取消信托受益权时，与其相应的后一顺位受益人才享有实质性权益。如任何当前</w:t>
      </w:r>
      <w:r>
        <w:rPr>
          <w:rFonts w:ascii="华文楷体" w:hAnsi="华文楷体" w:eastAsia="华文楷体" w:cs="宋体"/>
          <w:sz w:val="24"/>
        </w:rPr>
        <w:t>享有实质性</w:t>
      </w:r>
      <w:r>
        <w:rPr>
          <w:rFonts w:hint="eastAsia" w:ascii="华文楷体" w:hAnsi="华文楷体" w:eastAsia="华文楷体" w:cs="宋体"/>
          <w:sz w:val="24"/>
        </w:rPr>
        <w:t>信托受益权顺位</w:t>
      </w:r>
      <w:r>
        <w:rPr>
          <w:rFonts w:ascii="华文楷体" w:hAnsi="华文楷体" w:eastAsia="华文楷体" w:cs="宋体"/>
          <w:sz w:val="24"/>
        </w:rPr>
        <w:t>的</w:t>
      </w:r>
      <w:r>
        <w:rPr>
          <w:rFonts w:hint="eastAsia" w:ascii="华文楷体" w:hAnsi="华文楷体" w:eastAsia="华文楷体" w:cs="宋体"/>
          <w:sz w:val="24"/>
        </w:rPr>
        <w:t>受益人身故、放弃</w:t>
      </w:r>
      <w:r>
        <w:rPr>
          <w:rFonts w:ascii="华文楷体" w:hAnsi="华文楷体" w:eastAsia="华文楷体" w:cs="宋体"/>
          <w:sz w:val="24"/>
        </w:rPr>
        <w:t>、</w:t>
      </w:r>
      <w:r>
        <w:rPr>
          <w:rFonts w:hint="eastAsia" w:ascii="华文楷体" w:hAnsi="华文楷体" w:eastAsia="华文楷体" w:cs="宋体"/>
          <w:sz w:val="24"/>
        </w:rPr>
        <w:t>被取消或者依据本信托合同不再享有信托受益权之时（以下称</w:t>
      </w:r>
      <w:r>
        <w:rPr>
          <w:rFonts w:ascii="华文楷体" w:hAnsi="华文楷体" w:eastAsia="华文楷体" w:cs="宋体"/>
          <w:sz w:val="24"/>
        </w:rPr>
        <w:t>“</w:t>
      </w:r>
      <w:r>
        <w:rPr>
          <w:rFonts w:hint="eastAsia" w:ascii="华文楷体" w:hAnsi="华文楷体" w:eastAsia="华文楷体" w:cs="宋体"/>
          <w:sz w:val="24"/>
        </w:rPr>
        <w:t>退出受益人</w:t>
      </w:r>
      <w:r>
        <w:rPr>
          <w:rFonts w:ascii="华文楷体" w:hAnsi="华文楷体" w:eastAsia="华文楷体" w:cs="宋体"/>
          <w:sz w:val="24"/>
        </w:rPr>
        <w:t>”</w:t>
      </w:r>
      <w:r>
        <w:rPr>
          <w:rFonts w:hint="eastAsia" w:ascii="华文楷体" w:hAnsi="华文楷体" w:eastAsia="华文楷体" w:cs="宋体"/>
          <w:sz w:val="24"/>
        </w:rPr>
        <w:t>），与其相应的后一顺位的受益人根据附件2《信托分配方案》约定方式享有退出受益人的信托受益权。</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sz w:val="24"/>
        </w:rPr>
      </w:pPr>
      <w:r>
        <w:rPr>
          <w:rFonts w:hint="eastAsia" w:ascii="华文楷体" w:hAnsi="华文楷体" w:eastAsia="华文楷体" w:cs="宋体"/>
          <w:sz w:val="24"/>
        </w:rPr>
        <w:t>10.2.5.2. 按照10.2.5.1条款约定的顺位</w:t>
      </w:r>
      <w:r>
        <w:rPr>
          <w:rFonts w:ascii="华文楷体" w:hAnsi="华文楷体" w:eastAsia="华文楷体" w:cs="宋体"/>
          <w:sz w:val="24"/>
        </w:rPr>
        <w:t>规则，</w:t>
      </w:r>
      <w:r>
        <w:rPr>
          <w:rFonts w:hint="eastAsia" w:ascii="华文楷体" w:hAnsi="华文楷体" w:eastAsia="华文楷体" w:cs="宋体"/>
          <w:sz w:val="24"/>
        </w:rPr>
        <w:t>若前一顺位的受益人死亡、放弃、被取消或者依据本合同不再享有信托受益权时，无后一顺位的受益人承继前一顺位受益人的信托利益，委托人在世时，按照委托人的意愿处理，如委托人</w:t>
      </w:r>
      <w:r>
        <w:rPr>
          <w:rFonts w:ascii="华文楷体" w:hAnsi="华文楷体" w:eastAsia="华文楷体" w:cs="宋体"/>
          <w:sz w:val="24"/>
        </w:rPr>
        <w:t>已</w:t>
      </w:r>
      <w:r>
        <w:rPr>
          <w:rFonts w:hint="eastAsia" w:ascii="华文楷体" w:hAnsi="华文楷体" w:eastAsia="华文楷体" w:cs="宋体"/>
          <w:sz w:val="24"/>
        </w:rPr>
        <w:t>死亡</w:t>
      </w:r>
      <w:r>
        <w:rPr>
          <w:rFonts w:ascii="华文楷体" w:hAnsi="华文楷体" w:eastAsia="华文楷体" w:cs="宋体"/>
          <w:sz w:val="24"/>
        </w:rPr>
        <w:t>，</w:t>
      </w:r>
      <w:r>
        <w:rPr>
          <w:rFonts w:hint="eastAsia" w:ascii="华文楷体" w:hAnsi="华文楷体" w:eastAsia="华文楷体" w:cs="宋体"/>
          <w:sz w:val="24"/>
        </w:rPr>
        <w:t>若约定信托受益权比例的，则由其他生效受益人以其享有的信托受益权比例分配剩余信托财产，若未约定受益权比例的，则由其他生效受益人继续以附件</w:t>
      </w:r>
      <w:r>
        <w:rPr>
          <w:rFonts w:ascii="华文楷体" w:hAnsi="华文楷体" w:eastAsia="华文楷体" w:cs="宋体"/>
          <w:sz w:val="24"/>
        </w:rPr>
        <w:t>2</w:t>
      </w:r>
      <w:r>
        <w:rPr>
          <w:rFonts w:hint="eastAsia" w:ascii="华文楷体" w:hAnsi="华文楷体" w:eastAsia="华文楷体" w:cs="宋体"/>
          <w:sz w:val="24"/>
        </w:rPr>
        <w:t>《信托分配方案》约定方式分配剩余信托财产。若无其他生效受益人，本信托终止，则信托受益权视为最后一名退出受益人</w:t>
      </w:r>
      <w:r>
        <w:rPr>
          <w:rFonts w:ascii="华文楷体" w:hAnsi="华文楷体" w:eastAsia="华文楷体" w:cs="宋体"/>
          <w:sz w:val="24"/>
        </w:rPr>
        <w:t>的遗产</w:t>
      </w:r>
      <w:r>
        <w:rPr>
          <w:rFonts w:hint="eastAsia" w:ascii="华文楷体" w:hAnsi="华文楷体" w:eastAsia="华文楷体" w:cs="宋体"/>
          <w:sz w:val="24"/>
        </w:rPr>
        <w:t>（若最后退出受益人同时为多人，则平均享有剩余信托财产）</w:t>
      </w:r>
      <w:r>
        <w:rPr>
          <w:rFonts w:ascii="华文楷体" w:hAnsi="华文楷体" w:eastAsia="华文楷体" w:cs="宋体"/>
          <w:sz w:val="24"/>
        </w:rPr>
        <w:t>，按照</w:t>
      </w:r>
      <w:r>
        <w:rPr>
          <w:rFonts w:hint="eastAsia" w:ascii="华文楷体" w:hAnsi="华文楷体" w:eastAsia="华文楷体" w:cs="宋体"/>
          <w:sz w:val="24"/>
        </w:rPr>
        <w:t>法定或</w:t>
      </w:r>
      <w:r>
        <w:rPr>
          <w:rFonts w:ascii="华文楷体" w:hAnsi="华文楷体" w:eastAsia="华文楷体" w:cs="宋体"/>
          <w:sz w:val="24"/>
        </w:rPr>
        <w:t>遗嘱</w:t>
      </w:r>
      <w:r>
        <w:rPr>
          <w:rFonts w:hint="eastAsia" w:ascii="华文楷体" w:hAnsi="华文楷体" w:eastAsia="华文楷体" w:cs="宋体"/>
          <w:sz w:val="24"/>
        </w:rPr>
        <w:t>继承或按照相关法律规定进行处理</w:t>
      </w:r>
      <w:r>
        <w:rPr>
          <w:rFonts w:ascii="华文楷体" w:hAnsi="华文楷体" w:eastAsia="华文楷体" w:cs="宋体"/>
          <w:sz w:val="24"/>
        </w:rPr>
        <w:t>。</w:t>
      </w:r>
      <w:r>
        <w:rPr>
          <w:rFonts w:hint="eastAsia" w:ascii="华文楷体" w:hAnsi="华文楷体" w:eastAsia="华文楷体" w:cs="宋体"/>
          <w:sz w:val="24"/>
        </w:rPr>
        <w:t>申请继承最后一名退出受益人信托受益权的继承人，应向受托人提供</w:t>
      </w:r>
      <w:r>
        <w:rPr>
          <w:rFonts w:ascii="华文楷体" w:hAnsi="华文楷体" w:eastAsia="华文楷体" w:cs="宋体"/>
          <w:sz w:val="24"/>
        </w:rPr>
        <w:t>继承权公证文书或者</w:t>
      </w:r>
      <w:r>
        <w:rPr>
          <w:rFonts w:hint="eastAsia" w:ascii="华文楷体" w:hAnsi="华文楷体" w:eastAsia="华文楷体" w:cs="宋体"/>
          <w:sz w:val="24"/>
        </w:rPr>
        <w:t>具有</w:t>
      </w:r>
      <w:r>
        <w:rPr>
          <w:rFonts w:ascii="华文楷体" w:hAnsi="华文楷体" w:eastAsia="华文楷体" w:cs="宋体"/>
          <w:sz w:val="24"/>
        </w:rPr>
        <w:t>法律</w:t>
      </w:r>
      <w:r>
        <w:rPr>
          <w:rFonts w:hint="eastAsia" w:ascii="华文楷体" w:hAnsi="华文楷体" w:eastAsia="华文楷体" w:cs="宋体"/>
          <w:sz w:val="24"/>
        </w:rPr>
        <w:t>效力</w:t>
      </w:r>
      <w:r>
        <w:rPr>
          <w:rFonts w:ascii="华文楷体" w:hAnsi="华文楷体" w:eastAsia="华文楷体" w:cs="宋体"/>
          <w:sz w:val="24"/>
        </w:rPr>
        <w:t>的司法裁判文书</w:t>
      </w:r>
      <w:r>
        <w:rPr>
          <w:rFonts w:hint="eastAsia" w:ascii="华文楷体" w:hAnsi="华文楷体" w:eastAsia="华文楷体" w:cs="宋体"/>
          <w:sz w:val="24"/>
        </w:rPr>
        <w:t>。</w:t>
      </w:r>
      <w:r>
        <w:rPr>
          <w:rFonts w:hint="eastAsia" w:ascii="华文楷体" w:hAnsi="华文楷体" w:eastAsia="华文楷体" w:cs="宋体"/>
          <w:b/>
          <w:sz w:val="24"/>
        </w:rPr>
        <w:t>在发生合同约定的信托终止情形时，若无相关权利人申请继承剩余信托财产的，受托人于合同约定信托终止情形发生后</w:t>
      </w:r>
      <w:r>
        <w:rPr>
          <w:rFonts w:ascii="华文楷体" w:hAnsi="华文楷体" w:eastAsia="华文楷体" w:cs="宋体"/>
          <w:b/>
          <w:sz w:val="24"/>
        </w:rPr>
        <w:t>90</w:t>
      </w:r>
      <w:r>
        <w:rPr>
          <w:rFonts w:hint="eastAsia" w:ascii="华文楷体" w:hAnsi="华文楷体" w:eastAsia="华文楷体" w:cs="宋体"/>
          <w:b/>
          <w:sz w:val="24"/>
        </w:rPr>
        <w:t>个工作日内在中国境内的省级媒体上发出公告，公告满4年无人认领的，由受托人用于公益目的，在公益目的下，如何使用由受托人全权决定。一旦处置，如有相关当事人的继承人申请继承的，则不予受理</w:t>
      </w:r>
      <w:r>
        <w:rPr>
          <w:rFonts w:hint="eastAsia" w:ascii="华文楷体" w:hAnsi="华文楷体" w:eastAsia="华文楷体" w:cs="宋体"/>
          <w:sz w:val="24"/>
        </w:rPr>
        <w:t>。</w:t>
      </w:r>
      <w:r>
        <w:rPr>
          <w:rFonts w:hint="eastAsia" w:ascii="华文楷体" w:hAnsi="华文楷体" w:eastAsia="华文楷体" w:cs="宋体"/>
          <w:b/>
          <w:sz w:val="24"/>
        </w:rPr>
        <w:t>受托人按照上述规则进行信托财产的处置，将被视为受托人履职的表现，受托人不承担责任。</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10.3. 信托利益分配</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10.3.1. 固定分配</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10.3.1.1. 信托存续期间，受托人以现金形式的信托财产扣除应付未付信托税费和其他负债后的余额为限，按信托分配方案向各受益人进行分配。</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10.3.1.2. 受托人根据信托分配方案的约定，在需要进行固定分配的年度，在固定分配日后【10】个工作日内，按照信托分配方案约定的金额划拨至受益人信托利益账户。</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sz w:val="24"/>
        </w:rPr>
        <w:t>10.3.1.3. 若资金形式的信托财产扣除应付未付信托税费和其他负债后的余额不足以分配信托利益，则受托人有权暂不进行信托利益分配。暂不分配信托利益期间，受托人不得将信托财产专户中的资金进行会进一步导致信托利益分配申请延期执行的投资，直至完成固定信托利益分配止。若全部信托财产投资回收后仍无法满足信托利益分配需求，本信托终止。</w:t>
      </w:r>
    </w:p>
    <w:p>
      <w:pPr>
        <w:pStyle w:val="4"/>
        <w:keepNext w:val="0"/>
        <w:keepLines w:val="0"/>
        <w:spacing w:before="0" w:after="0" w:line="360" w:lineRule="auto"/>
        <w:ind w:firstLine="480" w:firstLineChars="200"/>
        <w:rPr>
          <w:rFonts w:ascii="华文楷体" w:hAnsi="华文楷体" w:eastAsia="华文楷体" w:cs="宋体"/>
          <w:b w:val="0"/>
          <w:sz w:val="24"/>
        </w:rPr>
      </w:pPr>
      <w:bookmarkStart w:id="109" w:name="_Ref327694648"/>
      <w:r>
        <w:rPr>
          <w:rFonts w:hint="eastAsia" w:ascii="华文楷体" w:hAnsi="华文楷体" w:eastAsia="华文楷体" w:cs="宋体"/>
          <w:b w:val="0"/>
          <w:sz w:val="24"/>
        </w:rPr>
        <w:t>10.3.2. 临时分配</w:t>
      </w:r>
      <w:bookmarkEnd w:id="109"/>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10.3.2.1. 信托分配方案中对临时分配有约定分配条件，并要求提供证明材料的，则由利益分配方案中约定的相关当事人提供证明材料，并保证其真实性，受托人仅对证明材料进行形式审核，无实质审核义务。若受托人认为证明材料不符合要求的，则受托人有权拒绝支付信托利益。</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10.3.2.2. 如临时分配申请指定的信托利益临时分配之日，资金形式的信托财产扣除应付未付信托税费和其他负债后的余额足以分配该信托利益的，则受托人于信托利益分配指令指定的信托利益分配之日起【10】个工作日内，按照临时分配申请中指定的金额将信托利益划入受益人的信托利益账户。</w:t>
      </w:r>
    </w:p>
    <w:p>
      <w:pPr>
        <w:tabs>
          <w:tab w:val="left" w:pos="0"/>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若资金形式的信托财产扣除应付未付信托税费和其他负债后的余额不足以分配信托利益，则受托人有权暂不进行信托利益分配。暂不分配信托利益期间，受托人不得将信托财产专户中的资金进行会进一步导致信托利益分配申请延期执行的投资，直至完成临时分配申请指示的信托利益分配止。若全部信托财产投资回收后仍无法满足信托利益分配需求，本信托终止。</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10.3.3. 终止分配</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10.3.3.1. 信托终止时，受托人以全部信托财产扣除应付未付信托税费和其他负债后的余额为限分配信托利益，具体分配方案按照附件2《信托分配方案》执行。</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10.3.3.2. 以资金形式分配信托利益的，受托人于信托终止日后【10】个工作日内将信托利益划付至信托分配方案中指定人的信托利益账户。</w:t>
      </w:r>
    </w:p>
    <w:p>
      <w:pPr>
        <w:tabs>
          <w:tab w:val="left" w:pos="567"/>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10.3.3.3. 以保持信托财产现状形式分配信托利益的，受托人将资金形式的信托财产扣除应付未付信托税费和其他负债后，按信托分配方案的约定，于信托终止日后【10】个工作日内划入信托分配方案中指定人的信托利益账户。如资金形式的信托财产不足以支付应付未付信托费用和其他负债的，受托人有权将部分或全部信托财产变现用于支付应付未付信托费用和其他负债，或要求委托人另行支付，委托人发生突发事件的，由受益人另行支付，且各受益人对此负有连带责任。对于非资金形式的信托财产部分，受托人于信托终止日起【10】个工作日内将信托财产分配通知书以书面形式送到本合同附件2《信托分配方案》中各受益人预留的</w:t>
      </w:r>
      <w:r>
        <w:rPr>
          <w:rFonts w:hint="eastAsia" w:ascii="华文楷体" w:hAnsi="华文楷体" w:eastAsia="华文楷体" w:cs="宋体"/>
          <w:sz w:val="24"/>
        </w:rPr>
        <w:t>地址</w:t>
      </w:r>
      <w:r>
        <w:rPr>
          <w:rFonts w:hint="eastAsia" w:ascii="华文楷体" w:hAnsi="华文楷体" w:eastAsia="华文楷体" w:cs="宋体"/>
          <w:bCs/>
          <w:color w:val="000000"/>
          <w:sz w:val="24"/>
        </w:rPr>
        <w:t>，通知受益人进行非资金形式的信托财产的分配。</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10.3.3.4. 受托人将信托财产分配通知书送达受益人后，应将非资金形式的信托财产交付给受益人，信托项下的相关担保权利（如有）一并交付给受益人。该等财产交付时，如需签署协议、办理过户手续或登记手续的，受益人应配合受托人签署财产交付的相关协议、办理过户手续。因信托财产过户、登记等所需的费用从信托财产中扣除，不足扣除的，由受益人另行支付，各受益人对因此产生的费用承担连带责任。</w:t>
      </w:r>
    </w:p>
    <w:p>
      <w:pPr>
        <w:tabs>
          <w:tab w:val="left" w:pos="0"/>
          <w:tab w:val="left" w:pos="772"/>
          <w:tab w:val="left" w:pos="1276"/>
        </w:tabs>
        <w:adjustRightInd w:val="0"/>
        <w:snapToGrid w:val="0"/>
        <w:spacing w:line="360" w:lineRule="auto"/>
        <w:ind w:firstLine="480" w:firstLineChars="200"/>
        <w:jc w:val="left"/>
        <w:outlineLvl w:val="2"/>
        <w:rPr>
          <w:rFonts w:ascii="华文楷体" w:hAnsi="华文楷体" w:eastAsia="华文楷体" w:cs="宋体"/>
          <w:bCs/>
          <w:color w:val="000000"/>
          <w:sz w:val="24"/>
        </w:rPr>
      </w:pPr>
      <w:r>
        <w:rPr>
          <w:rFonts w:hint="eastAsia" w:ascii="华文楷体" w:hAnsi="华文楷体" w:eastAsia="华文楷体" w:cs="宋体"/>
          <w:bCs/>
          <w:color w:val="000000"/>
          <w:sz w:val="24"/>
        </w:rPr>
        <w:t>10.3.3.5. 受托人按上述方式分配非资金形式的信托财产时，如受益人不予配合或按照当时的市场交易规则无法完成过户手续的，自信托财产分配通知书送达之日起（含当日）受托人仅对该等非资金形式的财产在合理的范围内进行保管，直至该等财产过户完成之日，保管费按照信托文件约定的信托期间的受托人信托报酬的标准收取。对于受托人保管该等财产期间，该等财产贬值以及毁损灭失的风险由受益人自行承担，保管期间所产生的管理费由信托财产承担，信托财产不足以承担的，由受益人承担，各受益人对此承担连带责任。</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10.4. 信托利益分配账户</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szCs w:val="24"/>
        </w:rPr>
        <w:t>10.4.1. 信托利益分配账户见本合同附件2《信托分配方案》。若信托分配方案</w:t>
      </w:r>
      <w:r>
        <w:rPr>
          <w:rFonts w:hint="eastAsia" w:ascii="华文楷体" w:hAnsi="华文楷体" w:eastAsia="华文楷体" w:cs="宋体"/>
          <w:b w:val="0"/>
          <w:sz w:val="24"/>
        </w:rPr>
        <w:t>未约定的，在信托利益分配前由委托人或受益人另行提供。</w:t>
      </w:r>
      <w:r>
        <w:rPr>
          <w:rFonts w:hint="eastAsia" w:ascii="华文楷体" w:hAnsi="华文楷体" w:eastAsia="华文楷体" w:cs="宋体"/>
          <w:sz w:val="24"/>
        </w:rPr>
        <w:t>如未提供，或提供的信息有误导致的无法分配或不能准确分配，导致的损失由信托财产承担，导致受益人不能获得信托利益分配的风险由委托人</w:t>
      </w:r>
      <w:r>
        <w:rPr>
          <w:rFonts w:ascii="华文楷体" w:hAnsi="华文楷体" w:eastAsia="华文楷体" w:cs="宋体"/>
          <w:sz w:val="24"/>
        </w:rPr>
        <w:t>、</w:t>
      </w:r>
      <w:r>
        <w:rPr>
          <w:rFonts w:hint="eastAsia" w:ascii="华文楷体" w:hAnsi="华文楷体" w:eastAsia="华文楷体" w:cs="宋体"/>
          <w:sz w:val="24"/>
        </w:rPr>
        <w:t>受益人承担。</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10.5. 信托利益账户变更</w:t>
      </w:r>
    </w:p>
    <w:p>
      <w:pPr>
        <w:pStyle w:val="4"/>
        <w:keepNext w:val="0"/>
        <w:keepLines w:val="0"/>
        <w:spacing w:before="0" w:after="0" w:line="360" w:lineRule="auto"/>
        <w:ind w:firstLine="360" w:firstLineChars="150"/>
        <w:rPr>
          <w:rFonts w:ascii="华文楷体" w:hAnsi="华文楷体" w:eastAsia="华文楷体" w:cs="宋体"/>
          <w:b w:val="0"/>
          <w:sz w:val="24"/>
        </w:rPr>
      </w:pPr>
      <w:r>
        <w:rPr>
          <w:rFonts w:hint="eastAsia" w:ascii="华文楷体" w:hAnsi="华文楷体" w:eastAsia="华文楷体" w:cs="宋体"/>
          <w:b w:val="0"/>
          <w:sz w:val="24"/>
        </w:rPr>
        <w:t>10.5.1. 受益人信托利益账户发生变更的，受益人应另行开立同名信托</w:t>
      </w:r>
    </w:p>
    <w:p>
      <w:pPr>
        <w:spacing w:line="360" w:lineRule="auto"/>
        <w:rPr>
          <w:rFonts w:ascii="华文楷体" w:hAnsi="华文楷体" w:eastAsia="华文楷体" w:cs="宋体"/>
          <w:sz w:val="24"/>
        </w:rPr>
      </w:pPr>
      <w:r>
        <w:rPr>
          <w:rFonts w:hint="eastAsia" w:ascii="华文楷体" w:hAnsi="华文楷体" w:eastAsia="华文楷体" w:cs="宋体"/>
          <w:sz w:val="24"/>
        </w:rPr>
        <w:t>利益账户，并由受益人第一时间持证明文件至受托人处办理受益人信托利益账户的变更手续或由受益人第一时间向受托人发送有效证明文件，证明文件上需由受益人签字确认。</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10.5.2. 若因受益人信托利益账户发生变更未及时通知受托人，由此导致的损失由受益人自行承担，受托人按照原信托利益账户完成信托利益支付后，视为完整履行了信托利益分配的义务。</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 xml:space="preserve">10.6. 特别提示 </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10.6.1. “信托利益”等表述并不代表受托人承诺最低收益，亦不代表受托人承诺信托财产不受损失。</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10.6.2. 受托人对信托财产的投资不承诺任何形式的投资本金和收益回报，对信托财产投资标的不承担任何兜底和兑付义务。</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10" w:name="_Toc217903222"/>
      <w:bookmarkStart w:id="111" w:name="_Toc297378540"/>
      <w:bookmarkStart w:id="112" w:name="_Toc421520879"/>
      <w:bookmarkStart w:id="113" w:name="_Toc6397520"/>
      <w:bookmarkStart w:id="114" w:name="_Toc325723986"/>
      <w:bookmarkStart w:id="115" w:name="_Toc421189326"/>
      <w:bookmarkStart w:id="116" w:name="_Toc166088559"/>
      <w:r>
        <w:rPr>
          <w:rFonts w:hint="eastAsia" w:ascii="华文楷体" w:hAnsi="华文楷体" w:eastAsia="华文楷体" w:cs="宋体"/>
          <w:color w:val="auto"/>
          <w:sz w:val="24"/>
          <w:szCs w:val="24"/>
        </w:rPr>
        <w:t>风险揭示与风险承担</w:t>
      </w:r>
      <w:bookmarkEnd w:id="110"/>
      <w:bookmarkEnd w:id="111"/>
      <w:bookmarkEnd w:id="112"/>
      <w:bookmarkEnd w:id="113"/>
      <w:bookmarkEnd w:id="114"/>
      <w:bookmarkEnd w:id="115"/>
      <w:bookmarkEnd w:id="116"/>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11.1. 风险揭示</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11.1.1. 信托的设立及信托财产在管理运用过程中，存在以下风险：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法律、政策风险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国家法律、行政法规、货币政策、财政税收政策、产业政策、投资政策、金融业监管政策等宏观政策及相关法律、行政法规的调整与变化，都可能对信托财产投资标的的价值、信托目的的实现产生一定影响。</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市场风险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因国家政策变化、经济周期、利率变化、行业趋势、通货膨胀的变化以及其他相关市场因素的变化，可能导致信托财产投资标的的投资收益波动，甚至可能造成投资损失。</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color w:val="000000"/>
          <w:sz w:val="24"/>
        </w:rPr>
      </w:pPr>
      <w:r>
        <w:rPr>
          <w:rFonts w:hint="eastAsia" w:ascii="华文楷体" w:hAnsi="华文楷体" w:eastAsia="华文楷体" w:cs="宋体"/>
          <w:sz w:val="24"/>
        </w:rPr>
        <w:t>投资风险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本信托项下的信托财产将根据本合同和投资方案书确定的投资范围、投资比例及投资限制进行投资运作，存在无法取得信托收益且信托资产亦无法收回的风险。</w:t>
      </w:r>
    </w:p>
    <w:p>
      <w:pPr>
        <w:numPr>
          <w:ilvl w:val="0"/>
          <w:numId w:val="8"/>
        </w:numPr>
        <w:tabs>
          <w:tab w:val="left" w:pos="425"/>
          <w:tab w:val="left" w:pos="993"/>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信托资金闲置的风险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信托期限内，在管理运用信托财产时无法做到两个投资产品在时间上完全衔接，可能导致信托资金闲置，从而影响信托收益的风险。</w:t>
      </w:r>
    </w:p>
    <w:p>
      <w:pPr>
        <w:numPr>
          <w:ilvl w:val="0"/>
          <w:numId w:val="8"/>
        </w:numPr>
        <w:tabs>
          <w:tab w:val="left" w:pos="425"/>
          <w:tab w:val="left" w:pos="993"/>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信用风险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信托投资的交易对手或信托投资金融产品的管理人可能不履行义务或因经营状况、财务状况发生重大不利变化而无法履行义务，从而导致信托资金无法及时获取投资收益，从而造成该信托财产损失的风险。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流动性风险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因信托财产所投资的金融产品的流动性不足可能导致的无法按时分配信托利益以及信托到期时信托财产无法及时变现的风险。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现状分配风险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信托终止时，受托人有权选择以保持信托财产现状的方式向受益人分配信托利益。</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管理风险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ascii="华文楷体" w:hAnsi="华文楷体" w:eastAsia="华文楷体" w:cs="宋体"/>
          <w:sz w:val="24"/>
        </w:rPr>
        <w:t>由于</w:t>
      </w:r>
      <w:r>
        <w:rPr>
          <w:rFonts w:hint="eastAsia" w:ascii="华文楷体" w:hAnsi="华文楷体" w:eastAsia="华文楷体" w:cs="宋体"/>
          <w:sz w:val="24"/>
        </w:rPr>
        <w:t>财务顾问机构</w:t>
      </w:r>
      <w:r>
        <w:rPr>
          <w:rFonts w:ascii="华文楷体" w:hAnsi="华文楷体" w:eastAsia="华文楷体" w:cs="宋体"/>
          <w:sz w:val="24"/>
        </w:rPr>
        <w:t>的经验、技能等因素的限制，在管理信托财产的过程中对信息的采集和判断发生偏差而使信托财产未能实现</w:t>
      </w:r>
      <w:r>
        <w:rPr>
          <w:rFonts w:hint="eastAsia" w:ascii="华文楷体" w:hAnsi="华文楷体" w:eastAsia="华文楷体" w:cs="宋体"/>
          <w:sz w:val="24"/>
        </w:rPr>
        <w:t>业绩基准（若有）</w:t>
      </w:r>
      <w:r>
        <w:rPr>
          <w:rFonts w:ascii="华文楷体" w:hAnsi="华文楷体" w:eastAsia="华文楷体" w:cs="宋体"/>
          <w:sz w:val="24"/>
        </w:rPr>
        <w:t>或遭受损失的风险。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提前终止与延期风险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因信托财产无法及时变现或发生提前终止事由或信托文件规定情形及 其他法定情形时，受托人将按照法律、行政法规、信托文件以及其他规定提前终止或延期本信托，可能造成受益人信托利益受损的风险。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非法所得设立信托风险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委托人违反如实告知义务，以非法所得财产设立信托，可能导致信托财产被权利机关追缴或信托被宣告无效等风险。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债权人债务追索风险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因委托人设立该信托侵犯了委托人债权人包括夫妻共同债务对应的债权人的权利，可能导致的债权人债务追索以致信托被宣告撤销、信托财产被强制执行等风险。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财产共有人主张权利风险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委托人以与他人共有的财产设立信托，若未经得其财产共有人同意，可能导致财产共有人主张权利从而导致信托被宣告撤销的风险。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被强制执行的风险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设立信托前，委托人的债权人包括夫妻共同债务对应的债权人已对信托财产享用优先受偿权利，并依法行使该权利的，若委托人以此财产设立信托的，信托财产存在被强制执行的风险。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以合法形式掩盖非法目的风险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委托人若通过信托的合法形式掩盖非法目的，存在信托被宣告无效的风险。</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以遗嘱和信托形式共同处置信托财产的风险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委托人将同一笔财产同时以遗嘱和信托形式做出处分，存在信托受益人与遗嘱继承人产生争议，从而导致信托目的无法实现的风险。</w:t>
      </w:r>
    </w:p>
    <w:p>
      <w:pPr>
        <w:numPr>
          <w:ilvl w:val="0"/>
          <w:numId w:val="8"/>
        </w:numPr>
        <w:tabs>
          <w:tab w:val="left" w:pos="425"/>
          <w:tab w:val="left" w:pos="1134"/>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关联交易风险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本信托项下，存在信托财产投资受托人或其关联方发行的信托计划或其他金融产品的情况，上述投资涉及关联交易，存在关联交易风险。</w:t>
      </w:r>
    </w:p>
    <w:p>
      <w:pPr>
        <w:pStyle w:val="57"/>
        <w:numPr>
          <w:ilvl w:val="0"/>
          <w:numId w:val="8"/>
        </w:numPr>
        <w:ind w:firstLine="147"/>
        <w:rPr>
          <w:rFonts w:ascii="华文楷体" w:hAnsi="华文楷体" w:eastAsia="华文楷体"/>
          <w:b w:val="0"/>
        </w:rPr>
      </w:pPr>
      <w:r>
        <w:rPr>
          <w:rFonts w:hint="eastAsia" w:ascii="华文楷体" w:hAnsi="华文楷体" w:eastAsia="华文楷体"/>
          <w:b w:val="0"/>
        </w:rPr>
        <w:t>财务顾问专业能力风险</w:t>
      </w:r>
    </w:p>
    <w:p>
      <w:pPr>
        <w:pStyle w:val="57"/>
        <w:ind w:left="0" w:firstLine="480" w:firstLineChars="200"/>
        <w:rPr>
          <w:rFonts w:ascii="华文楷体" w:hAnsi="华文楷体" w:eastAsia="华文楷体"/>
          <w:b w:val="0"/>
        </w:rPr>
      </w:pPr>
      <w:r>
        <w:rPr>
          <w:rFonts w:hint="eastAsia" w:ascii="华文楷体" w:hAnsi="华文楷体" w:eastAsia="华文楷体"/>
          <w:b w:val="0"/>
        </w:rPr>
        <w:t>本信托项下，委托人指定并要求受托人聘请中国农业银行股份有限公司作为信托财务顾问，并按照财务顾问的投资建议进行信托财产投资，财务顾问专业投资能力将直接影响信托利益的实现。</w:t>
      </w:r>
    </w:p>
    <w:p>
      <w:pPr>
        <w:numPr>
          <w:ilvl w:val="0"/>
          <w:numId w:val="8"/>
        </w:numPr>
        <w:tabs>
          <w:tab w:val="left" w:pos="425"/>
          <w:tab w:val="left" w:pos="993"/>
          <w:tab w:val="left" w:pos="1276"/>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其他风险</w:t>
      </w:r>
    </w:p>
    <w:p>
      <w:pPr>
        <w:tabs>
          <w:tab w:val="left" w:pos="425"/>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直接或间接因受托人所不能控制的情况导致受托人延迟或未能履行信托合同规定的义务，或因前述情况直接或间接导致信托财产损失的风险。该等情况包括但不限于政府限制、电子或机械设备或通讯线路失灵、电话或其他接收系统出现问题、盗窃、战争、罢工、社会骚乱、恐怖活动、自然灾害等。</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11.2. 风险承担</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11.2.1. 受托人根据信托文件的规定管理、运用或处分信托财产产生的损失由信托财产承担。</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11.2.2. 受托人违反信托文件的规定管理、运用和处分信托财产，导致信托财产受到损失的，受托人应负责赔偿，不足赔偿的，由信托财产承担。</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11.2.3. 当出现流动性风险时，受托人可延期支付，若信托财产要提前变现，所产生的损失由信托财产承担。</w:t>
      </w:r>
    </w:p>
    <w:p>
      <w:pPr>
        <w:pStyle w:val="4"/>
        <w:keepNext w:val="0"/>
        <w:keepLines w:val="0"/>
        <w:spacing w:before="0" w:after="0" w:line="360" w:lineRule="auto"/>
        <w:ind w:firstLine="480" w:firstLineChars="200"/>
        <w:rPr>
          <w:rFonts w:ascii="华文楷体" w:hAnsi="华文楷体" w:eastAsia="华文楷体" w:cs="宋体"/>
          <w:b w:val="0"/>
          <w:sz w:val="24"/>
          <w:szCs w:val="24"/>
        </w:rPr>
      </w:pPr>
      <w:r>
        <w:rPr>
          <w:rFonts w:hint="eastAsia" w:ascii="华文楷体" w:hAnsi="华文楷体" w:eastAsia="华文楷体" w:cs="宋体"/>
          <w:b w:val="0"/>
          <w:sz w:val="24"/>
          <w:szCs w:val="24"/>
        </w:rPr>
        <w:t>11.2.4. 如因委托人或受益人原因导致本信托被撤销、被宣告无效、信</w:t>
      </w:r>
    </w:p>
    <w:p>
      <w:pPr>
        <w:spacing w:line="360" w:lineRule="auto"/>
        <w:rPr>
          <w:rFonts w:ascii="华文楷体" w:hAnsi="华文楷体" w:eastAsia="华文楷体"/>
          <w:sz w:val="24"/>
        </w:rPr>
      </w:pPr>
      <w:r>
        <w:rPr>
          <w:rFonts w:hint="eastAsia" w:ascii="华文楷体" w:hAnsi="华文楷体" w:eastAsia="华文楷体"/>
          <w:sz w:val="24"/>
        </w:rPr>
        <w:t>托财产被强制执行等导致受托人遭受损失的,委托人、受益人应向受托人进行充分及时的赔偿，以保证受托人的固有财产不受损失，为此，委托人、受益人均同意受托人在依法返还信托财产时可事先自行直接扣除因上述原因导致的受托人固有财产损失部分。信托财产不足偿付的，委托人和受益人承担连带赔偿责任。</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11.2.5. 受托人不承诺信托财产不受损失，亦不承诺信托财产的最低收益。</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11.2.6若委托人交付的信托财产为金融理财产品，因金融产品发行方或实际管理方原因造成该金融投资产品亏损的，与受托人无关。</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11.3. 免责</w:t>
      </w:r>
    </w:p>
    <w:p>
      <w:pPr>
        <w:pStyle w:val="4"/>
        <w:keepNext w:val="0"/>
        <w:keepLines w:val="0"/>
        <w:spacing w:before="0" w:after="0"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11.3.1. 发生下列情形时，当事人对于因下列原因而引起的损失可以免于承担相应责任：</w:t>
      </w:r>
      <w:r>
        <w:rPr>
          <w:rFonts w:hint="eastAsia" w:ascii="华文楷体" w:hAnsi="华文楷体" w:eastAsia="华文楷体" w:cs="宋体"/>
          <w:sz w:val="24"/>
        </w:rPr>
        <w:tab/>
      </w:r>
    </w:p>
    <w:p>
      <w:pPr>
        <w:numPr>
          <w:ilvl w:val="0"/>
          <w:numId w:val="9"/>
        </w:numPr>
        <w:tabs>
          <w:tab w:val="left" w:pos="1276"/>
        </w:tabs>
        <w:adjustRightInd w:val="0"/>
        <w:snapToGrid w:val="0"/>
        <w:spacing w:line="360" w:lineRule="auto"/>
        <w:ind w:left="0" w:firstLine="480" w:firstLineChars="200"/>
        <w:rPr>
          <w:rFonts w:ascii="华文楷体" w:hAnsi="华文楷体" w:eastAsia="华文楷体" w:cs="宋体"/>
          <w:b/>
          <w:sz w:val="24"/>
        </w:rPr>
      </w:pPr>
      <w:r>
        <w:rPr>
          <w:rFonts w:hint="eastAsia" w:ascii="华文楷体" w:hAnsi="华文楷体" w:eastAsia="华文楷体" w:cs="宋体"/>
          <w:b/>
          <w:sz w:val="24"/>
        </w:rPr>
        <w:t xml:space="preserve">不可抗力； </w:t>
      </w:r>
    </w:p>
    <w:p>
      <w:pPr>
        <w:numPr>
          <w:ilvl w:val="0"/>
          <w:numId w:val="9"/>
        </w:numPr>
        <w:tabs>
          <w:tab w:val="left" w:pos="1276"/>
        </w:tabs>
        <w:adjustRightInd w:val="0"/>
        <w:snapToGrid w:val="0"/>
        <w:spacing w:line="360" w:lineRule="auto"/>
        <w:ind w:left="0" w:firstLine="480" w:firstLineChars="200"/>
        <w:rPr>
          <w:rFonts w:ascii="华文楷体" w:hAnsi="华文楷体" w:eastAsia="华文楷体" w:cs="宋体"/>
          <w:b/>
          <w:sz w:val="24"/>
        </w:rPr>
      </w:pPr>
      <w:r>
        <w:rPr>
          <w:rFonts w:hint="eastAsia" w:ascii="华文楷体" w:hAnsi="华文楷体" w:eastAsia="华文楷体" w:cs="宋体"/>
          <w:b/>
          <w:sz w:val="24"/>
        </w:rPr>
        <w:t>受托人按照当时有效的法律、行政法规或监管部门的规定作为或不作为而造成的损失等；</w:t>
      </w:r>
    </w:p>
    <w:p>
      <w:pPr>
        <w:numPr>
          <w:ilvl w:val="0"/>
          <w:numId w:val="9"/>
        </w:numPr>
        <w:tabs>
          <w:tab w:val="left" w:pos="1276"/>
        </w:tabs>
        <w:adjustRightInd w:val="0"/>
        <w:snapToGrid w:val="0"/>
        <w:spacing w:line="360" w:lineRule="auto"/>
        <w:ind w:left="0" w:firstLine="480" w:firstLineChars="200"/>
        <w:rPr>
          <w:rFonts w:ascii="华文楷体" w:hAnsi="华文楷体" w:eastAsia="华文楷体" w:cs="宋体"/>
          <w:b/>
          <w:sz w:val="24"/>
        </w:rPr>
      </w:pPr>
      <w:r>
        <w:rPr>
          <w:rFonts w:hint="eastAsia" w:ascii="华文楷体" w:hAnsi="华文楷体" w:eastAsia="华文楷体" w:cs="宋体"/>
          <w:b/>
          <w:sz w:val="24"/>
        </w:rPr>
        <w:t>受托人按照信托文件的规定进行投资或不投资造成的损失或潜在损失等；</w:t>
      </w:r>
    </w:p>
    <w:p>
      <w:pPr>
        <w:numPr>
          <w:ilvl w:val="0"/>
          <w:numId w:val="9"/>
        </w:numPr>
        <w:tabs>
          <w:tab w:val="left" w:pos="1276"/>
        </w:tabs>
        <w:adjustRightInd w:val="0"/>
        <w:snapToGrid w:val="0"/>
        <w:spacing w:line="360" w:lineRule="auto"/>
        <w:ind w:left="0" w:firstLine="480" w:firstLineChars="200"/>
        <w:rPr>
          <w:rFonts w:ascii="华文楷体" w:hAnsi="华文楷体" w:eastAsia="华文楷体" w:cs="宋体"/>
          <w:b/>
          <w:sz w:val="24"/>
        </w:rPr>
      </w:pPr>
      <w:r>
        <w:rPr>
          <w:rFonts w:hint="eastAsia" w:ascii="华文楷体" w:hAnsi="华文楷体" w:eastAsia="华文楷体" w:cs="宋体"/>
          <w:b/>
          <w:sz w:val="24"/>
        </w:rPr>
        <w:t>因委托人、受益人等提供材料不真实、不准确导致的信托财产遭受的损失，受托人免除责任。</w:t>
      </w:r>
    </w:p>
    <w:p>
      <w:pPr>
        <w:numPr>
          <w:ilvl w:val="0"/>
          <w:numId w:val="9"/>
        </w:numPr>
        <w:tabs>
          <w:tab w:val="left" w:pos="1276"/>
        </w:tabs>
        <w:adjustRightInd w:val="0"/>
        <w:snapToGrid w:val="0"/>
        <w:spacing w:line="360" w:lineRule="auto"/>
        <w:ind w:left="0" w:firstLine="480" w:firstLineChars="200"/>
        <w:rPr>
          <w:rFonts w:ascii="华文楷体" w:hAnsi="华文楷体" w:eastAsia="华文楷体" w:cs="宋体"/>
          <w:b/>
          <w:sz w:val="24"/>
        </w:rPr>
      </w:pPr>
      <w:r>
        <w:rPr>
          <w:rFonts w:hint="eastAsia" w:ascii="华文楷体" w:hAnsi="华文楷体" w:eastAsia="华文楷体" w:cs="宋体"/>
          <w:b/>
          <w:sz w:val="24"/>
        </w:rPr>
        <w:t>因委托人、受益人、第二顺位受益人、受益人的法定继承人、委托人的法定继承人等相关当事人的情况发生变化，而相关信托当事人未将情况附以证明材料及时以书面的方式通知受托人，导致受托人未能及时根据相关情况调整信托分配方案而导致的信托财产以及相关信托受益人的损失，受托人免除责任，已经分配的信托利益不予追回。</w:t>
      </w:r>
    </w:p>
    <w:p>
      <w:pPr>
        <w:numPr>
          <w:ilvl w:val="0"/>
          <w:numId w:val="9"/>
        </w:numPr>
        <w:tabs>
          <w:tab w:val="left" w:pos="1276"/>
        </w:tabs>
        <w:adjustRightInd w:val="0"/>
        <w:snapToGrid w:val="0"/>
        <w:spacing w:line="360" w:lineRule="auto"/>
        <w:ind w:left="0" w:firstLine="480" w:firstLineChars="200"/>
        <w:rPr>
          <w:rFonts w:ascii="华文楷体" w:hAnsi="华文楷体" w:eastAsia="华文楷体"/>
        </w:rPr>
      </w:pPr>
      <w:r>
        <w:rPr>
          <w:rFonts w:hint="eastAsia" w:ascii="华文楷体" w:hAnsi="华文楷体" w:eastAsia="华文楷体" w:cs="宋体"/>
          <w:b/>
          <w:bCs/>
          <w:color w:val="000000"/>
          <w:sz w:val="24"/>
        </w:rPr>
        <w:t>本信托运行期间，若受益人不具有完全民事行为能力，由其监护人代受益人向受托人做出相应的意思表示及接收受托人发出的各项通知，监护人代受益人履行本信托项下的各项权利和义务</w:t>
      </w:r>
      <w:r>
        <w:rPr>
          <w:rFonts w:hint="eastAsia" w:ascii="华文楷体" w:hAnsi="华文楷体" w:eastAsia="华文楷体" w:cs="宋体"/>
          <w:b/>
          <w:sz w:val="24"/>
        </w:rPr>
        <w:t>。若监护人履行监护职责不当损害被监护人的利益，由监护人承担相应法律责任，与受托人无关。若受益人有两名以上（含两名）有效监护人，任一有效监护人向受托人作出的符合信托文件约定的意思表示均有效，受托人以接收到有效意思表示的时间先后顺序履行相应职责，因监护人之间意思表示不一致而产生的纠纷，与受托人无关，由监护人另行协商解决；若受益人有两名以上（含两名）有效监护人，受托人向任一有效监护人发出通知皆视为受托人履行了通知义务。</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17" w:name="_Ref421478005"/>
      <w:bookmarkStart w:id="118" w:name="_Ref421477907"/>
      <w:bookmarkStart w:id="119" w:name="_Toc421189327"/>
      <w:bookmarkStart w:id="120" w:name="_Toc421520880"/>
      <w:bookmarkStart w:id="121" w:name="_Toc6397521"/>
      <w:r>
        <w:rPr>
          <w:rFonts w:hint="eastAsia" w:ascii="华文楷体" w:hAnsi="华文楷体" w:eastAsia="华文楷体" w:cs="宋体"/>
          <w:color w:val="auto"/>
          <w:sz w:val="24"/>
          <w:szCs w:val="24"/>
        </w:rPr>
        <w:t>信息的披露与通知</w:t>
      </w:r>
      <w:bookmarkEnd w:id="117"/>
      <w:bookmarkEnd w:id="118"/>
      <w:bookmarkEnd w:id="119"/>
      <w:bookmarkEnd w:id="120"/>
      <w:bookmarkEnd w:id="121"/>
    </w:p>
    <w:p>
      <w:pPr>
        <w:pStyle w:val="3"/>
        <w:keepNext w:val="0"/>
        <w:keepLines w:val="0"/>
        <w:spacing w:before="0" w:after="0" w:line="360" w:lineRule="auto"/>
        <w:rPr>
          <w:rFonts w:ascii="华文楷体" w:hAnsi="华文楷体" w:eastAsia="华文楷体"/>
        </w:rPr>
      </w:pPr>
      <w:bookmarkStart w:id="122" w:name="_Ref448496905"/>
      <w:r>
        <w:rPr>
          <w:rFonts w:hint="eastAsia" w:ascii="华文楷体" w:hAnsi="华文楷体" w:eastAsia="华文楷体"/>
        </w:rPr>
        <w:t>12.1. 信托的信息通知内容</w:t>
      </w:r>
      <w:bookmarkEnd w:id="122"/>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12.1.1. 本信托确认成立或不成立后的</w:t>
      </w:r>
      <w:r>
        <w:rPr>
          <w:rFonts w:hint="eastAsia" w:ascii="华文楷体" w:hAnsi="华文楷体" w:eastAsia="华文楷体"/>
          <w:b w:val="0"/>
          <w:sz w:val="24"/>
        </w:rPr>
        <w:t>【10】</w:t>
      </w:r>
      <w:r>
        <w:rPr>
          <w:rFonts w:hint="eastAsia" w:ascii="华文楷体" w:hAnsi="华文楷体" w:eastAsia="华文楷体" w:cs="宋体"/>
          <w:b w:val="0"/>
          <w:sz w:val="24"/>
        </w:rPr>
        <w:t>个工作日内，受托人就信托成立事项通知委托人。</w:t>
      </w:r>
    </w:p>
    <w:p>
      <w:pPr>
        <w:pStyle w:val="4"/>
        <w:keepNext w:val="0"/>
        <w:keepLines w:val="0"/>
        <w:spacing w:before="0" w:after="0" w:line="360" w:lineRule="auto"/>
        <w:ind w:firstLine="480" w:firstLineChars="200"/>
        <w:rPr>
          <w:rFonts w:ascii="华文楷体" w:hAnsi="华文楷体" w:eastAsia="华文楷体"/>
          <w:b w:val="0"/>
          <w:sz w:val="24"/>
        </w:rPr>
      </w:pPr>
      <w:r>
        <w:rPr>
          <w:rFonts w:hint="eastAsia" w:ascii="华文楷体" w:hAnsi="华文楷体" w:eastAsia="华文楷体"/>
          <w:b w:val="0"/>
          <w:sz w:val="24"/>
        </w:rPr>
        <w:t xml:space="preserve">12.1.2. </w:t>
      </w:r>
      <w:r>
        <w:rPr>
          <w:rFonts w:ascii="华文楷体" w:hAnsi="华文楷体" w:eastAsia="华文楷体"/>
          <w:b w:val="0"/>
          <w:sz w:val="24"/>
        </w:rPr>
        <w:t>本信托存续期间，</w:t>
      </w:r>
      <w:r>
        <w:rPr>
          <w:rFonts w:hint="eastAsia" w:ascii="华文楷体" w:hAnsi="华文楷体" w:eastAsia="华文楷体"/>
          <w:b w:val="0"/>
          <w:sz w:val="24"/>
        </w:rPr>
        <w:t>受托</w:t>
      </w:r>
      <w:r>
        <w:rPr>
          <w:rFonts w:ascii="华文楷体" w:hAnsi="华文楷体" w:eastAsia="华文楷体"/>
          <w:b w:val="0"/>
          <w:sz w:val="24"/>
        </w:rPr>
        <w:t>人</w:t>
      </w:r>
      <w:r>
        <w:rPr>
          <w:rFonts w:hint="eastAsia" w:ascii="华文楷体" w:hAnsi="华文楷体" w:eastAsia="华文楷体"/>
          <w:b w:val="0"/>
          <w:sz w:val="24"/>
        </w:rPr>
        <w:t>定期做出受托人报告。受托人在每个自然年度6月2</w:t>
      </w:r>
      <w:r>
        <w:rPr>
          <w:rFonts w:ascii="华文楷体" w:hAnsi="华文楷体" w:eastAsia="华文楷体"/>
          <w:b w:val="0"/>
          <w:sz w:val="24"/>
        </w:rPr>
        <w:t>0</w:t>
      </w:r>
      <w:r>
        <w:rPr>
          <w:rFonts w:hint="eastAsia" w:ascii="华文楷体" w:hAnsi="华文楷体" w:eastAsia="华文楷体"/>
          <w:b w:val="0"/>
          <w:sz w:val="24"/>
        </w:rPr>
        <w:t>日、1</w:t>
      </w:r>
      <w:r>
        <w:rPr>
          <w:rFonts w:ascii="华文楷体" w:hAnsi="华文楷体" w:eastAsia="华文楷体"/>
          <w:b w:val="0"/>
          <w:sz w:val="24"/>
        </w:rPr>
        <w:t>2</w:t>
      </w:r>
      <w:r>
        <w:rPr>
          <w:rFonts w:hint="eastAsia" w:ascii="华文楷体" w:hAnsi="华文楷体" w:eastAsia="华文楷体"/>
          <w:b w:val="0"/>
          <w:sz w:val="24"/>
        </w:rPr>
        <w:t>月2</w:t>
      </w:r>
      <w:r>
        <w:rPr>
          <w:rFonts w:ascii="华文楷体" w:hAnsi="华文楷体" w:eastAsia="华文楷体"/>
          <w:b w:val="0"/>
          <w:sz w:val="24"/>
        </w:rPr>
        <w:t>0</w:t>
      </w:r>
      <w:r>
        <w:rPr>
          <w:rFonts w:hint="eastAsia" w:ascii="华文楷体" w:hAnsi="华文楷体" w:eastAsia="华文楷体"/>
          <w:b w:val="0"/>
          <w:sz w:val="24"/>
        </w:rPr>
        <w:t>日后【</w:t>
      </w:r>
      <w:r>
        <w:rPr>
          <w:rFonts w:ascii="华文楷体" w:hAnsi="华文楷体" w:eastAsia="华文楷体"/>
          <w:b w:val="0"/>
          <w:sz w:val="24"/>
        </w:rPr>
        <w:t>2</w:t>
      </w:r>
      <w:r>
        <w:rPr>
          <w:rFonts w:hint="eastAsia" w:ascii="华文楷体" w:hAnsi="华文楷体" w:eastAsia="华文楷体"/>
          <w:b w:val="0"/>
          <w:sz w:val="24"/>
        </w:rPr>
        <w:t>0】个工作日内</w:t>
      </w:r>
      <w:r>
        <w:rPr>
          <w:rFonts w:ascii="华文楷体" w:hAnsi="华文楷体" w:eastAsia="华文楷体"/>
          <w:b w:val="0"/>
          <w:sz w:val="24"/>
        </w:rPr>
        <w:t>向委托人</w:t>
      </w:r>
      <w:r>
        <w:rPr>
          <w:rFonts w:hint="eastAsia" w:ascii="华文楷体" w:hAnsi="华文楷体" w:eastAsia="华文楷体"/>
          <w:b w:val="0"/>
          <w:sz w:val="24"/>
        </w:rPr>
        <w:t>（委托人在世时）、生效</w:t>
      </w:r>
      <w:r>
        <w:rPr>
          <w:rFonts w:ascii="华文楷体" w:hAnsi="华文楷体" w:eastAsia="华文楷体"/>
          <w:b w:val="0"/>
          <w:sz w:val="24"/>
        </w:rPr>
        <w:t>受益人</w:t>
      </w:r>
      <w:r>
        <w:rPr>
          <w:rFonts w:hint="eastAsia" w:ascii="华文楷体" w:hAnsi="华文楷体" w:eastAsia="华文楷体"/>
          <w:b w:val="0"/>
          <w:sz w:val="24"/>
        </w:rPr>
        <w:t>（委托人身故后）、财务顾问机构</w:t>
      </w:r>
      <w:r>
        <w:rPr>
          <w:rFonts w:ascii="华文楷体" w:hAnsi="华文楷体" w:eastAsia="华文楷体"/>
          <w:b w:val="0"/>
          <w:sz w:val="24"/>
        </w:rPr>
        <w:t>发送</w:t>
      </w:r>
      <w:r>
        <w:rPr>
          <w:rFonts w:hint="eastAsia" w:ascii="华文楷体" w:hAnsi="华文楷体" w:eastAsia="华文楷体"/>
          <w:b w:val="0"/>
          <w:sz w:val="24"/>
        </w:rPr>
        <w:t>当期受托人报告。受托人报告应当包括信托事务处理情况、信托财产管理使用情况和其他必要的事项说明。</w:t>
      </w:r>
    </w:p>
    <w:p>
      <w:pPr>
        <w:pStyle w:val="4"/>
        <w:keepNext w:val="0"/>
        <w:keepLines w:val="0"/>
        <w:spacing w:before="0" w:after="0" w:line="360" w:lineRule="auto"/>
        <w:ind w:firstLine="480" w:firstLineChars="200"/>
        <w:rPr>
          <w:rFonts w:ascii="华文楷体" w:hAnsi="华文楷体" w:eastAsia="华文楷体"/>
          <w:b w:val="0"/>
          <w:sz w:val="24"/>
        </w:rPr>
      </w:pPr>
      <w:r>
        <w:rPr>
          <w:rFonts w:hint="eastAsia" w:ascii="华文楷体" w:hAnsi="华文楷体" w:eastAsia="华文楷体"/>
          <w:b w:val="0"/>
          <w:sz w:val="24"/>
        </w:rPr>
        <w:t xml:space="preserve">12.1.3. </w:t>
      </w:r>
      <w:r>
        <w:rPr>
          <w:rFonts w:ascii="华文楷体" w:hAnsi="华文楷体" w:eastAsia="华文楷体"/>
          <w:b w:val="0"/>
          <w:sz w:val="24"/>
        </w:rPr>
        <w:t>本信托期限内，如在管理运用信托财产过程中发生重大事项，受托人在收到相关机构（包括但不限于财务顾问）报告后</w:t>
      </w:r>
      <w:r>
        <w:rPr>
          <w:rFonts w:hint="eastAsia" w:ascii="华文楷体" w:hAnsi="华文楷体" w:eastAsia="华文楷体"/>
          <w:b w:val="0"/>
          <w:sz w:val="24"/>
        </w:rPr>
        <w:t>5个工作日内以书面报告形式报告委托人和生效受益人</w:t>
      </w:r>
      <w:r>
        <w:rPr>
          <w:rFonts w:ascii="华文楷体" w:hAnsi="华文楷体" w:eastAsia="华文楷体"/>
          <w:b w:val="0"/>
          <w:sz w:val="24"/>
        </w:rPr>
        <w:t>，说明有关情况及拟采取的处理措施。</w:t>
      </w:r>
    </w:p>
    <w:p>
      <w:pPr>
        <w:pStyle w:val="4"/>
        <w:keepNext w:val="0"/>
        <w:keepLines w:val="0"/>
        <w:spacing w:before="0" w:after="0" w:line="360" w:lineRule="auto"/>
        <w:ind w:firstLine="480" w:firstLineChars="200"/>
        <w:rPr>
          <w:rFonts w:ascii="华文楷体" w:hAnsi="华文楷体" w:eastAsia="华文楷体"/>
          <w:b w:val="0"/>
          <w:sz w:val="24"/>
        </w:rPr>
      </w:pPr>
      <w:r>
        <w:rPr>
          <w:rFonts w:hint="eastAsia" w:ascii="华文楷体" w:hAnsi="华文楷体" w:eastAsia="华文楷体"/>
          <w:b w:val="0"/>
          <w:sz w:val="24"/>
        </w:rPr>
        <w:t xml:space="preserve">12.1.4. </w:t>
      </w:r>
      <w:r>
        <w:rPr>
          <w:rFonts w:ascii="华文楷体" w:hAnsi="华文楷体" w:eastAsia="华文楷体"/>
          <w:b w:val="0"/>
          <w:sz w:val="24"/>
        </w:rPr>
        <w:t>本信托终止，受托人应当于信托终止后</w:t>
      </w:r>
      <w:r>
        <w:rPr>
          <w:rFonts w:hint="eastAsia" w:ascii="华文楷体" w:hAnsi="华文楷体" w:eastAsia="华文楷体"/>
          <w:b w:val="0"/>
          <w:sz w:val="24"/>
        </w:rPr>
        <w:t>【30】</w:t>
      </w:r>
      <w:r>
        <w:rPr>
          <w:rFonts w:ascii="华文楷体" w:hAnsi="华文楷体" w:eastAsia="华文楷体"/>
          <w:b w:val="0"/>
          <w:sz w:val="24"/>
        </w:rPr>
        <w:t>个工作日内做出处理信托事务的清算报告，并向委托人</w:t>
      </w:r>
      <w:r>
        <w:rPr>
          <w:rFonts w:hint="eastAsia" w:ascii="华文楷体" w:hAnsi="华文楷体" w:eastAsia="华文楷体"/>
          <w:b w:val="0"/>
          <w:sz w:val="24"/>
        </w:rPr>
        <w:t>、生效</w:t>
      </w:r>
      <w:r>
        <w:rPr>
          <w:rFonts w:ascii="华文楷体" w:hAnsi="华文楷体" w:eastAsia="华文楷体"/>
          <w:b w:val="0"/>
          <w:sz w:val="24"/>
        </w:rPr>
        <w:t>受益人发送。</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12.1.5. 其他与信托相关且应当通知的信息根据国家法律、行政法规、规章的规定和监管部门的通知或决定的要求进行通知。</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12.2. 信托的信息通知方式</w:t>
      </w:r>
    </w:p>
    <w:p>
      <w:pPr>
        <w:pStyle w:val="4"/>
        <w:keepNext w:val="0"/>
        <w:keepLines w:val="0"/>
        <w:spacing w:before="0" w:after="0" w:line="360" w:lineRule="auto"/>
        <w:ind w:firstLine="480" w:firstLineChars="200"/>
        <w:rPr>
          <w:rFonts w:ascii="华文楷体" w:hAnsi="华文楷体" w:eastAsia="华文楷体" w:cs="宋体"/>
          <w:sz w:val="24"/>
        </w:rPr>
      </w:pPr>
      <w:bookmarkStart w:id="123" w:name="_Ref448500703"/>
      <w:r>
        <w:rPr>
          <w:rFonts w:hint="eastAsia" w:ascii="华文楷体" w:hAnsi="华文楷体" w:eastAsia="华文楷体" w:cs="宋体"/>
          <w:b w:val="0"/>
          <w:sz w:val="24"/>
        </w:rPr>
        <w:t>12.2.1.受托人在有关信息通知事项的报告、报表或通知制作完毕后，受托人有权选择以下列一种或多种方式报告。</w:t>
      </w:r>
      <w:r>
        <w:rPr>
          <w:rFonts w:hint="eastAsia" w:ascii="华文楷体" w:hAnsi="华文楷体" w:eastAsia="华文楷体" w:cs="宋体"/>
          <w:sz w:val="24"/>
        </w:rPr>
        <w:t>受托人以以下任一种方式送达即为受托人向委托人、受益人履行了告知义务：</w:t>
      </w:r>
    </w:p>
    <w:p>
      <w:pPr>
        <w:numPr>
          <w:ilvl w:val="0"/>
          <w:numId w:val="10"/>
        </w:numPr>
        <w:tabs>
          <w:tab w:val="left" w:pos="425"/>
          <w:tab w:val="left" w:pos="1276"/>
          <w:tab w:val="clear" w:pos="851"/>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在受托人网站以及其他受托人官方互联网形式上发布，网站发布之日视为送达日；</w:t>
      </w:r>
    </w:p>
    <w:p>
      <w:pPr>
        <w:numPr>
          <w:ilvl w:val="0"/>
          <w:numId w:val="10"/>
        </w:numPr>
        <w:tabs>
          <w:tab w:val="left" w:pos="425"/>
          <w:tab w:val="left" w:pos="1276"/>
          <w:tab w:val="clear" w:pos="851"/>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以电子邮件方式送出的，以电子邮件发出之日为送达日；</w:t>
      </w:r>
    </w:p>
    <w:p>
      <w:pPr>
        <w:numPr>
          <w:ilvl w:val="0"/>
          <w:numId w:val="10"/>
        </w:numPr>
        <w:tabs>
          <w:tab w:val="left" w:pos="425"/>
          <w:tab w:val="left" w:pos="1276"/>
          <w:tab w:val="clear" w:pos="851"/>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专人送达（含快递方式），送达回执被签收（或盖章）之日为送达日；</w:t>
      </w:r>
    </w:p>
    <w:p>
      <w:pPr>
        <w:numPr>
          <w:ilvl w:val="0"/>
          <w:numId w:val="10"/>
        </w:numPr>
        <w:tabs>
          <w:tab w:val="left" w:pos="425"/>
          <w:tab w:val="left" w:pos="1276"/>
          <w:tab w:val="clear" w:pos="851"/>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特快专递，以投邮（以邮戳为凭）后第3日为送达日；</w:t>
      </w:r>
    </w:p>
    <w:p>
      <w:pPr>
        <w:numPr>
          <w:ilvl w:val="0"/>
          <w:numId w:val="10"/>
        </w:numPr>
        <w:tabs>
          <w:tab w:val="left" w:pos="425"/>
          <w:tab w:val="left" w:pos="1276"/>
          <w:tab w:val="clear" w:pos="851"/>
        </w:tabs>
        <w:adjustRightInd w:val="0"/>
        <w:snapToGrid w:val="0"/>
        <w:spacing w:line="360" w:lineRule="auto"/>
        <w:ind w:left="0" w:firstLine="480" w:firstLineChars="200"/>
        <w:rPr>
          <w:rFonts w:ascii="华文楷体" w:hAnsi="华文楷体" w:eastAsia="华文楷体" w:cs="宋体"/>
          <w:sz w:val="24"/>
        </w:rPr>
      </w:pPr>
      <w:r>
        <w:rPr>
          <w:rFonts w:hint="eastAsia" w:ascii="华文楷体" w:hAnsi="华文楷体" w:eastAsia="华文楷体" w:cs="宋体"/>
          <w:sz w:val="24"/>
        </w:rPr>
        <w:t>以邮资预付的挂号信或登记邮件形式送出的，以投邮（以邮戳为凭）后第5日为送达日；</w:t>
      </w:r>
    </w:p>
    <w:p>
      <w:pPr>
        <w:numPr>
          <w:ilvl w:val="0"/>
          <w:numId w:val="10"/>
        </w:numPr>
        <w:tabs>
          <w:tab w:val="left" w:pos="425"/>
          <w:tab w:val="left" w:pos="1276"/>
          <w:tab w:val="clear" w:pos="851"/>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以传真方式送出的，以收到回复码或发送成功确认的当日为送达日。</w:t>
      </w:r>
    </w:p>
    <w:bookmarkEnd w:id="123"/>
    <w:p>
      <w:pPr>
        <w:pStyle w:val="4"/>
        <w:keepNext w:val="0"/>
        <w:keepLines w:val="0"/>
        <w:spacing w:before="0" w:after="0" w:line="360" w:lineRule="auto"/>
        <w:ind w:firstLine="480" w:firstLineChars="200"/>
        <w:rPr>
          <w:rFonts w:ascii="华文楷体" w:hAnsi="华文楷体" w:eastAsia="华文楷体" w:cs="宋体"/>
          <w:b w:val="0"/>
          <w:bCs w:val="0"/>
          <w:sz w:val="24"/>
        </w:rPr>
      </w:pPr>
      <w:r>
        <w:rPr>
          <w:rFonts w:hint="eastAsia" w:ascii="华文楷体" w:hAnsi="华文楷体" w:eastAsia="华文楷体" w:cs="宋体"/>
          <w:b w:val="0"/>
          <w:bCs w:val="0"/>
          <w:sz w:val="24"/>
        </w:rPr>
        <w:t>12.2.2. 受托人的通知方式发生变更的，由受托人以书面形式通知委托人、受益人。</w:t>
      </w:r>
    </w:p>
    <w:p>
      <w:pPr>
        <w:ind w:firstLine="643"/>
        <w:rPr>
          <w:rFonts w:ascii="华文楷体" w:hAnsi="华文楷体" w:eastAsia="华文楷体"/>
        </w:rPr>
      </w:pP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12.3. 信托的其他信息通知</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12.3.1.其他与本信托相关且应当通知的信息由受托人根据国家法律、行政法规、规章的规定和监管部门的通知或决定的要求进行通知。</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12.4. 通知的地址</w:t>
      </w:r>
    </w:p>
    <w:p>
      <w:pPr>
        <w:pStyle w:val="4"/>
        <w:keepNext w:val="0"/>
        <w:keepLines w:val="0"/>
        <w:spacing w:before="120" w:after="0" w:line="360" w:lineRule="auto"/>
        <w:ind w:firstLine="566" w:firstLineChars="236"/>
        <w:rPr>
          <w:rFonts w:ascii="华文楷体" w:hAnsi="华文楷体" w:eastAsia="华文楷体" w:cs="宋体"/>
          <w:sz w:val="24"/>
        </w:rPr>
      </w:pPr>
      <w:r>
        <w:rPr>
          <w:rFonts w:hint="eastAsia" w:ascii="华文楷体" w:hAnsi="华文楷体" w:eastAsia="华文楷体" w:cs="宋体"/>
          <w:b w:val="0"/>
          <w:sz w:val="24"/>
        </w:rPr>
        <w:t>12.4.1.信托当事人预留的通知地址以本合同附件2《信托分配方案》所载为准。若预留的通知的地址错误或者发生变化但相关当事人未及时以书面形式通知受托人的，由此导致的损失由信托财产承担，由此产生的风险由委托人/受益人承担，受托人免责。相关当事人未预留地址，导致受托人无法按本合同的约定进行通知时，由此导致的损失由信托财产承担，受托人免责。</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24" w:name="_Toc6397522"/>
      <w:bookmarkStart w:id="125" w:name="_Toc421189328"/>
      <w:bookmarkStart w:id="126" w:name="_Toc217903224"/>
      <w:bookmarkStart w:id="127" w:name="_Toc325723988"/>
      <w:bookmarkStart w:id="128" w:name="_Toc421520881"/>
      <w:bookmarkStart w:id="129" w:name="_Toc166088561"/>
      <w:bookmarkStart w:id="130" w:name="_Toc297378542"/>
      <w:r>
        <w:rPr>
          <w:rFonts w:hint="eastAsia" w:ascii="华文楷体" w:hAnsi="华文楷体" w:eastAsia="华文楷体" w:cs="宋体"/>
          <w:color w:val="auto"/>
          <w:sz w:val="24"/>
          <w:szCs w:val="24"/>
        </w:rPr>
        <w:t>信托的终止、清算与信托财产的归属</w:t>
      </w:r>
      <w:bookmarkEnd w:id="124"/>
      <w:bookmarkEnd w:id="125"/>
      <w:bookmarkEnd w:id="126"/>
      <w:bookmarkEnd w:id="127"/>
      <w:bookmarkEnd w:id="128"/>
      <w:bookmarkEnd w:id="129"/>
      <w:bookmarkEnd w:id="130"/>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13.1. 信托终止</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13.1.1. 本信托生效后，除本合同另有约定或法律、行政法规另有规定的以及委托人、受托人协商一致外，委托人、受托人不得擅自变更、撤销、解除或终止本信托。</w:t>
      </w:r>
    </w:p>
    <w:p>
      <w:pPr>
        <w:pStyle w:val="4"/>
        <w:keepNext w:val="0"/>
        <w:keepLines w:val="0"/>
        <w:spacing w:before="0" w:after="0" w:line="360" w:lineRule="auto"/>
        <w:ind w:firstLine="480" w:firstLineChars="200"/>
        <w:rPr>
          <w:rFonts w:ascii="华文楷体" w:hAnsi="华文楷体" w:eastAsia="华文楷体" w:cs="宋体"/>
          <w:b w:val="0"/>
          <w:sz w:val="24"/>
        </w:rPr>
      </w:pPr>
      <w:bookmarkStart w:id="131" w:name="_Ref421459486"/>
      <w:r>
        <w:rPr>
          <w:rFonts w:hint="eastAsia" w:ascii="华文楷体" w:hAnsi="华文楷体" w:eastAsia="华文楷体" w:cs="宋体"/>
          <w:b w:val="0"/>
          <w:sz w:val="24"/>
        </w:rPr>
        <w:t>13.1.2. 发生下述情形的，本信托终止：</w:t>
      </w:r>
      <w:bookmarkEnd w:id="131"/>
    </w:p>
    <w:p>
      <w:pPr>
        <w:numPr>
          <w:ilvl w:val="0"/>
          <w:numId w:val="11"/>
        </w:numPr>
        <w:tabs>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信托期限届满或全部信托财产分配完毕；</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信托分配方案约定的特殊终止事由发生（如有）；</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信托目的已经实现或无法实现；</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信托的存续违反信托目的；</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信托被宣告无效、被撤销或被解除；</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b/>
          <w:sz w:val="24"/>
        </w:rPr>
        <w:t>本信托除因违反法律、行政法规外不可单方解除和撤销</w:t>
      </w:r>
      <w:r>
        <w:rPr>
          <w:rFonts w:ascii="华文楷体" w:hAnsi="华文楷体" w:eastAsia="华文楷体" w:cs="宋体"/>
          <w:sz w:val="24"/>
        </w:rPr>
        <w:t>，但经委托人、受托人协商同意可终止本信托</w:t>
      </w:r>
      <w:r>
        <w:rPr>
          <w:rFonts w:hint="eastAsia" w:ascii="华文楷体" w:hAnsi="华文楷体" w:eastAsia="华文楷体" w:cs="宋体"/>
          <w:sz w:val="24"/>
        </w:rPr>
        <w:t>；</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本信托无生效受益人；</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ascii="华文楷体" w:hAnsi="华文楷体" w:eastAsia="华文楷体" w:cs="宋体"/>
          <w:sz w:val="24"/>
        </w:rPr>
        <w:t>相关监管部门要求信托终止的</w:t>
      </w:r>
      <w:r>
        <w:rPr>
          <w:rFonts w:hint="eastAsia" w:ascii="华文楷体" w:hAnsi="华文楷体" w:eastAsia="华文楷体" w:cs="宋体"/>
          <w:sz w:val="24"/>
        </w:rPr>
        <w:t>；</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bCs/>
          <w:sz w:val="24"/>
        </w:rPr>
        <w:t>信托财产规模不足100万元，受托人有权终止信托；</w:t>
      </w:r>
    </w:p>
    <w:p>
      <w:pPr>
        <w:numPr>
          <w:ilvl w:val="0"/>
          <w:numId w:val="12"/>
        </w:numPr>
        <w:tabs>
          <w:tab w:val="left" w:pos="425"/>
          <w:tab w:val="left" w:pos="1276"/>
        </w:tabs>
        <w:adjustRightInd w:val="0"/>
        <w:snapToGrid w:val="0"/>
        <w:spacing w:line="360" w:lineRule="auto"/>
        <w:ind w:left="0" w:firstLine="480" w:firstLineChars="200"/>
        <w:jc w:val="left"/>
        <w:rPr>
          <w:rFonts w:ascii="华文楷体" w:hAnsi="华文楷体" w:eastAsia="华文楷体" w:cs="宋体"/>
          <w:sz w:val="24"/>
        </w:rPr>
      </w:pPr>
      <w:r>
        <w:rPr>
          <w:rFonts w:hint="eastAsia" w:ascii="华文楷体" w:hAnsi="华文楷体" w:eastAsia="华文楷体" w:cs="宋体"/>
          <w:sz w:val="24"/>
        </w:rPr>
        <w:t>信托合同另有约定，或法律、行政法规规定的其他情形。</w:t>
      </w:r>
    </w:p>
    <w:p>
      <w:pPr>
        <w:tabs>
          <w:tab w:val="left" w:pos="1276"/>
        </w:tabs>
        <w:adjustRightInd w:val="0"/>
        <w:snapToGrid w:val="0"/>
        <w:spacing w:line="360" w:lineRule="auto"/>
        <w:ind w:firstLine="480" w:firstLineChars="200"/>
        <w:jc w:val="left"/>
        <w:rPr>
          <w:rFonts w:ascii="华文楷体" w:hAnsi="华文楷体" w:eastAsia="华文楷体" w:cs="宋体"/>
          <w:bCs/>
          <w:sz w:val="24"/>
        </w:rPr>
      </w:pPr>
      <w:r>
        <w:rPr>
          <w:rFonts w:hint="eastAsia" w:ascii="华文楷体" w:hAnsi="华文楷体" w:eastAsia="华文楷体" w:cs="宋体"/>
          <w:sz w:val="24"/>
        </w:rPr>
        <w:t>发生上述信托终止情形时，受托人应按照</w:t>
      </w:r>
      <w:r>
        <w:fldChar w:fldCharType="begin"/>
      </w:r>
      <w:r>
        <w:instrText xml:space="preserve">REF _Ref421477907 \r \h \* MERGEFORMAT </w:instrText>
      </w:r>
      <w:r>
        <w:fldChar w:fldCharType="separate"/>
      </w:r>
      <w:r>
        <w:rPr>
          <w:rFonts w:hint="eastAsia" w:ascii="华文楷体" w:hAnsi="华文楷体" w:eastAsia="华文楷体" w:cs="MS Mincho"/>
          <w:sz w:val="24"/>
        </w:rPr>
        <w:t>第</w:t>
      </w:r>
      <w:r>
        <w:rPr>
          <w:rFonts w:ascii="华文楷体" w:hAnsi="华文楷体" w:eastAsia="华文楷体" w:cs="MS Mincho"/>
          <w:sz w:val="24"/>
        </w:rPr>
        <w:t>12条</w:t>
      </w:r>
      <w:r>
        <w:rPr>
          <w:rFonts w:ascii="华文楷体" w:hAnsi="华文楷体" w:eastAsia="华文楷体" w:cs="MS Mincho"/>
          <w:sz w:val="24"/>
        </w:rPr>
        <w:fldChar w:fldCharType="end"/>
      </w:r>
      <w:r>
        <w:rPr>
          <w:rFonts w:hint="eastAsia" w:ascii="华文楷体" w:hAnsi="华文楷体" w:eastAsia="华文楷体" w:cs="宋体"/>
          <w:sz w:val="24"/>
        </w:rPr>
        <w:t>规定及时通知信托当事人。本信托终止的，</w:t>
      </w:r>
      <w:r>
        <w:rPr>
          <w:rFonts w:hint="eastAsia" w:ascii="华文楷体" w:hAnsi="华文楷体" w:eastAsia="华文楷体" w:cs="宋体"/>
          <w:bCs/>
          <w:sz w:val="24"/>
        </w:rPr>
        <w:t>已收取的各项费用不予退回。</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13.1.3. 以上终止事由发生时，若存在下列任一情形的，受托人有权选择以信托财产现状形式向受益人进行分配，或选择延长信托期限变现信托财产后终止本信托。</w:t>
      </w:r>
    </w:p>
    <w:p>
      <w:pPr>
        <w:numPr>
          <w:ilvl w:val="0"/>
          <w:numId w:val="13"/>
        </w:numPr>
        <w:tabs>
          <w:tab w:val="left" w:pos="851"/>
          <w:tab w:val="clear" w:pos="425"/>
        </w:tabs>
        <w:adjustRightInd w:val="0"/>
        <w:snapToGrid w:val="0"/>
        <w:spacing w:line="360" w:lineRule="auto"/>
        <w:ind w:left="0" w:firstLine="426"/>
        <w:jc w:val="left"/>
        <w:rPr>
          <w:rFonts w:ascii="华文楷体" w:hAnsi="华文楷体" w:eastAsia="华文楷体" w:cs="宋体"/>
          <w:sz w:val="24"/>
        </w:rPr>
      </w:pPr>
      <w:r>
        <w:rPr>
          <w:rFonts w:hint="eastAsia" w:ascii="华文楷体" w:hAnsi="华文楷体" w:eastAsia="华文楷体" w:cs="宋体"/>
          <w:sz w:val="24"/>
        </w:rPr>
        <w:t>信托中有尚未变现的信托财产时；</w:t>
      </w:r>
    </w:p>
    <w:p>
      <w:pPr>
        <w:numPr>
          <w:ilvl w:val="0"/>
          <w:numId w:val="13"/>
        </w:numPr>
        <w:tabs>
          <w:tab w:val="left" w:pos="851"/>
          <w:tab w:val="clear" w:pos="425"/>
        </w:tabs>
        <w:adjustRightInd w:val="0"/>
        <w:snapToGrid w:val="0"/>
        <w:spacing w:line="360" w:lineRule="auto"/>
        <w:ind w:left="0" w:firstLine="426"/>
        <w:jc w:val="left"/>
        <w:rPr>
          <w:rFonts w:ascii="华文楷体" w:hAnsi="华文楷体" w:eastAsia="华文楷体" w:cs="宋体"/>
          <w:sz w:val="24"/>
        </w:rPr>
      </w:pPr>
      <w:r>
        <w:rPr>
          <w:rFonts w:hint="eastAsia" w:ascii="华文楷体" w:hAnsi="华文楷体" w:eastAsia="华文楷体" w:cs="宋体"/>
          <w:sz w:val="24"/>
        </w:rPr>
        <w:t>信托涉及诉讼（或仲裁），且诉讼（或仲裁）及执行程序尚未终结的；</w:t>
      </w:r>
    </w:p>
    <w:p>
      <w:pPr>
        <w:numPr>
          <w:ilvl w:val="0"/>
          <w:numId w:val="13"/>
        </w:numPr>
        <w:tabs>
          <w:tab w:val="left" w:pos="851"/>
          <w:tab w:val="clear" w:pos="425"/>
        </w:tabs>
        <w:adjustRightInd w:val="0"/>
        <w:snapToGrid w:val="0"/>
        <w:spacing w:line="360" w:lineRule="auto"/>
        <w:ind w:left="0" w:firstLine="426"/>
        <w:jc w:val="left"/>
        <w:rPr>
          <w:rFonts w:ascii="华文楷体" w:hAnsi="华文楷体" w:eastAsia="华文楷体" w:cs="宋体"/>
          <w:sz w:val="24"/>
        </w:rPr>
      </w:pPr>
      <w:r>
        <w:rPr>
          <w:rFonts w:hint="eastAsia" w:ascii="华文楷体" w:hAnsi="华文楷体" w:eastAsia="华文楷体" w:cs="宋体"/>
          <w:sz w:val="24"/>
        </w:rPr>
        <w:t>法律、行政法规规定的及本合同约定的其他情形。</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13.2. 信托清算</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13.2.1. 本信托终止的，受托人应负责信托财产的保管、清理、确认和分配。</w:t>
      </w:r>
    </w:p>
    <w:p>
      <w:pPr>
        <w:rPr>
          <w:rFonts w:ascii="华文楷体" w:hAnsi="华文楷体" w:eastAsia="华文楷体"/>
        </w:rPr>
      </w:pP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13.2.2. 本信托终止的，受托人按照信托合同、信托分配方案规定的方式分配剩余信托财产。</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13.2.3. 受托人在本信托终止后</w:t>
      </w:r>
      <w:r>
        <w:rPr>
          <w:rFonts w:hint="eastAsia" w:ascii="华文楷体" w:hAnsi="华文楷体" w:eastAsia="华文楷体"/>
          <w:b w:val="0"/>
          <w:sz w:val="24"/>
        </w:rPr>
        <w:t>【30】</w:t>
      </w:r>
      <w:r>
        <w:rPr>
          <w:rFonts w:hint="eastAsia" w:ascii="华文楷体" w:hAnsi="华文楷体" w:eastAsia="华文楷体" w:cs="宋体"/>
          <w:b w:val="0"/>
          <w:sz w:val="24"/>
        </w:rPr>
        <w:t>个工作日内编制信托清算报告，并以信托合同</w:t>
      </w:r>
      <w:r>
        <w:fldChar w:fldCharType="begin"/>
      </w:r>
      <w:r>
        <w:instrText xml:space="preserve">REF _Ref421478005 \r \h \* MERGEFORMAT </w:instrText>
      </w:r>
      <w:r>
        <w:fldChar w:fldCharType="separate"/>
      </w:r>
      <w:r>
        <w:rPr>
          <w:rFonts w:hint="eastAsia" w:ascii="华文楷体" w:hAnsi="华文楷体" w:eastAsia="华文楷体" w:cs="MS Mincho"/>
          <w:b w:val="0"/>
          <w:sz w:val="24"/>
        </w:rPr>
        <w:t>第</w:t>
      </w:r>
      <w:r>
        <w:rPr>
          <w:rFonts w:ascii="华文楷体" w:hAnsi="华文楷体" w:eastAsia="华文楷体" w:cs="MS Mincho"/>
          <w:b w:val="0"/>
          <w:sz w:val="24"/>
        </w:rPr>
        <w:t>12条</w:t>
      </w:r>
      <w:r>
        <w:rPr>
          <w:rFonts w:ascii="华文楷体" w:hAnsi="华文楷体" w:eastAsia="华文楷体" w:cs="MS Mincho"/>
          <w:b w:val="0"/>
          <w:sz w:val="24"/>
        </w:rPr>
        <w:fldChar w:fldCharType="end"/>
      </w:r>
      <w:r>
        <w:rPr>
          <w:rFonts w:hint="eastAsia" w:ascii="华文楷体" w:hAnsi="华文楷体" w:eastAsia="华文楷体" w:cs="宋体"/>
          <w:b w:val="0"/>
          <w:sz w:val="24"/>
        </w:rPr>
        <w:t>规定的方式报告。委托人、受益人一致同意，受托人有权提交未经审计的清算报告。若届时委托人、受益人要求对清算报告进行审计的，须在信托终止日前</w:t>
      </w:r>
      <w:r>
        <w:rPr>
          <w:rFonts w:hint="eastAsia" w:ascii="华文楷体" w:hAnsi="华文楷体" w:eastAsia="华文楷体"/>
          <w:b w:val="0"/>
          <w:sz w:val="24"/>
        </w:rPr>
        <w:t>【10】</w:t>
      </w:r>
      <w:r>
        <w:rPr>
          <w:rFonts w:hint="eastAsia" w:ascii="华文楷体" w:hAnsi="华文楷体" w:eastAsia="华文楷体" w:cs="宋体"/>
          <w:b w:val="0"/>
          <w:sz w:val="24"/>
        </w:rPr>
        <w:t>个工作日向受托人以书面方式提出，受托人需配合审计，审计费用从信托财产中列支。</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13.2.4. 委托人、受益人在受托人发出信托清算报告之日起的</w:t>
      </w:r>
      <w:r>
        <w:rPr>
          <w:rFonts w:hint="eastAsia" w:ascii="华文楷体" w:hAnsi="华文楷体" w:eastAsia="华文楷体"/>
          <w:b w:val="0"/>
          <w:sz w:val="24"/>
        </w:rPr>
        <w:t>【10】</w:t>
      </w:r>
      <w:r>
        <w:rPr>
          <w:rFonts w:hint="eastAsia" w:ascii="华文楷体" w:hAnsi="华文楷体" w:eastAsia="华文楷体" w:cs="宋体"/>
          <w:b w:val="0"/>
          <w:sz w:val="24"/>
        </w:rPr>
        <w:t>个工作日内未提出书面异议的，受托人就清算报告所列事项解除责任。</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13.3. 信托财产的变现</w:t>
      </w:r>
    </w:p>
    <w:p>
      <w:pPr>
        <w:pStyle w:val="4"/>
        <w:keepNext w:val="0"/>
        <w:keepLines w:val="0"/>
        <w:spacing w:before="0" w:after="0" w:line="360" w:lineRule="auto"/>
        <w:ind w:firstLine="480" w:firstLineChars="200"/>
        <w:rPr>
          <w:rFonts w:ascii="华文楷体" w:hAnsi="华文楷体" w:eastAsia="华文楷体" w:cs="宋体"/>
          <w:b w:val="0"/>
          <w:bCs w:val="0"/>
          <w:sz w:val="24"/>
        </w:rPr>
      </w:pPr>
      <w:r>
        <w:rPr>
          <w:rFonts w:hint="eastAsia" w:ascii="华文楷体" w:hAnsi="华文楷体" w:eastAsia="华文楷体" w:cs="宋体"/>
          <w:b w:val="0"/>
          <w:bCs w:val="0"/>
          <w:sz w:val="24"/>
        </w:rPr>
        <w:t>13.3.1. 信托终止后，剩余信托财产的变现应符合本信托所投资金融产品的流动性约定。若因本信托投资金融产品的流动性限制，导致受托人无法即时变现的，则受托人延期变现的不视为违约。</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13.4. 信托财产的归属</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13.4.1. 清算后的剩余信托财产，按信托分配方案的约定进行处分。</w:t>
      </w:r>
    </w:p>
    <w:p>
      <w:pPr>
        <w:spacing w:line="360" w:lineRule="auto"/>
        <w:rPr>
          <w:rFonts w:ascii="华文楷体" w:hAnsi="华文楷体" w:eastAsia="华文楷体"/>
        </w:rPr>
      </w:pPr>
    </w:p>
    <w:p>
      <w:pPr>
        <w:pStyle w:val="2"/>
        <w:keepNext w:val="0"/>
        <w:numPr>
          <w:ilvl w:val="0"/>
          <w:numId w:val="4"/>
        </w:numPr>
        <w:tabs>
          <w:tab w:val="left" w:pos="1276"/>
        </w:tabs>
        <w:adjustRightInd w:val="0"/>
        <w:snapToGrid w:val="0"/>
        <w:spacing w:line="360" w:lineRule="auto"/>
        <w:ind w:left="0" w:firstLine="0"/>
        <w:rPr>
          <w:rFonts w:ascii="华文楷体" w:hAnsi="华文楷体" w:eastAsia="华文楷体"/>
          <w:color w:val="auto"/>
          <w:sz w:val="32"/>
          <w:szCs w:val="28"/>
        </w:rPr>
      </w:pPr>
      <w:bookmarkStart w:id="132" w:name="_Toc6397523"/>
      <w:bookmarkStart w:id="133" w:name="_Toc446017068"/>
      <w:bookmarkStart w:id="134" w:name="_Toc421520882"/>
      <w:r>
        <w:rPr>
          <w:rFonts w:hint="eastAsia" w:ascii="华文楷体" w:hAnsi="华文楷体" w:eastAsia="华文楷体"/>
          <w:color w:val="auto"/>
          <w:sz w:val="32"/>
          <w:szCs w:val="28"/>
        </w:rPr>
        <w:t>信托当事人的权利与义务</w:t>
      </w:r>
      <w:bookmarkEnd w:id="132"/>
      <w:bookmarkEnd w:id="133"/>
      <w:bookmarkEnd w:id="134"/>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35" w:name="_Toc6397524"/>
      <w:bookmarkStart w:id="136" w:name="_Toc217903227"/>
      <w:bookmarkStart w:id="137" w:name="_Toc325723990"/>
      <w:bookmarkStart w:id="138" w:name="_Toc166088564"/>
      <w:bookmarkStart w:id="139" w:name="_Toc421189329"/>
      <w:bookmarkStart w:id="140" w:name="_Toc421520883"/>
      <w:bookmarkStart w:id="141" w:name="_Toc446017069"/>
      <w:bookmarkStart w:id="142" w:name="_Toc297378544"/>
      <w:r>
        <w:rPr>
          <w:rFonts w:hint="eastAsia" w:ascii="华文楷体" w:hAnsi="华文楷体" w:eastAsia="华文楷体" w:cs="宋体"/>
          <w:color w:val="auto"/>
          <w:sz w:val="24"/>
          <w:szCs w:val="24"/>
        </w:rPr>
        <w:t>委托人的权利义务</w:t>
      </w:r>
      <w:bookmarkEnd w:id="135"/>
      <w:bookmarkEnd w:id="136"/>
      <w:bookmarkEnd w:id="137"/>
      <w:bookmarkEnd w:id="138"/>
      <w:bookmarkEnd w:id="139"/>
      <w:bookmarkEnd w:id="140"/>
      <w:bookmarkEnd w:id="141"/>
      <w:bookmarkEnd w:id="142"/>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14.1. 委托人权利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14.1.1. 有权按照信托文件的规定了解信托财产的管理、运用、处分及收支情况，并有权要求受托人做出说明。</w:t>
      </w:r>
    </w:p>
    <w:p>
      <w:pPr>
        <w:pStyle w:val="4"/>
        <w:keepNext w:val="0"/>
        <w:keepLines w:val="0"/>
        <w:spacing w:before="0" w:after="0" w:line="360" w:lineRule="auto"/>
        <w:ind w:firstLine="424" w:firstLineChars="177"/>
        <w:rPr>
          <w:rFonts w:ascii="华文楷体" w:hAnsi="华文楷体" w:eastAsia="华文楷体"/>
        </w:rPr>
      </w:pPr>
      <w:r>
        <w:rPr>
          <w:rFonts w:hint="eastAsia" w:ascii="华文楷体" w:hAnsi="华文楷体" w:eastAsia="华文楷体" w:cs="宋体"/>
          <w:b w:val="0"/>
          <w:sz w:val="24"/>
        </w:rPr>
        <w:t>14.1.2. 有权查询、抄录或者复制与信托财产有关的信托账目以及处理信托事务的其他文件。</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14.1.3. 受托人违反信托目的处分信托财产或者因违背管理职责、处理信托事务不当致使信托财产受到损失的，有权要求受托人将信托财产恢复原状或者予以赔偿。</w:t>
      </w:r>
    </w:p>
    <w:p>
      <w:pPr>
        <w:pStyle w:val="4"/>
        <w:keepNext w:val="0"/>
        <w:keepLines w:val="0"/>
        <w:spacing w:before="0" w:after="0" w:line="360" w:lineRule="auto"/>
        <w:ind w:firstLine="480" w:firstLineChars="200"/>
        <w:rPr>
          <w:rFonts w:ascii="华文楷体" w:hAnsi="华文楷体" w:eastAsia="华文楷体" w:cs="宋体"/>
          <w:b w:val="0"/>
          <w:sz w:val="24"/>
          <w:szCs w:val="24"/>
        </w:rPr>
      </w:pPr>
      <w:r>
        <w:rPr>
          <w:rFonts w:hint="eastAsia" w:ascii="华文楷体" w:hAnsi="华文楷体" w:eastAsia="华文楷体" w:cs="宋体"/>
          <w:b w:val="0"/>
          <w:sz w:val="24"/>
          <w:szCs w:val="24"/>
        </w:rPr>
        <w:t>14.1.4. 受托人违反信托目的处分信托财产或者管理运用、处分信托财产有重大过失的，有权申请人民法院解任受托人。</w:t>
      </w:r>
    </w:p>
    <w:p>
      <w:pPr>
        <w:pStyle w:val="4"/>
        <w:keepNext w:val="0"/>
        <w:keepLines w:val="0"/>
        <w:spacing w:before="0" w:after="0" w:line="360" w:lineRule="auto"/>
        <w:ind w:firstLine="480" w:firstLineChars="200"/>
        <w:rPr>
          <w:rFonts w:ascii="华文楷体" w:hAnsi="华文楷体" w:eastAsia="华文楷体" w:cs="宋体"/>
        </w:rPr>
      </w:pPr>
      <w:r>
        <w:rPr>
          <w:rFonts w:hint="eastAsia" w:ascii="华文楷体" w:hAnsi="华文楷体" w:eastAsia="华文楷体" w:cs="宋体"/>
          <w:b w:val="0"/>
          <w:sz w:val="24"/>
          <w:szCs w:val="24"/>
        </w:rPr>
        <w:t>14.1.5. 信托运行期间委托人具有完全民事行为能力时，有权利调整受益人，</w:t>
      </w:r>
      <w:r>
        <w:rPr>
          <w:rFonts w:hint="eastAsia" w:ascii="华文楷体" w:hAnsi="华文楷体" w:eastAsia="华文楷体"/>
          <w:b w:val="0"/>
          <w:sz w:val="24"/>
          <w:szCs w:val="24"/>
        </w:rPr>
        <w:t>该调整权包括：</w:t>
      </w:r>
      <w:r>
        <w:rPr>
          <w:rFonts w:hint="eastAsia" w:ascii="华文楷体" w:hAnsi="华文楷体" w:eastAsia="华文楷体" w:cs="宋体"/>
          <w:b w:val="0"/>
          <w:sz w:val="24"/>
          <w:szCs w:val="24"/>
        </w:rPr>
        <w:t>新增各顺位受益人、取消各顺位受益人资格、变更各顺位受益人，同时委托人有权利调整各受益人的信托受益权比例以及信托利益分配方式，信托文件另有约定的除外。</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14.1.6. 信托文件中约定的其他权利。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14.1.7. 法律、行政法规规定的其他权利。</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14.2. 委托人义务</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 按信托文件的规定及时交付资产，并保证资产来源的合法性，信托财产上未附加未偿债务及任何其他第三方的权利，信托财产不包括在本人及其财产共有人（若有）已设立的遗嘱中，不与遗嘱分割的其他财产相冲突。</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14.2.2. 委托人同意受托人按本合同规定的方式管理、运用、处分信托财产，并充分知晓其风险并愿意承担相应的风险。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14.2.3. 在设立信托前，真实并充分向受托人披露信托财产来源、信托目的等重要事项。</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14.2.4. 在信托设立后，委托人对受托人履行信托义务应当予以必要配合。</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14.2.5. 保证其享有签署信托文件的权利，并且就签署行为已经履行必要的批准授权手续。</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14.2.6. 委托人保证其符合法律、行政法规关于合格投资者的规定，且其委托设立信托的行为不违反其适用的相关法律、行政法规和监管政策规定。</w:t>
      </w:r>
    </w:p>
    <w:p>
      <w:pPr>
        <w:pStyle w:val="4"/>
        <w:keepNext w:val="0"/>
        <w:keepLines w:val="0"/>
        <w:spacing w:before="0" w:after="0" w:line="360" w:lineRule="auto"/>
        <w:ind w:firstLine="480" w:firstLineChars="200"/>
        <w:rPr>
          <w:rFonts w:ascii="华文楷体" w:hAnsi="华文楷体" w:eastAsia="华文楷体"/>
        </w:rPr>
      </w:pPr>
      <w:r>
        <w:rPr>
          <w:rFonts w:hint="eastAsia" w:ascii="华文楷体" w:hAnsi="华文楷体" w:eastAsia="华文楷体" w:cs="宋体"/>
          <w:b w:val="0"/>
          <w:sz w:val="24"/>
        </w:rPr>
        <w:t>14.2.7. 保证对其交付的信托财产拥有合法的所有权和完全处分权，设立该信托未损害其债权人（包括其配偶债权人）的利益。信托资产系共有财产的，委托人已取得其他共有人的同意。</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14.2.8. </w:t>
      </w:r>
      <w:r>
        <w:rPr>
          <w:rFonts w:ascii="华文楷体" w:hAnsi="华文楷体" w:eastAsia="华文楷体" w:cs="宋体"/>
          <w:b w:val="0"/>
          <w:sz w:val="24"/>
        </w:rPr>
        <w:t>如果本信托的受益人属于他国</w:t>
      </w:r>
      <w:r>
        <w:rPr>
          <w:rFonts w:hint="eastAsia" w:ascii="华文楷体" w:hAnsi="华文楷体" w:eastAsia="华文楷体" w:cs="宋体"/>
          <w:b w:val="0"/>
          <w:sz w:val="24"/>
        </w:rPr>
        <w:t>或他地区</w:t>
      </w:r>
      <w:r>
        <w:rPr>
          <w:rFonts w:ascii="华文楷体" w:hAnsi="华文楷体" w:eastAsia="华文楷体" w:cs="宋体"/>
          <w:b w:val="0"/>
          <w:sz w:val="24"/>
        </w:rPr>
        <w:t>法律项下纳税居民，委托人应事前告知受托人该情形，对于受益人未履行税务申报义务所产生的法律后果，受托人不负责任。</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14.2.9. </w:t>
      </w:r>
      <w:r>
        <w:rPr>
          <w:rFonts w:ascii="华文楷体" w:hAnsi="华文楷体" w:eastAsia="华文楷体" w:cs="宋体"/>
          <w:b w:val="0"/>
          <w:sz w:val="24"/>
        </w:rPr>
        <w:t>受托人针对本信托所聘请的法律服务机构、会计师、财务顾问</w:t>
      </w:r>
    </w:p>
    <w:p>
      <w:pPr>
        <w:spacing w:line="360" w:lineRule="auto"/>
        <w:rPr>
          <w:rFonts w:ascii="华文楷体" w:hAnsi="华文楷体" w:eastAsia="华文楷体" w:cs="宋体"/>
          <w:sz w:val="24"/>
        </w:rPr>
      </w:pPr>
      <w:r>
        <w:rPr>
          <w:rFonts w:ascii="华文楷体" w:hAnsi="华文楷体" w:eastAsia="华文楷体" w:cs="宋体"/>
          <w:sz w:val="24"/>
        </w:rPr>
        <w:t>机构、投资管理机构、专项事务机构等中介服务机构，对委托人信托</w:t>
      </w:r>
      <w:r>
        <w:rPr>
          <w:rFonts w:hint="eastAsia" w:ascii="华文楷体" w:hAnsi="华文楷体" w:eastAsia="华文楷体" w:cs="宋体"/>
          <w:sz w:val="24"/>
        </w:rPr>
        <w:t>资产</w:t>
      </w:r>
      <w:r>
        <w:rPr>
          <w:rFonts w:ascii="华文楷体" w:hAnsi="华文楷体" w:eastAsia="华文楷体" w:cs="宋体"/>
          <w:sz w:val="24"/>
        </w:rPr>
        <w:t>进行尽职调查</w:t>
      </w:r>
      <w:r>
        <w:rPr>
          <w:rFonts w:hint="eastAsia" w:ascii="华文楷体" w:hAnsi="华文楷体" w:eastAsia="华文楷体" w:cs="宋体"/>
          <w:sz w:val="24"/>
        </w:rPr>
        <w:t>或</w:t>
      </w:r>
      <w:r>
        <w:rPr>
          <w:rFonts w:ascii="华文楷体" w:hAnsi="华文楷体" w:eastAsia="华文楷体" w:cs="宋体"/>
          <w:sz w:val="24"/>
        </w:rPr>
        <w:t>出具意见书时，委托人应对前述中介服务机构所进行的工作给予必要的配合，包括但不限于委托人应尽量提供前述中介服务机构进行工作所需的资料。</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14.2.10. 委托人应遵从国家反洗钱规定，不得利用信托财产的运用、分配等本合同约定的财产转移方式从事洗钱性质的行为</w:t>
      </w:r>
      <w:r>
        <w:rPr>
          <w:rFonts w:ascii="华文楷体" w:hAnsi="华文楷体" w:eastAsia="华文楷体" w:cs="宋体"/>
          <w:b w:val="0"/>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14.2.11. 委托人应对本信托的受益人就涉及受益人权利、义务的相关约定进行必要的告知。</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14.2.12. 保证向受托人提供的所有资料及陈述保证真实有效。</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14.2.13. 根据信托文件的规定向受托人履行信息通知义务。</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14.2.14. 有义务对临时分配提供材料的真实性负责。</w:t>
      </w:r>
    </w:p>
    <w:p>
      <w:pPr>
        <w:spacing w:line="360" w:lineRule="auto"/>
        <w:ind w:firstLine="480" w:firstLineChars="200"/>
        <w:outlineLvl w:val="2"/>
        <w:rPr>
          <w:rFonts w:ascii="华文楷体" w:hAnsi="华文楷体" w:eastAsia="华文楷体" w:cs="宋体"/>
          <w:bCs/>
          <w:sz w:val="24"/>
          <w:szCs w:val="32"/>
        </w:rPr>
      </w:pPr>
      <w:r>
        <w:rPr>
          <w:rFonts w:hint="eastAsia" w:ascii="华文楷体" w:hAnsi="华文楷体" w:eastAsia="华文楷体" w:cs="宋体"/>
          <w:bCs/>
          <w:sz w:val="24"/>
          <w:szCs w:val="32"/>
        </w:rPr>
        <w:t>14.2.15</w:t>
      </w:r>
      <w:r>
        <w:rPr>
          <w:rFonts w:ascii="华文楷体" w:hAnsi="华文楷体" w:eastAsia="华文楷体" w:cs="宋体"/>
          <w:bCs/>
          <w:sz w:val="24"/>
          <w:szCs w:val="32"/>
        </w:rPr>
        <w:t xml:space="preserve">. </w:t>
      </w:r>
      <w:r>
        <w:rPr>
          <w:rFonts w:hint="eastAsia" w:ascii="华文楷体" w:hAnsi="华文楷体" w:eastAsia="华文楷体" w:cs="宋体"/>
          <w:bCs/>
          <w:sz w:val="24"/>
          <w:szCs w:val="32"/>
        </w:rPr>
        <w:t>信托设立、信托财产的运用对象、信托财产的管理、运用和处分方式等事项，均由委托人自主决定。</w:t>
      </w:r>
    </w:p>
    <w:p>
      <w:pPr>
        <w:spacing w:line="360" w:lineRule="auto"/>
        <w:ind w:firstLine="480" w:firstLineChars="200"/>
        <w:outlineLvl w:val="2"/>
        <w:rPr>
          <w:rFonts w:ascii="华文楷体" w:hAnsi="华文楷体" w:eastAsia="华文楷体" w:cs="宋体"/>
          <w:bCs/>
          <w:sz w:val="24"/>
          <w:szCs w:val="32"/>
        </w:rPr>
      </w:pPr>
      <w:r>
        <w:rPr>
          <w:rFonts w:hint="eastAsia" w:ascii="华文楷体" w:hAnsi="华文楷体" w:eastAsia="华文楷体" w:cs="宋体"/>
          <w:bCs/>
          <w:sz w:val="24"/>
          <w:szCs w:val="32"/>
        </w:rPr>
        <w:t>14.2.16</w:t>
      </w:r>
      <w:r>
        <w:rPr>
          <w:rFonts w:ascii="华文楷体" w:hAnsi="华文楷体" w:eastAsia="华文楷体" w:cs="宋体"/>
          <w:bCs/>
          <w:sz w:val="24"/>
          <w:szCs w:val="32"/>
        </w:rPr>
        <w:t xml:space="preserve">. </w:t>
      </w:r>
      <w:r>
        <w:rPr>
          <w:rFonts w:hint="eastAsia" w:ascii="华文楷体" w:hAnsi="华文楷体" w:eastAsia="华文楷体" w:cs="宋体"/>
          <w:bCs/>
          <w:sz w:val="24"/>
          <w:szCs w:val="32"/>
        </w:rPr>
        <w:t>信托设立之前的尽职调查及信托存续期间的信托财产管理等事项，均由委托人或其指定第三方自行负责。委托人承担上述尽职调查和财产管理的风险。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14.2.1</w:t>
      </w:r>
      <w:r>
        <w:rPr>
          <w:rFonts w:ascii="华文楷体" w:hAnsi="华文楷体" w:eastAsia="华文楷体" w:cs="宋体"/>
          <w:b w:val="0"/>
          <w:sz w:val="24"/>
        </w:rPr>
        <w:t>7</w:t>
      </w:r>
      <w:r>
        <w:rPr>
          <w:rFonts w:hint="eastAsia" w:ascii="华文楷体" w:hAnsi="华文楷体" w:eastAsia="华文楷体" w:cs="宋体"/>
          <w:b w:val="0"/>
          <w:sz w:val="24"/>
        </w:rPr>
        <w:t>. 信托文件及法律、行政法规规定的其他义务。</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43" w:name="_Toc421520884"/>
      <w:bookmarkStart w:id="144" w:name="_Toc446017070"/>
      <w:bookmarkStart w:id="145" w:name="_Toc6397525"/>
      <w:r>
        <w:rPr>
          <w:rFonts w:hint="eastAsia" w:ascii="华文楷体" w:hAnsi="华文楷体" w:eastAsia="华文楷体" w:cs="宋体"/>
          <w:color w:val="auto"/>
          <w:sz w:val="24"/>
          <w:szCs w:val="24"/>
        </w:rPr>
        <w:t>受托人的权利义务</w:t>
      </w:r>
      <w:bookmarkEnd w:id="143"/>
      <w:bookmarkEnd w:id="144"/>
      <w:bookmarkEnd w:id="145"/>
    </w:p>
    <w:p>
      <w:pPr>
        <w:rPr>
          <w:rFonts w:ascii="华文楷体" w:hAnsi="华文楷体" w:eastAsia="华文楷体"/>
        </w:rPr>
      </w:pPr>
    </w:p>
    <w:p>
      <w:pPr>
        <w:pStyle w:val="3"/>
        <w:keepNext w:val="0"/>
        <w:keepLines w:val="0"/>
        <w:numPr>
          <w:ilvl w:val="1"/>
          <w:numId w:val="3"/>
        </w:numPr>
        <w:spacing w:before="0" w:after="0" w:line="360" w:lineRule="auto"/>
        <w:rPr>
          <w:rFonts w:ascii="华文楷体" w:hAnsi="华文楷体" w:eastAsia="华文楷体"/>
        </w:rPr>
      </w:pPr>
      <w:r>
        <w:rPr>
          <w:rFonts w:hint="eastAsia" w:ascii="华文楷体" w:hAnsi="华文楷体" w:eastAsia="华文楷体"/>
        </w:rPr>
        <w:t>受托人权利</w:t>
      </w:r>
    </w:p>
    <w:p>
      <w:pPr>
        <w:pStyle w:val="4"/>
        <w:keepNext w:val="0"/>
        <w:keepLines w:val="0"/>
        <w:numPr>
          <w:ilvl w:val="2"/>
          <w:numId w:val="3"/>
        </w:numPr>
        <w:spacing w:before="0" w:after="0" w:line="360" w:lineRule="auto"/>
        <w:rPr>
          <w:rFonts w:ascii="华文楷体" w:hAnsi="华文楷体" w:eastAsia="华文楷体" w:cs="宋体"/>
          <w:b w:val="0"/>
          <w:sz w:val="24"/>
        </w:rPr>
      </w:pPr>
      <w:r>
        <w:rPr>
          <w:rFonts w:hint="eastAsia" w:ascii="华文楷体" w:hAnsi="华文楷体" w:eastAsia="华文楷体" w:cs="宋体"/>
          <w:b w:val="0"/>
          <w:sz w:val="24"/>
        </w:rPr>
        <w:t>自信托成立之日起，有权以自己的名义，根据信托文件规定管理、运用和处分信托财产。虽然本信托拟投资产品的尽职调查或信托存续期间的信托财产管理其他事项，均由委托人或其指定第三方自行负责，但受托人仍有权利对信托项目进行独立的尽职调查，以确认信托项目的合法合规。</w:t>
      </w:r>
    </w:p>
    <w:p>
      <w:pPr>
        <w:pStyle w:val="4"/>
        <w:keepNext w:val="0"/>
        <w:keepLines w:val="0"/>
        <w:numPr>
          <w:ilvl w:val="2"/>
          <w:numId w:val="3"/>
        </w:numPr>
        <w:spacing w:before="0" w:after="0" w:line="360" w:lineRule="auto"/>
        <w:rPr>
          <w:rFonts w:ascii="华文楷体" w:hAnsi="华文楷体" w:eastAsia="华文楷体" w:cs="宋体"/>
          <w:b w:val="0"/>
          <w:sz w:val="24"/>
        </w:rPr>
      </w:pPr>
      <w:r>
        <w:rPr>
          <w:rFonts w:hint="eastAsia" w:ascii="华文楷体" w:hAnsi="华文楷体" w:eastAsia="华文楷体" w:cs="宋体"/>
          <w:b w:val="0"/>
          <w:sz w:val="24"/>
        </w:rPr>
        <w:t>根据信托文件的规定足额收取信托报酬。</w:t>
      </w:r>
    </w:p>
    <w:p>
      <w:pPr>
        <w:pStyle w:val="4"/>
        <w:keepNext w:val="0"/>
        <w:keepLines w:val="0"/>
        <w:numPr>
          <w:ilvl w:val="2"/>
          <w:numId w:val="3"/>
        </w:numPr>
        <w:spacing w:before="0" w:after="0" w:line="360" w:lineRule="auto"/>
        <w:rPr>
          <w:rFonts w:ascii="华文楷体" w:hAnsi="华文楷体" w:eastAsia="华文楷体" w:cs="宋体"/>
          <w:b w:val="0"/>
          <w:sz w:val="24"/>
        </w:rPr>
      </w:pPr>
      <w:r>
        <w:rPr>
          <w:rFonts w:hint="eastAsia" w:ascii="华文楷体" w:hAnsi="华文楷体" w:eastAsia="华文楷体" w:cs="宋体"/>
          <w:b w:val="0"/>
          <w:sz w:val="24"/>
        </w:rPr>
        <w:t>委托人特别声明，在信托财产管理、运用、处分及分配过程中，受托人有权为本信托聘请法律服务机构、会计师、资金保管机构、财务顾问机构、投资管理机构以及其他专项事务机构等服务提供者。如投资标的涉及境外投资标的时，受托人有权聘请相关境外服务机构办理相关事务，例如境外保管机构等。</w:t>
      </w:r>
    </w:p>
    <w:p>
      <w:pPr>
        <w:pStyle w:val="4"/>
        <w:keepNext w:val="0"/>
        <w:keepLines w:val="0"/>
        <w:numPr>
          <w:ilvl w:val="2"/>
          <w:numId w:val="3"/>
        </w:numPr>
        <w:spacing w:before="0" w:after="0" w:line="360" w:lineRule="auto"/>
        <w:rPr>
          <w:rFonts w:ascii="华文楷体" w:hAnsi="华文楷体" w:eastAsia="华文楷体"/>
        </w:rPr>
      </w:pPr>
      <w:r>
        <w:rPr>
          <w:rFonts w:hint="eastAsia" w:ascii="华文楷体" w:hAnsi="华文楷体" w:eastAsia="华文楷体" w:cs="宋体"/>
          <w:b w:val="0"/>
          <w:sz w:val="24"/>
        </w:rPr>
        <w:t>有权以受托人名义开立信托专户，并享有包括信托专户内现金资产、资金划拨、变更账户、销户等一切账户所有人的权利。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15.1.5. 对委托人、受益人、财务顾问机构的不符合法律、法规、监管政策或信托文件约定的财务顾问建议、指令，或执行财务顾问建议将对受托人声誉等造成负面影响的，受托人有权拒绝执行。</w:t>
      </w:r>
    </w:p>
    <w:p>
      <w:pPr>
        <w:pStyle w:val="4"/>
        <w:keepNext w:val="0"/>
        <w:keepLines w:val="0"/>
        <w:spacing w:before="0" w:after="0" w:line="360" w:lineRule="auto"/>
        <w:ind w:firstLine="480" w:firstLineChars="200"/>
        <w:rPr>
          <w:rFonts w:ascii="华文楷体" w:hAnsi="华文楷体" w:eastAsia="华文楷体" w:cs="宋体"/>
          <w:sz w:val="24"/>
        </w:rPr>
      </w:pPr>
      <w:r>
        <w:rPr>
          <w:rFonts w:hint="eastAsia" w:ascii="华文楷体" w:hAnsi="华文楷体" w:eastAsia="华文楷体" w:cs="宋体"/>
          <w:b w:val="0"/>
          <w:sz w:val="24"/>
        </w:rPr>
        <w:t>15.1.6. 如受托人在信托设立及信托利益支付分配过程中，发现本信托项下信托财产的支付、分配等行为，符合国家有权机构规定的可疑交易上报条件的，有权根据《金融机构大额交易和可疑交易报告管理办法》或届时有效的相关法律法规向有权机构报告。</w:t>
      </w:r>
      <w:r>
        <w:rPr>
          <w:rFonts w:hint="eastAsia" w:ascii="华文楷体" w:hAnsi="华文楷体" w:eastAsia="华文楷体" w:cs="宋体"/>
          <w:sz w:val="24"/>
        </w:rPr>
        <w:t>因此对信托财产造成损失的，受托人不承担责任。</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15.1.7. 受托人因处理信托事务所支出的信托税赋、信托费用、对第三人所负债务，以信托财产承担。受托人以其固有财产先行支付的，对信托财产垫付资金及其资金成本享有优先受偿的权利。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15.1.8. 受托人有权根据因管理运用信托财产而取得的股权、债权、受益权凭证等出席股东会、债权人会议及其他相关会议并参与表决。受托人需征得委托人或财务顾问机构的意见后进行决议或投弃权票。</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15.1.9. 如信托财产管理、运用处分过程中与第三方发生争议，则受托人有权以受托人自己名义与相关方进行磋商，受托人有权征求委托人（委托人发生突发事件时，为受益人，受益人意思表示的具体产生规则详见本合同16.3条款）的意见并根据其意见采取协商、诉讼、仲裁等争议解决方式予以处理。如涉及权利放弃、和解、提出抗辩、处分信托财产等涉及信托财产重大利益的事项，则受托人均需获得委托人（委托人发生突发事件时，为受益</w:t>
      </w:r>
    </w:p>
    <w:p>
      <w:pPr>
        <w:spacing w:line="360" w:lineRule="auto"/>
        <w:rPr>
          <w:rFonts w:ascii="华文楷体" w:hAnsi="华文楷体" w:eastAsia="华文楷体" w:cs="宋体"/>
          <w:b/>
          <w:sz w:val="24"/>
        </w:rPr>
      </w:pPr>
      <w:r>
        <w:rPr>
          <w:rFonts w:hint="eastAsia" w:ascii="华文楷体" w:hAnsi="华文楷体" w:eastAsia="华文楷体" w:cs="宋体"/>
          <w:sz w:val="24"/>
        </w:rPr>
        <w:t>人，受益人意思表示的具体产生规则详见本合同16.3条款）按照信托文件约定通知方式所做出的特别书面授权（包括纸质或电子方式）。</w:t>
      </w:r>
      <w:r>
        <w:rPr>
          <w:rFonts w:hint="eastAsia" w:ascii="华文楷体" w:hAnsi="华文楷体" w:eastAsia="华文楷体" w:cs="宋体"/>
          <w:b/>
          <w:sz w:val="24"/>
        </w:rPr>
        <w:t>如届时发生委托人（委托人发生突发事件时，为受益人，受益人意思表示的具体产生规则详见本合同16.3条款）在合理期限内不做或无法做出意思表示、意思表示不明确、意思表示无法执行、委托人或受益人无法联络等，则受托人有权根据情况自行判断进行处理，由此产生法律后果由信托财产承担，受托人不承担责任。</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15.1.10. 受托人如发现信托财产非委托人合法所有、委托人与他人关于信托财产归属存有争议、信托财产相比于信托设立时尽职调查发生重大变化、信托财产系委托人为第三方代持之资产、委托人设立本信托系逃避债务或客观上侵害信托设立时委托人之债权人的利益、委托人发生刑事犯罪等情况，则受托人有权在合理期限内向委托人退回不合格信托财产或要求委托人以合法、合规为目的实施必要之补救、更正措施；如无法退回或无法补救、更正的，则受托人有权辞任或终止本信托。</w:t>
      </w:r>
      <w:r>
        <w:rPr>
          <w:rFonts w:hint="eastAsia" w:ascii="华文楷体" w:hAnsi="华文楷体" w:eastAsia="华文楷体" w:cs="宋体"/>
          <w:sz w:val="24"/>
        </w:rPr>
        <w:t>受托人执行本条约定所产生之法律后果由信托财产承担，受托人不承担责任。</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15.1.11.信托终止时，受托人有权选择以保持信托财产现状的方式向受益人分配信托利益。</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15.1.12 信托文件及法律、行政法规规定的其他权利。</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15.2. 受托人义务</w:t>
      </w:r>
    </w:p>
    <w:p>
      <w:pPr>
        <w:pStyle w:val="4"/>
        <w:keepNext w:val="0"/>
        <w:keepLines w:val="0"/>
        <w:spacing w:before="0" w:after="0" w:line="360" w:lineRule="auto"/>
        <w:ind w:firstLine="480" w:firstLineChars="200"/>
        <w:rPr>
          <w:rFonts w:ascii="华文楷体" w:hAnsi="华文楷体" w:eastAsia="华文楷体"/>
          <w:sz w:val="24"/>
        </w:rPr>
      </w:pPr>
      <w:r>
        <w:rPr>
          <w:rFonts w:hint="eastAsia" w:ascii="华文楷体" w:hAnsi="华文楷体" w:eastAsia="华文楷体" w:cs="宋体"/>
          <w:b w:val="0"/>
          <w:sz w:val="24"/>
        </w:rPr>
        <w:t xml:space="preserve">15.2.1. </w:t>
      </w:r>
      <w:r>
        <w:rPr>
          <w:rFonts w:hint="eastAsia" w:ascii="华文楷体" w:hAnsi="华文楷体" w:eastAsia="华文楷体" w:cs="宋体"/>
          <w:b w:val="0"/>
          <w:sz w:val="24"/>
          <w:szCs w:val="24"/>
        </w:rPr>
        <w:t>为受益人的利益处理信托事务，恪尽职守、履行诚实、信用、谨慎、有效管理的义务。受托人仅依法履行必须由受托人或必须以受托人名义履行的管理职责，包括账户管理、清算分配及提供或出具必要文件以配合委托人管理信托财产等事务。受托人主要承担一般信托事务的执行职责，不承担积极主动管理职责。</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15.2.2. 严格遵守法律、行政法规以及信托文件的规定，管理和运用信托财产。</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15.2.3. 根据信托文件的规定，向受益人分配信托利益。</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15.2.4. 不得利用信托财产为自己谋取本合同规定信托报酬以外的利益。</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15.2.5. 将信托财产与其固有财产分别管理、分别记账，不得将信托财产转为其固有财产或者成为固有财产的一部分。</w:t>
      </w:r>
    </w:p>
    <w:p>
      <w:pPr>
        <w:ind w:firstLine="420"/>
        <w:rPr>
          <w:rFonts w:ascii="华文楷体" w:hAnsi="华文楷体" w:eastAsia="华文楷体"/>
        </w:rPr>
      </w:pP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15.2.6. 须保存处理信托事务的完整记录，按本合同规定向委托人、受益人报告信托财产管理、运用及收益情况。</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15.2.7. 根据信托文件的规定履行信息披露和通知义务。</w:t>
      </w:r>
    </w:p>
    <w:p>
      <w:pPr>
        <w:pStyle w:val="4"/>
        <w:keepNext w:val="0"/>
        <w:keepLines w:val="0"/>
        <w:spacing w:before="0" w:after="0" w:line="360" w:lineRule="auto"/>
        <w:ind w:firstLine="480" w:firstLineChars="200"/>
        <w:rPr>
          <w:rFonts w:ascii="华文楷体" w:hAnsi="华文楷体" w:eastAsia="华文楷体"/>
        </w:rPr>
      </w:pPr>
      <w:r>
        <w:rPr>
          <w:rFonts w:hint="eastAsia" w:ascii="华文楷体" w:hAnsi="华文楷体" w:eastAsia="华文楷体" w:cs="宋体"/>
          <w:b w:val="0"/>
          <w:sz w:val="24"/>
        </w:rPr>
        <w:t xml:space="preserve">15.2.8. </w:t>
      </w:r>
      <w:r>
        <w:rPr>
          <w:rFonts w:hint="eastAsia" w:ascii="华文楷体" w:hAnsi="华文楷体" w:eastAsia="华文楷体" w:cs="宋体"/>
          <w:sz w:val="24"/>
        </w:rPr>
        <w:t>受托人仅对信托当事人提供的包括但不限于设立、期间分配、账户变更、地址变更、死亡、失踪、丧失行为能力、满足分配条件的证明材料等资料和信息进行形式审查，对其真实性不负有审查义务。</w:t>
      </w:r>
    </w:p>
    <w:p>
      <w:pPr>
        <w:pStyle w:val="4"/>
        <w:keepNext w:val="0"/>
        <w:keepLines w:val="0"/>
        <w:spacing w:before="0" w:after="0" w:line="360" w:lineRule="auto"/>
        <w:ind w:firstLine="480" w:firstLineChars="200"/>
        <w:rPr>
          <w:rFonts w:ascii="华文楷体" w:hAnsi="华文楷体" w:eastAsia="华文楷体" w:cs="宋体"/>
          <w:b w:val="0"/>
          <w:bCs w:val="0"/>
          <w:sz w:val="24"/>
        </w:rPr>
      </w:pPr>
      <w:r>
        <w:rPr>
          <w:rFonts w:hint="eastAsia" w:ascii="华文楷体" w:hAnsi="华文楷体" w:eastAsia="华文楷体" w:cs="宋体"/>
          <w:b w:val="0"/>
          <w:bCs w:val="0"/>
          <w:sz w:val="24"/>
        </w:rPr>
        <w:t>15.2.9. 受托人依法解散、被依法撤销、被宣告破产而终止，信托财产不属于其清算财产。</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15.2.10. 信托文件及法律、行政法规规定的其他义务。</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46" w:name="_Toc446017071"/>
      <w:bookmarkStart w:id="147" w:name="_Toc6397526"/>
      <w:bookmarkStart w:id="148" w:name="_Toc421520885"/>
      <w:r>
        <w:rPr>
          <w:rFonts w:hint="eastAsia" w:ascii="华文楷体" w:hAnsi="华文楷体" w:eastAsia="华文楷体" w:cs="宋体"/>
          <w:color w:val="auto"/>
          <w:sz w:val="24"/>
          <w:szCs w:val="24"/>
        </w:rPr>
        <w:t>受益人的权利义务</w:t>
      </w:r>
      <w:bookmarkEnd w:id="146"/>
      <w:bookmarkEnd w:id="147"/>
      <w:bookmarkEnd w:id="148"/>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16.1. 受益人的权利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16.1.1. 根据本合同规定享有信托受益权，并因此取得本信托项下信托利益。</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16.1.2. 受益人有权了解其信托财产的管理、运用、处分及收支情况，并有权要求受托人做出说明。</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16.1.3. 受托人违反本合同规定的信托目的处分信托财产，或者因违背管理职责，致使信托财产受到损失的，受益人有权申请人民法院撤销该处分行为，并有权要求受托人予以赔偿。</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16.1.4. 信托分配方案约定的其他权利。</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16.1.5. 信托文件及法律、行政法规规定的其他权利。</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16.2. 受益人的义务</w:t>
      </w:r>
    </w:p>
    <w:p>
      <w:pPr>
        <w:pStyle w:val="4"/>
        <w:keepNext w:val="0"/>
        <w:keepLines w:val="0"/>
        <w:spacing w:before="0" w:after="0" w:line="360" w:lineRule="auto"/>
        <w:ind w:firstLine="480" w:firstLineChars="200"/>
        <w:rPr>
          <w:rFonts w:ascii="华文楷体" w:hAnsi="华文楷体" w:eastAsia="华文楷体" w:cs="宋体"/>
          <w:b w:val="0"/>
          <w:sz w:val="24"/>
          <w:szCs w:val="24"/>
        </w:rPr>
      </w:pPr>
      <w:r>
        <w:rPr>
          <w:rFonts w:hint="eastAsia" w:ascii="华文楷体" w:hAnsi="华文楷体" w:eastAsia="华文楷体" w:cs="宋体"/>
          <w:b w:val="0"/>
          <w:sz w:val="24"/>
          <w:szCs w:val="24"/>
        </w:rPr>
        <w:t>16.2.1. 受益人取得受益权的同时即同意委托人对本合同条款、信托方</w:t>
      </w:r>
    </w:p>
    <w:p>
      <w:pPr>
        <w:spacing w:line="360" w:lineRule="auto"/>
        <w:rPr>
          <w:rFonts w:ascii="华文楷体" w:hAnsi="华文楷体" w:eastAsia="华文楷体"/>
          <w:sz w:val="24"/>
        </w:rPr>
      </w:pPr>
      <w:r>
        <w:rPr>
          <w:rFonts w:hint="eastAsia" w:ascii="华文楷体" w:hAnsi="华文楷体" w:eastAsia="华文楷体"/>
          <w:sz w:val="24"/>
        </w:rPr>
        <w:t>案提出的变更申请、同意委托人与受托人协商终止本信托、同意受托人按照</w:t>
      </w:r>
    </w:p>
    <w:p>
      <w:pPr>
        <w:spacing w:line="360" w:lineRule="auto"/>
        <w:rPr>
          <w:rFonts w:ascii="华文楷体" w:hAnsi="华文楷体" w:eastAsia="华文楷体"/>
          <w:sz w:val="24"/>
        </w:rPr>
      </w:pPr>
      <w:r>
        <w:rPr>
          <w:rFonts w:hint="eastAsia" w:ascii="华文楷体" w:hAnsi="华文楷体" w:eastAsia="华文楷体"/>
          <w:sz w:val="24"/>
        </w:rPr>
        <w:t>本合同的约定处理信托财产、同意本合同规定的信息披露和通知方式以及信托文件中所有与受益人相关的条款。</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16.2.2. 按照相关法律、行政法规规定就信托收入进行税务申报和缴纳的义务。</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16.2.3. </w:t>
      </w:r>
      <w:r>
        <w:rPr>
          <w:rFonts w:ascii="华文楷体" w:hAnsi="华文楷体" w:eastAsia="华文楷体" w:cs="宋体"/>
          <w:b w:val="0"/>
          <w:sz w:val="24"/>
        </w:rPr>
        <w:t>在信托期限内，</w:t>
      </w:r>
      <w:r>
        <w:rPr>
          <w:rFonts w:hint="eastAsia" w:ascii="华文楷体" w:hAnsi="华文楷体" w:eastAsia="华文楷体" w:cs="宋体"/>
          <w:b w:val="0"/>
          <w:sz w:val="24"/>
        </w:rPr>
        <w:t>受益人同意，</w:t>
      </w:r>
      <w:r>
        <w:rPr>
          <w:rFonts w:ascii="华文楷体" w:hAnsi="华文楷体" w:eastAsia="华文楷体" w:cs="宋体"/>
          <w:b w:val="0"/>
          <w:sz w:val="24"/>
        </w:rPr>
        <w:t>如委托人与受益人对信托事务处理、信托财产管理运用</w:t>
      </w:r>
      <w:r>
        <w:rPr>
          <w:rFonts w:hint="eastAsia" w:ascii="华文楷体" w:hAnsi="华文楷体" w:eastAsia="华文楷体" w:cs="宋体"/>
          <w:b w:val="0"/>
          <w:sz w:val="24"/>
        </w:rPr>
        <w:t>方式</w:t>
      </w:r>
      <w:r>
        <w:rPr>
          <w:rFonts w:ascii="华文楷体" w:hAnsi="华文楷体" w:eastAsia="华文楷体" w:cs="宋体"/>
          <w:b w:val="0"/>
          <w:sz w:val="24"/>
        </w:rPr>
        <w:t>等</w:t>
      </w:r>
      <w:r>
        <w:rPr>
          <w:rFonts w:hint="eastAsia" w:ascii="华文楷体" w:hAnsi="华文楷体" w:eastAsia="华文楷体" w:cs="宋体"/>
          <w:b w:val="0"/>
          <w:sz w:val="24"/>
        </w:rPr>
        <w:t>存在</w:t>
      </w:r>
      <w:r>
        <w:rPr>
          <w:rFonts w:ascii="华文楷体" w:hAnsi="华文楷体" w:eastAsia="华文楷体" w:cs="宋体"/>
          <w:b w:val="0"/>
          <w:sz w:val="24"/>
        </w:rPr>
        <w:t>不一致</w:t>
      </w:r>
      <w:r>
        <w:rPr>
          <w:rFonts w:hint="eastAsia" w:ascii="华文楷体" w:hAnsi="华文楷体" w:eastAsia="华文楷体" w:cs="宋体"/>
          <w:b w:val="0"/>
          <w:sz w:val="24"/>
        </w:rPr>
        <w:t>意见</w:t>
      </w:r>
      <w:r>
        <w:rPr>
          <w:rFonts w:ascii="华文楷体" w:hAnsi="华文楷体" w:eastAsia="华文楷体" w:cs="宋体"/>
          <w:b w:val="0"/>
          <w:sz w:val="24"/>
        </w:rPr>
        <w:t>时，则以委托人意见为准。</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16.2.4. 对信托利益分配附条件的，受益人须按条件执行。</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16.2.5. 有义务对其提供材料的真实性负责。</w:t>
      </w:r>
    </w:p>
    <w:p>
      <w:pPr>
        <w:pStyle w:val="4"/>
        <w:keepNext w:val="0"/>
        <w:keepLines w:val="0"/>
        <w:spacing w:before="0" w:after="0" w:line="360" w:lineRule="auto"/>
        <w:ind w:firstLine="480" w:firstLineChars="200"/>
        <w:rPr>
          <w:rFonts w:ascii="华文楷体" w:hAnsi="华文楷体" w:eastAsia="华文楷体" w:cs="宋体"/>
          <w:sz w:val="24"/>
        </w:rPr>
      </w:pPr>
      <w:r>
        <w:rPr>
          <w:rFonts w:hint="eastAsia" w:ascii="华文楷体" w:hAnsi="华文楷体" w:eastAsia="华文楷体" w:cs="宋体"/>
          <w:b w:val="0"/>
          <w:sz w:val="24"/>
        </w:rPr>
        <w:t xml:space="preserve">16.2.6. </w:t>
      </w:r>
      <w:r>
        <w:rPr>
          <w:rFonts w:ascii="华文楷体" w:hAnsi="华文楷体" w:eastAsia="华文楷体" w:cs="宋体"/>
          <w:b w:val="0"/>
          <w:sz w:val="24"/>
        </w:rPr>
        <w:t>受益人无条件同意并接受与本信托相关的合同的约定，包括本合同、资金保管合同、投资管理及财务顾问合同等。受益人承诺其对信托受益权的行使、处分不得影响本信托信托目的的实现</w:t>
      </w:r>
      <w:r>
        <w:rPr>
          <w:rFonts w:hint="eastAsia" w:ascii="华文楷体" w:hAnsi="华文楷体" w:eastAsia="华文楷体" w:cs="宋体"/>
          <w:b w:val="0"/>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16.2.7. </w:t>
      </w:r>
      <w:r>
        <w:rPr>
          <w:rFonts w:ascii="华文楷体" w:hAnsi="华文楷体" w:eastAsia="华文楷体" w:cs="宋体"/>
          <w:b w:val="0"/>
          <w:sz w:val="24"/>
        </w:rPr>
        <w:t>受益人</w:t>
      </w:r>
      <w:r>
        <w:rPr>
          <w:rFonts w:hint="eastAsia" w:ascii="华文楷体" w:hAnsi="华文楷体" w:eastAsia="华文楷体" w:cs="宋体"/>
          <w:b w:val="0"/>
          <w:sz w:val="24"/>
        </w:rPr>
        <w:t>尊重并接受本合同约定的委托人设立信托的全部意愿，</w:t>
      </w:r>
      <w:r>
        <w:rPr>
          <w:rFonts w:ascii="华文楷体" w:hAnsi="华文楷体" w:eastAsia="华文楷体" w:cs="宋体"/>
          <w:b w:val="0"/>
          <w:sz w:val="24"/>
        </w:rPr>
        <w:t>受益人应按照本合同的规定合理善意行使受益人的权利，不得损害其他方或其他受益人的合法权利和利益</w:t>
      </w:r>
      <w:r>
        <w:rPr>
          <w:rFonts w:hint="eastAsia" w:ascii="华文楷体" w:hAnsi="华文楷体" w:eastAsia="华文楷体" w:cs="宋体"/>
          <w:b w:val="0"/>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16.2.8. </w:t>
      </w:r>
      <w:r>
        <w:rPr>
          <w:rFonts w:ascii="华文楷体" w:hAnsi="华文楷体" w:eastAsia="华文楷体" w:cs="宋体"/>
          <w:b w:val="0"/>
          <w:sz w:val="24"/>
        </w:rPr>
        <w:t>本信托受益人的信托受益权不得用于清偿受益人个人债务。除信托文件另有约定外，本信托信托受益权不得转让、继承、赠与、抵押、质押或者为其他权利负担等</w:t>
      </w:r>
      <w:r>
        <w:rPr>
          <w:rFonts w:hint="eastAsia" w:ascii="华文楷体" w:hAnsi="华文楷体" w:eastAsia="华文楷体" w:cs="宋体"/>
          <w:b w:val="0"/>
          <w:sz w:val="24"/>
        </w:rPr>
        <w:t>。</w:t>
      </w:r>
    </w:p>
    <w:p>
      <w:pPr>
        <w:pStyle w:val="4"/>
        <w:keepNext w:val="0"/>
        <w:keepLines w:val="0"/>
        <w:spacing w:before="0" w:after="0" w:line="360" w:lineRule="auto"/>
        <w:ind w:firstLine="480" w:firstLineChars="200"/>
        <w:rPr>
          <w:rFonts w:ascii="华文楷体" w:hAnsi="华文楷体" w:eastAsia="华文楷体" w:cs="宋体"/>
          <w:sz w:val="24"/>
        </w:rPr>
      </w:pPr>
      <w:r>
        <w:rPr>
          <w:rFonts w:hint="eastAsia" w:ascii="华文楷体" w:hAnsi="华文楷体" w:eastAsia="华文楷体" w:cs="宋体"/>
          <w:b w:val="0"/>
          <w:sz w:val="24"/>
        </w:rPr>
        <w:t xml:space="preserve">16.2.9. </w:t>
      </w:r>
      <w:r>
        <w:rPr>
          <w:rFonts w:ascii="华文楷体" w:hAnsi="华文楷体" w:eastAsia="华文楷体" w:cs="宋体"/>
          <w:b w:val="0"/>
          <w:sz w:val="24"/>
        </w:rPr>
        <w:t>在信托文件约定需由受益人做出意思表示时，受益人应</w:t>
      </w:r>
      <w:r>
        <w:rPr>
          <w:rFonts w:hint="eastAsia" w:ascii="华文楷体" w:hAnsi="华文楷体" w:eastAsia="华文楷体" w:cs="宋体"/>
          <w:b w:val="0"/>
          <w:sz w:val="24"/>
        </w:rPr>
        <w:t>做出</w:t>
      </w:r>
      <w:r>
        <w:rPr>
          <w:rFonts w:ascii="华文楷体" w:hAnsi="华文楷体" w:eastAsia="华文楷体" w:cs="宋体"/>
          <w:b w:val="0"/>
          <w:sz w:val="24"/>
        </w:rPr>
        <w:t>明确、可执行的书面意思表示予受托人。在受益人做出意思表示前，受托人有权按本合同或实际情况继续或暂停管理运用、处分信托财产及处理信托事务。如因受益人未及时</w:t>
      </w:r>
      <w:r>
        <w:rPr>
          <w:rFonts w:hint="eastAsia" w:ascii="华文楷体" w:hAnsi="华文楷体" w:eastAsia="华文楷体" w:cs="宋体"/>
          <w:b w:val="0"/>
          <w:sz w:val="24"/>
        </w:rPr>
        <w:t>做出</w:t>
      </w:r>
      <w:r>
        <w:rPr>
          <w:rFonts w:ascii="华文楷体" w:hAnsi="华文楷体" w:eastAsia="华文楷体" w:cs="宋体"/>
          <w:b w:val="0"/>
          <w:sz w:val="24"/>
        </w:rPr>
        <w:t>意思表示造成的信托财产损失，受托人不承担责任</w:t>
      </w:r>
      <w:r>
        <w:rPr>
          <w:rFonts w:hint="eastAsia" w:ascii="华文楷体" w:hAnsi="华文楷体" w:eastAsia="华文楷体" w:cs="宋体"/>
          <w:b w:val="0"/>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16.2.10. 信托文件及法律、行政法规规定的其他义务。</w:t>
      </w:r>
    </w:p>
    <w:p>
      <w:pPr>
        <w:pStyle w:val="3"/>
        <w:keepNext w:val="0"/>
        <w:keepLines w:val="0"/>
        <w:spacing w:before="0" w:after="0" w:line="360" w:lineRule="auto"/>
        <w:rPr>
          <w:rFonts w:ascii="华文楷体" w:hAnsi="华文楷体" w:eastAsia="华文楷体"/>
        </w:rPr>
      </w:pPr>
      <w:bookmarkStart w:id="149" w:name="_Ref446584956"/>
      <w:r>
        <w:rPr>
          <w:rFonts w:hint="eastAsia" w:ascii="华文楷体" w:hAnsi="华文楷体" w:eastAsia="华文楷体"/>
        </w:rPr>
        <w:t xml:space="preserve">16.3. </w:t>
      </w:r>
      <w:r>
        <w:rPr>
          <w:rFonts w:ascii="华文楷体" w:hAnsi="华文楷体" w:eastAsia="华文楷体"/>
        </w:rPr>
        <w:t>受益人的意思表示</w:t>
      </w:r>
      <w:bookmarkEnd w:id="149"/>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16.3.1. </w:t>
      </w:r>
      <w:r>
        <w:rPr>
          <w:rFonts w:ascii="华文楷体" w:hAnsi="华文楷体" w:eastAsia="华文楷体" w:cs="宋体"/>
          <w:b w:val="0"/>
          <w:sz w:val="24"/>
        </w:rPr>
        <w:t>凡涉及信托文件约定需由受益人做出意思表示的事项时，如届时受益人人数少于等于</w:t>
      </w:r>
      <w:r>
        <w:rPr>
          <w:rFonts w:hint="eastAsia" w:ascii="华文楷体" w:hAnsi="华文楷体" w:eastAsia="华文楷体" w:cs="宋体"/>
          <w:b w:val="0"/>
          <w:sz w:val="24"/>
        </w:rPr>
        <w:t>2</w:t>
      </w:r>
      <w:r>
        <w:rPr>
          <w:rFonts w:ascii="华文楷体" w:hAnsi="华文楷体" w:eastAsia="华文楷体" w:cs="宋体"/>
          <w:b w:val="0"/>
          <w:sz w:val="24"/>
        </w:rPr>
        <w:t>人，则应由全体受益人一致同意后作出记载全体受益人明确、可执行的书面意思表示并向受托人传达该意思表示</w:t>
      </w:r>
      <w:r>
        <w:rPr>
          <w:rFonts w:hint="eastAsia" w:ascii="华文楷体" w:hAnsi="华文楷体" w:eastAsia="华文楷体" w:cs="宋体"/>
          <w:b w:val="0"/>
          <w:sz w:val="24"/>
        </w:rPr>
        <w:t>。</w:t>
      </w:r>
    </w:p>
    <w:p>
      <w:pPr>
        <w:rPr>
          <w:rFonts w:ascii="华文楷体" w:hAnsi="华文楷体" w:eastAsia="华文楷体"/>
        </w:rPr>
      </w:pPr>
    </w:p>
    <w:p>
      <w:pPr>
        <w:pStyle w:val="4"/>
        <w:keepNext w:val="0"/>
        <w:keepLines w:val="0"/>
        <w:spacing w:before="0" w:after="0" w:line="360" w:lineRule="auto"/>
        <w:ind w:firstLine="480" w:firstLineChars="200"/>
        <w:rPr>
          <w:rFonts w:ascii="华文楷体" w:hAnsi="华文楷体" w:eastAsia="华文楷体" w:cs="宋体"/>
          <w:b w:val="0"/>
          <w:sz w:val="24"/>
        </w:rPr>
      </w:pPr>
      <w:bookmarkStart w:id="150" w:name="_Ref446587980"/>
      <w:r>
        <w:rPr>
          <w:rFonts w:hint="eastAsia" w:ascii="华文楷体" w:hAnsi="华文楷体" w:eastAsia="华文楷体" w:cs="宋体"/>
          <w:b w:val="0"/>
          <w:sz w:val="24"/>
        </w:rPr>
        <w:t xml:space="preserve">16.3.2. </w:t>
      </w:r>
      <w:r>
        <w:rPr>
          <w:rFonts w:ascii="华文楷体" w:hAnsi="华文楷体" w:eastAsia="华文楷体" w:cs="宋体"/>
          <w:b w:val="0"/>
          <w:sz w:val="24"/>
        </w:rPr>
        <w:t>如届时受益人人数多于</w:t>
      </w:r>
      <w:r>
        <w:rPr>
          <w:rFonts w:hint="eastAsia" w:ascii="华文楷体" w:hAnsi="华文楷体" w:eastAsia="华文楷体" w:cs="宋体"/>
          <w:b w:val="0"/>
          <w:sz w:val="24"/>
        </w:rPr>
        <w:t>2</w:t>
      </w:r>
      <w:r>
        <w:rPr>
          <w:rFonts w:ascii="华文楷体" w:hAnsi="华文楷体" w:eastAsia="华文楷体" w:cs="宋体"/>
          <w:b w:val="0"/>
          <w:sz w:val="24"/>
        </w:rPr>
        <w:t>人，则应由全体受益人授权某一位受益人作为受益人之代理人，由该代理人负责协调全体受益人达成一致并做出明确、可执行的书面意思表示，并由代理人持</w:t>
      </w:r>
      <w:r>
        <w:rPr>
          <w:rFonts w:hint="eastAsia" w:ascii="华文楷体" w:hAnsi="华文楷体" w:eastAsia="华文楷体" w:cs="宋体"/>
          <w:b w:val="0"/>
          <w:sz w:val="24"/>
        </w:rPr>
        <w:t>经公证的</w:t>
      </w:r>
      <w:r>
        <w:rPr>
          <w:rFonts w:ascii="华文楷体" w:hAnsi="华文楷体" w:eastAsia="华文楷体" w:cs="宋体"/>
          <w:b w:val="0"/>
          <w:sz w:val="24"/>
        </w:rPr>
        <w:t>其他受益人书面授权书向受托人传达前述意思表示。受托人有权仅与该受益人之代理人予以交涉</w:t>
      </w:r>
      <w:r>
        <w:rPr>
          <w:rFonts w:hint="eastAsia" w:ascii="华文楷体" w:hAnsi="华文楷体" w:eastAsia="华文楷体" w:cs="宋体"/>
          <w:b w:val="0"/>
          <w:sz w:val="24"/>
        </w:rPr>
        <w:t>。</w:t>
      </w:r>
      <w:bookmarkEnd w:id="150"/>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 xml:space="preserve">16.3.3. </w:t>
      </w:r>
      <w:r>
        <w:rPr>
          <w:rFonts w:ascii="华文楷体" w:hAnsi="华文楷体" w:eastAsia="华文楷体" w:cs="宋体"/>
          <w:b w:val="0"/>
          <w:sz w:val="24"/>
        </w:rPr>
        <w:t>在受益人做出意思表示前，受托人有权按本合同或实际情况继续或暂停管理运用、处分信托财产及处理信托事务。如因受益人未及时</w:t>
      </w:r>
      <w:r>
        <w:rPr>
          <w:rFonts w:hint="eastAsia" w:ascii="华文楷体" w:hAnsi="华文楷体" w:eastAsia="华文楷体" w:cs="宋体"/>
          <w:b w:val="0"/>
          <w:sz w:val="24"/>
        </w:rPr>
        <w:t>做出</w:t>
      </w:r>
      <w:r>
        <w:rPr>
          <w:rFonts w:ascii="华文楷体" w:hAnsi="华文楷体" w:eastAsia="华文楷体" w:cs="宋体"/>
          <w:b w:val="0"/>
          <w:sz w:val="24"/>
        </w:rPr>
        <w:t>意思表示造成的信托财产损失，受托人不承担责任。</w:t>
      </w:r>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olor w:val="auto"/>
          <w:sz w:val="24"/>
          <w:szCs w:val="24"/>
        </w:rPr>
      </w:pPr>
      <w:bookmarkStart w:id="151" w:name="_Toc6397527"/>
      <w:r>
        <w:rPr>
          <w:rFonts w:hint="eastAsia" w:ascii="华文楷体" w:hAnsi="华文楷体" w:eastAsia="华文楷体"/>
          <w:color w:val="auto"/>
          <w:sz w:val="24"/>
          <w:szCs w:val="24"/>
        </w:rPr>
        <w:t>监察人的权利义务</w:t>
      </w:r>
      <w:bookmarkEnd w:id="151"/>
    </w:p>
    <w:p>
      <w:pPr>
        <w:numPr>
          <w:ilvl w:val="1"/>
          <w:numId w:val="3"/>
        </w:numPr>
        <w:tabs>
          <w:tab w:val="left" w:pos="567"/>
          <w:tab w:val="left" w:pos="851"/>
          <w:tab w:val="left" w:pos="993"/>
          <w:tab w:val="left" w:pos="1276"/>
          <w:tab w:val="clear" w:pos="992"/>
        </w:tabs>
        <w:adjustRightInd w:val="0"/>
        <w:snapToGrid w:val="0"/>
        <w:spacing w:line="360" w:lineRule="auto"/>
        <w:ind w:left="851"/>
        <w:rPr>
          <w:rFonts w:ascii="华文楷体" w:hAnsi="华文楷体" w:eastAsia="华文楷体" w:cs="宋体"/>
          <w:b/>
          <w:sz w:val="24"/>
        </w:rPr>
      </w:pPr>
      <w:r>
        <w:rPr>
          <w:rFonts w:ascii="华文楷体" w:hAnsi="华文楷体" w:eastAsia="华文楷体" w:cs="宋体"/>
          <w:b/>
          <w:sz w:val="24"/>
        </w:rPr>
        <w:t>监察人</w:t>
      </w:r>
      <w:r>
        <w:rPr>
          <w:rFonts w:hint="eastAsia" w:ascii="华文楷体" w:hAnsi="华文楷体" w:eastAsia="华文楷体" w:cs="宋体"/>
          <w:b/>
          <w:sz w:val="24"/>
        </w:rPr>
        <w:t>的权利</w:t>
      </w:r>
    </w:p>
    <w:p>
      <w:pPr>
        <w:pStyle w:val="53"/>
        <w:numPr>
          <w:ilvl w:val="2"/>
          <w:numId w:val="3"/>
        </w:numPr>
        <w:tabs>
          <w:tab w:val="left" w:pos="709"/>
          <w:tab w:val="left" w:pos="1276"/>
        </w:tabs>
        <w:adjustRightInd w:val="0"/>
        <w:snapToGrid w:val="0"/>
        <w:spacing w:line="360" w:lineRule="auto"/>
        <w:ind w:firstLineChars="0"/>
        <w:rPr>
          <w:rFonts w:ascii="华文楷体" w:hAnsi="华文楷体" w:eastAsia="华文楷体"/>
          <w:sz w:val="24"/>
        </w:rPr>
      </w:pPr>
      <w:r>
        <w:rPr>
          <w:rFonts w:hint="eastAsia" w:ascii="华文楷体" w:hAnsi="华文楷体" w:eastAsia="华文楷体"/>
          <w:sz w:val="24"/>
        </w:rPr>
        <w:t>有权了解信托财产的管理、运用、处分及收支情况，并有权要求受托人作出说明。</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有权查询、抄录或者复制与信托财产有关的信托账目以及处理信托事务的其他文件。</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受托人履行向委托人和受益人的告知义务的，须同时通知</w:t>
      </w:r>
      <w:r>
        <w:rPr>
          <w:rFonts w:ascii="华文楷体" w:hAnsi="华文楷体" w:eastAsia="华文楷体" w:cs="宋体"/>
          <w:sz w:val="24"/>
        </w:rPr>
        <w:t>监察人（若有）</w:t>
      </w:r>
      <w:r>
        <w:rPr>
          <w:rFonts w:hint="eastAsia" w:ascii="华文楷体" w:hAnsi="华文楷体" w:eastAsia="华文楷体" w:cs="宋体"/>
          <w:sz w:val="24"/>
        </w:rPr>
        <w:t>。</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受托人职责终止的，有权选任新受托人。</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有权在委托人授权的前提下选任下一任</w:t>
      </w:r>
      <w:r>
        <w:rPr>
          <w:rFonts w:ascii="华文楷体" w:hAnsi="华文楷体" w:eastAsia="华文楷体" w:cs="宋体"/>
          <w:sz w:val="24"/>
        </w:rPr>
        <w:t>监察人</w:t>
      </w:r>
      <w:r>
        <w:rPr>
          <w:rFonts w:hint="eastAsia" w:ascii="华文楷体" w:hAnsi="华文楷体" w:eastAsia="华文楷体" w:cs="宋体"/>
          <w:sz w:val="24"/>
        </w:rPr>
        <w:t>。</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信托文件约定及法律、行政法规规定的其他权利。</w:t>
      </w:r>
    </w:p>
    <w:p>
      <w:pPr>
        <w:numPr>
          <w:ilvl w:val="1"/>
          <w:numId w:val="3"/>
        </w:numPr>
        <w:tabs>
          <w:tab w:val="left" w:pos="567"/>
          <w:tab w:val="left" w:pos="851"/>
          <w:tab w:val="left" w:pos="993"/>
          <w:tab w:val="left" w:pos="1276"/>
          <w:tab w:val="clear" w:pos="992"/>
        </w:tabs>
        <w:adjustRightInd w:val="0"/>
        <w:snapToGrid w:val="0"/>
        <w:spacing w:line="360" w:lineRule="auto"/>
        <w:ind w:left="851"/>
        <w:rPr>
          <w:rFonts w:ascii="华文楷体" w:hAnsi="华文楷体" w:eastAsia="华文楷体" w:cs="宋体"/>
          <w:b/>
          <w:sz w:val="24"/>
        </w:rPr>
      </w:pPr>
      <w:r>
        <w:rPr>
          <w:rFonts w:ascii="华文楷体" w:hAnsi="华文楷体" w:eastAsia="华文楷体" w:cs="宋体"/>
          <w:b/>
          <w:sz w:val="24"/>
        </w:rPr>
        <w:t>监察人</w:t>
      </w:r>
      <w:r>
        <w:rPr>
          <w:rFonts w:hint="eastAsia" w:ascii="华文楷体" w:hAnsi="华文楷体" w:eastAsia="华文楷体" w:cs="宋体"/>
          <w:b/>
          <w:sz w:val="24"/>
        </w:rPr>
        <w:t>的义务</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当</w:t>
      </w:r>
      <w:r>
        <w:rPr>
          <w:rFonts w:ascii="华文楷体" w:hAnsi="华文楷体" w:eastAsia="华文楷体" w:cs="宋体"/>
          <w:sz w:val="24"/>
        </w:rPr>
        <w:t>监察人</w:t>
      </w:r>
      <w:r>
        <w:rPr>
          <w:rFonts w:hint="eastAsia" w:ascii="华文楷体" w:hAnsi="华文楷体" w:eastAsia="华文楷体" w:cs="宋体"/>
          <w:sz w:val="24"/>
        </w:rPr>
        <w:t>知晓信托委托人、受益人等情况发生变更的，须及时书面通知受托人。</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有义务保证其提交材料以及陈述的真实性。</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有义务对受益人等相关当事人提交的证明材料的真实性、有效性进行审查。</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在信托设立后，</w:t>
      </w:r>
      <w:r>
        <w:rPr>
          <w:rFonts w:ascii="华文楷体" w:hAnsi="华文楷体" w:eastAsia="华文楷体" w:cs="宋体"/>
          <w:sz w:val="24"/>
        </w:rPr>
        <w:t>监察人</w:t>
      </w:r>
      <w:r>
        <w:rPr>
          <w:rFonts w:hint="eastAsia" w:ascii="华文楷体" w:hAnsi="华文楷体" w:eastAsia="华文楷体" w:cs="宋体"/>
          <w:sz w:val="24"/>
        </w:rPr>
        <w:t>对受托人履行信托义务应当予以必要配合。</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代表委托人对本信托涉及受益人权利、义务的相关约定应对受益人进行必要的告知。</w:t>
      </w:r>
    </w:p>
    <w:p>
      <w:pPr>
        <w:numPr>
          <w:ilvl w:val="2"/>
          <w:numId w:val="3"/>
        </w:numPr>
        <w:tabs>
          <w:tab w:val="left" w:pos="709"/>
          <w:tab w:val="left" w:pos="1276"/>
        </w:tabs>
        <w:adjustRightInd w:val="0"/>
        <w:snapToGrid w:val="0"/>
        <w:spacing w:line="360" w:lineRule="auto"/>
        <w:rPr>
          <w:rFonts w:ascii="华文楷体" w:hAnsi="华文楷体" w:eastAsia="华文楷体" w:cs="宋体"/>
          <w:b/>
          <w:sz w:val="24"/>
        </w:rPr>
      </w:pPr>
      <w:r>
        <w:rPr>
          <w:rFonts w:ascii="华文楷体" w:hAnsi="华文楷体" w:eastAsia="华文楷体" w:cs="宋体"/>
          <w:sz w:val="24"/>
        </w:rPr>
        <w:t>监察人</w:t>
      </w:r>
      <w:r>
        <w:rPr>
          <w:rFonts w:hint="eastAsia" w:ascii="华文楷体" w:hAnsi="华文楷体" w:eastAsia="华文楷体" w:cs="宋体"/>
          <w:sz w:val="24"/>
        </w:rPr>
        <w:t>辞任的，应当提前【3】个月书面告知受托人及全体受益人，并保证后续有下一任</w:t>
      </w:r>
      <w:r>
        <w:rPr>
          <w:rFonts w:ascii="华文楷体" w:hAnsi="华文楷体" w:eastAsia="华文楷体" w:cs="宋体"/>
          <w:sz w:val="24"/>
        </w:rPr>
        <w:t>监察人</w:t>
      </w:r>
      <w:r>
        <w:rPr>
          <w:rFonts w:hint="eastAsia" w:ascii="华文楷体" w:hAnsi="华文楷体" w:eastAsia="华文楷体" w:cs="宋体"/>
          <w:sz w:val="24"/>
        </w:rPr>
        <w:t>时方可辞任。</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对所知悉的与本信托有关的信息采取严格的保密措施，履行保密义务。</w:t>
      </w:r>
    </w:p>
    <w:p>
      <w:pPr>
        <w:numPr>
          <w:ilvl w:val="2"/>
          <w:numId w:val="3"/>
        </w:numPr>
        <w:tabs>
          <w:tab w:val="left" w:pos="709"/>
          <w:tab w:val="left" w:pos="1276"/>
        </w:tabs>
        <w:adjustRightInd w:val="0"/>
        <w:snapToGrid w:val="0"/>
        <w:spacing w:line="360" w:lineRule="auto"/>
        <w:rPr>
          <w:rFonts w:ascii="华文楷体" w:hAnsi="华文楷体" w:eastAsia="华文楷体" w:cs="宋体"/>
          <w:sz w:val="24"/>
        </w:rPr>
      </w:pPr>
      <w:r>
        <w:rPr>
          <w:rFonts w:hint="eastAsia" w:ascii="华文楷体" w:hAnsi="华文楷体" w:eastAsia="华文楷体" w:cs="宋体"/>
          <w:sz w:val="24"/>
        </w:rPr>
        <w:t>信托文件约定及法律、行政法规规定的其他义务。</w:t>
      </w:r>
    </w:p>
    <w:p>
      <w:pPr>
        <w:pStyle w:val="2"/>
        <w:keepNext w:val="0"/>
        <w:numPr>
          <w:ilvl w:val="0"/>
          <w:numId w:val="4"/>
        </w:numPr>
        <w:tabs>
          <w:tab w:val="left" w:pos="1276"/>
        </w:tabs>
        <w:adjustRightInd w:val="0"/>
        <w:snapToGrid w:val="0"/>
        <w:spacing w:line="360" w:lineRule="auto"/>
        <w:ind w:left="0" w:firstLine="0"/>
        <w:rPr>
          <w:rFonts w:ascii="华文楷体" w:hAnsi="华文楷体" w:eastAsia="华文楷体"/>
          <w:color w:val="auto"/>
          <w:sz w:val="32"/>
          <w:szCs w:val="28"/>
        </w:rPr>
      </w:pPr>
      <w:bookmarkStart w:id="152" w:name="_Toc421520887"/>
      <w:bookmarkStart w:id="153" w:name="_Toc6397528"/>
      <w:r>
        <w:rPr>
          <w:rFonts w:hint="eastAsia" w:ascii="华文楷体" w:hAnsi="华文楷体" w:eastAsia="华文楷体"/>
          <w:color w:val="auto"/>
          <w:sz w:val="32"/>
          <w:szCs w:val="28"/>
        </w:rPr>
        <w:t>信托的法律适用及</w:t>
      </w:r>
      <w:bookmarkEnd w:id="152"/>
      <w:r>
        <w:rPr>
          <w:rFonts w:hint="eastAsia" w:ascii="华文楷体" w:hAnsi="华文楷体" w:eastAsia="华文楷体"/>
          <w:color w:val="auto"/>
          <w:sz w:val="32"/>
          <w:szCs w:val="28"/>
        </w:rPr>
        <w:t>其他</w:t>
      </w:r>
      <w:bookmarkEnd w:id="153"/>
    </w:p>
    <w:p>
      <w:pPr>
        <w:pStyle w:val="2"/>
        <w:keepNext w:val="0"/>
        <w:numPr>
          <w:ilvl w:val="0"/>
          <w:numId w:val="3"/>
        </w:numPr>
        <w:tabs>
          <w:tab w:val="left" w:pos="425"/>
          <w:tab w:val="left" w:pos="1276"/>
        </w:tabs>
        <w:adjustRightInd w:val="0"/>
        <w:snapToGrid w:val="0"/>
        <w:spacing w:line="360" w:lineRule="auto"/>
        <w:jc w:val="left"/>
        <w:rPr>
          <w:rFonts w:ascii="华文楷体" w:hAnsi="华文楷体" w:eastAsia="华文楷体" w:cs="宋体"/>
          <w:color w:val="auto"/>
          <w:sz w:val="24"/>
          <w:szCs w:val="24"/>
        </w:rPr>
      </w:pPr>
      <w:bookmarkStart w:id="154" w:name="_Toc166088572"/>
      <w:bookmarkStart w:id="155" w:name="_Toc325723998"/>
      <w:bookmarkStart w:id="156" w:name="_Toc217903235"/>
      <w:bookmarkStart w:id="157" w:name="_Toc297378552"/>
      <w:bookmarkStart w:id="158" w:name="_Toc421520888"/>
      <w:bookmarkStart w:id="159" w:name="_Toc421189330"/>
      <w:bookmarkStart w:id="160" w:name="_Toc6397529"/>
      <w:r>
        <w:rPr>
          <w:rFonts w:hint="eastAsia" w:ascii="华文楷体" w:hAnsi="华文楷体" w:eastAsia="华文楷体" w:cs="宋体"/>
          <w:color w:val="auto"/>
          <w:sz w:val="24"/>
          <w:szCs w:val="24"/>
        </w:rPr>
        <w:t>信托合同的效力</w:t>
      </w:r>
      <w:bookmarkEnd w:id="154"/>
      <w:bookmarkEnd w:id="155"/>
      <w:bookmarkEnd w:id="156"/>
      <w:bookmarkEnd w:id="157"/>
      <w:r>
        <w:rPr>
          <w:rFonts w:hint="eastAsia" w:ascii="华文楷体" w:hAnsi="华文楷体" w:eastAsia="华文楷体" w:cs="宋体"/>
          <w:color w:val="auto"/>
          <w:sz w:val="24"/>
          <w:szCs w:val="24"/>
        </w:rPr>
        <w:t>及</w:t>
      </w:r>
      <w:bookmarkEnd w:id="158"/>
      <w:bookmarkEnd w:id="159"/>
      <w:r>
        <w:rPr>
          <w:rFonts w:hint="eastAsia" w:ascii="华文楷体" w:hAnsi="华文楷体" w:eastAsia="华文楷体" w:cs="宋体"/>
          <w:color w:val="auto"/>
          <w:sz w:val="24"/>
          <w:szCs w:val="24"/>
        </w:rPr>
        <w:t>其他</w:t>
      </w:r>
      <w:bookmarkEnd w:id="160"/>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 xml:space="preserve">18.1. 合同的生效 </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18.1.1. 信托合同自委托人在信托合同上签字，且受托人法定代表人或其授权代表在信托合同上签字（或签章）并加盖单位公章或合同专用章之日起生效。</w:t>
      </w:r>
    </w:p>
    <w:p>
      <w:pPr>
        <w:pStyle w:val="4"/>
        <w:keepNext w:val="0"/>
        <w:keepLines w:val="0"/>
        <w:spacing w:before="0" w:after="0" w:line="360" w:lineRule="auto"/>
        <w:ind w:firstLine="480" w:firstLineChars="200"/>
        <w:rPr>
          <w:rFonts w:ascii="华文楷体" w:hAnsi="华文楷体" w:eastAsia="华文楷体"/>
        </w:rPr>
      </w:pPr>
      <w:r>
        <w:rPr>
          <w:rFonts w:hint="eastAsia" w:ascii="华文楷体" w:hAnsi="华文楷体" w:eastAsia="华文楷体" w:cs="宋体"/>
          <w:b w:val="0"/>
          <w:sz w:val="24"/>
        </w:rPr>
        <w:t>18.1.2. 本信托合同壹式叁份，委托人持贰份（其中一份信托合同，委托人委托本信托的财务顾问机构中国农业银行股份有限公司进行持有），受托人持壹份，每份具有同等法律效力。</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18.1.3. 基于本信托文件成立的信托关系，不因受托人的名称变更、法定代表人变更、依法解散、被宣告破产或者依法撤销而终止，也不因受托人的辞任而终止，但法律或者信托文件另有规定的除外。</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18.1.4. 本合同如有未尽事宜，由合同当事人各方共同协商解决。当事人可依据《中华人民共和国信托法》、《信托公司管理办法》及有关法律、行政法规签订补充协议，补充协议与本合同具备同等法律效力。</w:t>
      </w:r>
    </w:p>
    <w:p>
      <w:pPr>
        <w:pStyle w:val="3"/>
        <w:keepNext w:val="0"/>
        <w:keepLines w:val="0"/>
        <w:spacing w:before="0" w:after="0" w:line="360" w:lineRule="auto"/>
        <w:rPr>
          <w:rFonts w:ascii="华文楷体" w:hAnsi="华文楷体" w:eastAsia="华文楷体"/>
        </w:rPr>
      </w:pPr>
      <w:bookmarkStart w:id="161" w:name="_Ref421479371"/>
      <w:bookmarkStart w:id="162" w:name="_Toc297378551"/>
      <w:bookmarkStart w:id="163" w:name="_Toc325723997"/>
      <w:bookmarkStart w:id="164" w:name="_Toc166088571"/>
      <w:bookmarkStart w:id="165" w:name="_Toc217903234"/>
      <w:r>
        <w:rPr>
          <w:rFonts w:hint="eastAsia" w:ascii="华文楷体" w:hAnsi="华文楷体" w:eastAsia="华文楷体"/>
        </w:rPr>
        <w:t>18.2. 未约定事宜的协商解决</w:t>
      </w:r>
      <w:bookmarkEnd w:id="161"/>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18.2.1. 在信托存续过程中，若遇信托文件未约定的事项，由委托人与受托人协商解决。当委托人发生突发事件导致其无法行使委托人职责的,由受益人与受托人协商解决，受益人意思表示的产生方式以16.3条款的约定为准，信托文件另有约定的除外。</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18.3. 适用法律与争议处理</w:t>
      </w:r>
      <w:bookmarkEnd w:id="162"/>
      <w:bookmarkEnd w:id="163"/>
      <w:bookmarkEnd w:id="164"/>
      <w:bookmarkEnd w:id="165"/>
    </w:p>
    <w:p>
      <w:pPr>
        <w:pStyle w:val="4"/>
        <w:keepNext w:val="0"/>
        <w:keepLines w:val="0"/>
        <w:spacing w:before="0" w:after="0" w:line="360" w:lineRule="auto"/>
        <w:ind w:firstLine="480" w:firstLineChars="200"/>
        <w:rPr>
          <w:rFonts w:ascii="华文楷体" w:hAnsi="华文楷体" w:eastAsia="华文楷体" w:cs="宋体"/>
          <w:sz w:val="24"/>
          <w:szCs w:val="24"/>
        </w:rPr>
      </w:pPr>
      <w:r>
        <w:rPr>
          <w:rFonts w:hint="eastAsia" w:ascii="华文楷体" w:hAnsi="华文楷体" w:eastAsia="华文楷体" w:cs="宋体"/>
          <w:sz w:val="24"/>
        </w:rPr>
        <w:t>18.3.1.</w:t>
      </w:r>
      <w:r>
        <w:rPr>
          <w:rFonts w:hint="eastAsia" w:ascii="华文楷体" w:hAnsi="华文楷体" w:eastAsia="华文楷体" w:cs="宋体"/>
          <w:sz w:val="24"/>
          <w:szCs w:val="24"/>
        </w:rPr>
        <w:t>有关信托文件的签署、履行及任何争议，均适用中华人民共和国法律（为本合同之目的，不包括香港、澳门和台湾地区的法律），并从其解释。任何因本合同而产生的或与本合同有关的争议，各方首先应通过友</w:t>
      </w:r>
    </w:p>
    <w:p>
      <w:pPr>
        <w:spacing w:line="360" w:lineRule="auto"/>
        <w:rPr>
          <w:rFonts w:ascii="华文楷体" w:hAnsi="华文楷体" w:eastAsia="华文楷体"/>
          <w:b/>
          <w:sz w:val="24"/>
        </w:rPr>
      </w:pPr>
      <w:r>
        <w:rPr>
          <w:rFonts w:hint="eastAsia" w:ascii="华文楷体" w:hAnsi="华文楷体" w:eastAsia="华文楷体"/>
          <w:b/>
          <w:sz w:val="24"/>
        </w:rPr>
        <w:t>好协商予以解决，协商规则适用于本合同18.2条款约定；</w:t>
      </w:r>
      <w:r>
        <w:rPr>
          <w:rFonts w:hint="eastAsia" w:ascii="华文楷体" w:hAnsi="华文楷体" w:eastAsia="华文楷体"/>
          <w:b/>
          <w:bCs/>
          <w:sz w:val="24"/>
        </w:rPr>
        <w:t>若协商不成，双方一致同意，提交受托人所在地有管辖权的人民法院诉讼解决</w:t>
      </w:r>
      <w:r>
        <w:rPr>
          <w:rFonts w:hint="eastAsia" w:ascii="华文楷体" w:hAnsi="华文楷体" w:eastAsia="华文楷体"/>
          <w:b/>
          <w:sz w:val="24"/>
        </w:rPr>
        <w:t>。</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18.3.2. 如在信托文件有效期内出现影响或限制本合同约定的信托财产管理方式或信托目的实现的情形，双方应立即对本合同进行协商和修改，协商规则适用于本合同18.2条款。</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18.3.3. 如信托文件任何条款与法律、行政法规规定不符而构成无效或不可执行，并不影响本合同其他条款的效力。在出现这种情况时，双方应当立即进行协商修改该条款，协商规则适用于本合同18.2条款。</w:t>
      </w:r>
    </w:p>
    <w:p>
      <w:pPr>
        <w:pStyle w:val="3"/>
        <w:keepNext w:val="0"/>
        <w:keepLines w:val="0"/>
        <w:spacing w:before="0" w:after="0" w:line="360" w:lineRule="auto"/>
        <w:rPr>
          <w:rFonts w:ascii="华文楷体" w:hAnsi="华文楷体" w:eastAsia="华文楷体"/>
        </w:rPr>
      </w:pPr>
      <w:bookmarkStart w:id="166" w:name="_Toc325723994"/>
      <w:bookmarkStart w:id="167" w:name="_Toc217903231"/>
      <w:bookmarkStart w:id="168" w:name="_Toc166088568"/>
      <w:bookmarkStart w:id="169" w:name="_Toc297378548"/>
      <w:r>
        <w:rPr>
          <w:rFonts w:hint="eastAsia" w:ascii="华文楷体" w:hAnsi="华文楷体" w:eastAsia="华文楷体"/>
        </w:rPr>
        <w:t>18.4. 不可抗力</w:t>
      </w:r>
    </w:p>
    <w:p>
      <w:pPr>
        <w:pStyle w:val="4"/>
        <w:keepNext w:val="0"/>
        <w:keepLines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18.4.1. 如发生不可抗力，遭受该事件的一方应在不可抗力事件结束后5个工作日内通知对方，并在15个工作日内提供快捷证明文件说明有关事件的细节和不能履行或部分不能履行或需延迟履行本合同的原因，若因一方延迟通知导致不可抗力事件造成的损失扩大的，延迟通知一方应对扩大的损失承担责任。合同双方应在协商一致的基础上决定是否延期履行本信托合同或变更、终止本信托合同，并达成书面协议。若受托人按照委托人预留的联系方式无法联系到委托人的，受托人有权按照维护委托人或受益人利益原则采取受托人认为可行有效的措施对合同进行调整。</w:t>
      </w:r>
    </w:p>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18.5. 违约责任</w:t>
      </w:r>
      <w:bookmarkEnd w:id="166"/>
      <w:bookmarkEnd w:id="167"/>
      <w:bookmarkEnd w:id="168"/>
      <w:bookmarkEnd w:id="169"/>
    </w:p>
    <w:p>
      <w:pPr>
        <w:pStyle w:val="4"/>
        <w:keepNext w:val="0"/>
        <w:keepLines w:val="0"/>
        <w:adjustRightInd w:val="0"/>
        <w:snapToGrid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18.5.1. 信托文件各方应严格遵守信托文件的规定，任何一方违反文件的部分或全部规定，均应向守约方承担违约责任，并赔偿因其违约给守约方（含信托）造成的损失。</w:t>
      </w:r>
    </w:p>
    <w:p>
      <w:pPr>
        <w:pStyle w:val="4"/>
        <w:keepNext w:val="0"/>
        <w:keepLines w:val="0"/>
        <w:adjustRightInd w:val="0"/>
        <w:snapToGrid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18.5.2. 违约行为已经发生，但信托文件仍能够继续履行的，在保护本合同守约方合法权益的前提下，各方当事人应当继续履行本合同规定的各项义务。</w:t>
      </w:r>
    </w:p>
    <w:p>
      <w:pPr>
        <w:pStyle w:val="3"/>
        <w:keepNext w:val="0"/>
        <w:keepLines w:val="0"/>
        <w:adjustRightInd w:val="0"/>
        <w:snapToGrid w:val="0"/>
        <w:spacing w:before="0" w:after="0" w:line="360" w:lineRule="auto"/>
        <w:rPr>
          <w:rFonts w:ascii="华文楷体" w:hAnsi="华文楷体" w:eastAsia="华文楷体"/>
        </w:rPr>
      </w:pPr>
      <w:r>
        <w:rPr>
          <w:rFonts w:hint="eastAsia" w:ascii="华文楷体" w:hAnsi="华文楷体" w:eastAsia="华文楷体"/>
        </w:rPr>
        <w:t>18.6. 保密责任</w:t>
      </w:r>
    </w:p>
    <w:p>
      <w:pPr>
        <w:pStyle w:val="4"/>
        <w:keepNext w:val="0"/>
        <w:keepLines w:val="0"/>
        <w:adjustRightInd w:val="0"/>
        <w:snapToGrid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18.6.1. 委托人、受益人及受托人对于本信托以及与本信托项下有关的事项承担保密义务，未经委托人书面同意，任何一方不得将本信托的任何有关事项向除本信托以外的第三方披露，但是因以下情况所进行的披露除外：</w:t>
      </w:r>
    </w:p>
    <w:p>
      <w:pPr>
        <w:tabs>
          <w:tab w:val="left" w:pos="567"/>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（1）受托人履行法律、行政法规或信托文件规定的信息披露义务，向第三人进行的披露；</w:t>
      </w:r>
    </w:p>
    <w:p>
      <w:pPr>
        <w:tabs>
          <w:tab w:val="left" w:pos="567"/>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（2）向在业务中所委托的审计、律师等工作人员进行的披露，但前提是该等人员必须对其在进行前述工作中所获知的与本信托有关的信息承担保密义务；</w:t>
      </w:r>
    </w:p>
    <w:p>
      <w:pPr>
        <w:tabs>
          <w:tab w:val="left" w:pos="567"/>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（3）该等资料和文件可由公开途径获得或该资料的披露是法律、行政法规的要求；</w:t>
      </w:r>
    </w:p>
    <w:p>
      <w:pPr>
        <w:tabs>
          <w:tab w:val="left" w:pos="567"/>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（4）向法院或者根据任何诉前披露程序或类似程序的要求，或根据所采取的法律程序所进行的与本信托有关的披露；</w:t>
      </w:r>
    </w:p>
    <w:p>
      <w:pPr>
        <w:tabs>
          <w:tab w:val="left" w:pos="567"/>
          <w:tab w:val="left" w:pos="1276"/>
        </w:tabs>
        <w:adjustRightInd w:val="0"/>
        <w:snapToGrid w:val="0"/>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（5）受托人根据监管机构的要求，向监管机构进行的披露。</w:t>
      </w:r>
    </w:p>
    <w:p>
      <w:pPr>
        <w:pStyle w:val="4"/>
        <w:keepNext w:val="0"/>
        <w:keepLines w:val="0"/>
        <w:adjustRightInd w:val="0"/>
        <w:snapToGrid w:val="0"/>
        <w:spacing w:before="0" w:after="0" w:line="360" w:lineRule="auto"/>
        <w:ind w:firstLine="480" w:firstLineChars="200"/>
        <w:rPr>
          <w:rFonts w:ascii="华文楷体" w:hAnsi="华文楷体" w:eastAsia="华文楷体" w:cs="宋体"/>
          <w:b w:val="0"/>
          <w:sz w:val="24"/>
        </w:rPr>
      </w:pPr>
      <w:r>
        <w:rPr>
          <w:rFonts w:hint="eastAsia" w:ascii="华文楷体" w:hAnsi="华文楷体" w:eastAsia="华文楷体" w:cs="宋体"/>
          <w:b w:val="0"/>
          <w:sz w:val="24"/>
        </w:rPr>
        <w:t>18.6.2.在任何情况下，本条所规定的保密义务应永久持续有效。</w:t>
      </w:r>
    </w:p>
    <w:p>
      <w:pPr>
        <w:pStyle w:val="2"/>
        <w:keepNext w:val="0"/>
        <w:numPr>
          <w:ilvl w:val="0"/>
          <w:numId w:val="3"/>
        </w:numPr>
        <w:tabs>
          <w:tab w:val="left" w:pos="1276"/>
        </w:tabs>
        <w:adjustRightInd w:val="0"/>
        <w:snapToGrid w:val="0"/>
        <w:spacing w:line="360" w:lineRule="auto"/>
        <w:jc w:val="left"/>
        <w:rPr>
          <w:rFonts w:ascii="华文楷体" w:hAnsi="华文楷体" w:eastAsia="华文楷体" w:cs="宋体"/>
          <w:color w:val="auto"/>
          <w:sz w:val="24"/>
          <w:szCs w:val="24"/>
        </w:rPr>
      </w:pPr>
      <w:bookmarkStart w:id="170" w:name="_Toc6397530"/>
      <w:r>
        <w:rPr>
          <w:rFonts w:hint="eastAsia" w:ascii="华文楷体" w:hAnsi="华文楷体" w:eastAsia="华文楷体" w:cs="宋体"/>
          <w:color w:val="auto"/>
          <w:sz w:val="24"/>
          <w:szCs w:val="24"/>
        </w:rPr>
        <w:t>联络和通知</w:t>
      </w:r>
      <w:bookmarkEnd w:id="170"/>
    </w:p>
    <w:p>
      <w:pPr>
        <w:pStyle w:val="3"/>
        <w:keepNext w:val="0"/>
        <w:keepLines w:val="0"/>
        <w:spacing w:before="0" w:after="0" w:line="360" w:lineRule="auto"/>
        <w:rPr>
          <w:rFonts w:ascii="华文楷体" w:hAnsi="华文楷体" w:eastAsia="华文楷体"/>
          <w:b w:val="0"/>
        </w:rPr>
      </w:pPr>
      <w:bookmarkStart w:id="171" w:name="_Ref352334722"/>
      <w:bookmarkStart w:id="172" w:name="_Ref352333346"/>
      <w:bookmarkStart w:id="173" w:name="_Toc356320892"/>
      <w:r>
        <w:rPr>
          <w:rFonts w:hint="eastAsia" w:ascii="华文楷体" w:hAnsi="华文楷体" w:eastAsia="华文楷体"/>
        </w:rPr>
        <w:t>19.1.</w:t>
      </w:r>
      <w:r>
        <w:rPr>
          <w:rFonts w:ascii="华文楷体" w:hAnsi="华文楷体" w:eastAsia="华文楷体"/>
          <w:b w:val="0"/>
        </w:rPr>
        <w:t>委托人、受益人与受托人应准确填写各自的通讯地址和联络方</w:t>
      </w:r>
    </w:p>
    <w:p>
      <w:pPr>
        <w:spacing w:line="360" w:lineRule="auto"/>
        <w:rPr>
          <w:rFonts w:ascii="华文楷体" w:hAnsi="华文楷体" w:eastAsia="华文楷体"/>
          <w:sz w:val="24"/>
        </w:rPr>
      </w:pPr>
      <w:r>
        <w:rPr>
          <w:rFonts w:ascii="华文楷体" w:hAnsi="华文楷体" w:eastAsia="华文楷体"/>
          <w:sz w:val="24"/>
        </w:rPr>
        <w:t>式。一方通讯地址或联络方式发生变化，应自发生变化之日起3个工作日内以书面形式通知另一方；如果在信托</w:t>
      </w:r>
      <w:r>
        <w:rPr>
          <w:rFonts w:hint="eastAsia" w:ascii="华文楷体" w:hAnsi="华文楷体" w:eastAsia="华文楷体"/>
          <w:sz w:val="24"/>
        </w:rPr>
        <w:t>终止</w:t>
      </w:r>
      <w:r>
        <w:rPr>
          <w:rFonts w:ascii="华文楷体" w:hAnsi="华文楷体" w:eastAsia="华文楷体"/>
          <w:sz w:val="24"/>
        </w:rPr>
        <w:t>期限届满前一日发生变化，应在</w:t>
      </w:r>
      <w:r>
        <w:rPr>
          <w:rFonts w:hint="eastAsia" w:ascii="华文楷体" w:hAnsi="华文楷体" w:eastAsia="华文楷体"/>
          <w:sz w:val="24"/>
        </w:rPr>
        <w:t>信托期限届满前</w:t>
      </w:r>
      <w:r>
        <w:rPr>
          <w:rFonts w:ascii="华文楷体" w:hAnsi="华文楷体" w:eastAsia="华文楷体"/>
          <w:sz w:val="24"/>
        </w:rPr>
        <w:t>以书面形式通知另一方。如果通讯地址或联络方式发生变化的一方未将有关变化及时通知另一方，除非法律另有规定，变动一方应对由此而造成的影响和损失负责</w:t>
      </w:r>
      <w:r>
        <w:rPr>
          <w:rFonts w:hint="eastAsia" w:ascii="华文楷体" w:hAnsi="华文楷体" w:eastAsia="华文楷体"/>
          <w:sz w:val="24"/>
        </w:rPr>
        <w:t>。</w:t>
      </w:r>
    </w:p>
    <w:bookmarkEnd w:id="171"/>
    <w:bookmarkEnd w:id="172"/>
    <w:bookmarkEnd w:id="173"/>
    <w:p>
      <w:pPr>
        <w:pStyle w:val="3"/>
        <w:keepNext w:val="0"/>
        <w:keepLines w:val="0"/>
        <w:spacing w:before="0" w:after="0" w:line="360" w:lineRule="auto"/>
        <w:rPr>
          <w:rFonts w:ascii="华文楷体" w:hAnsi="华文楷体" w:eastAsia="华文楷体"/>
        </w:rPr>
      </w:pPr>
      <w:r>
        <w:rPr>
          <w:rFonts w:hint="eastAsia" w:ascii="华文楷体" w:hAnsi="华文楷体" w:eastAsia="华文楷体"/>
        </w:rPr>
        <w:t>19.2. 具体联络方式</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r>
        <w:rPr>
          <w:rFonts w:hint="eastAsia" w:ascii="华文楷体" w:hAnsi="华文楷体" w:eastAsia="华文楷体" w:cs="宋体"/>
          <w:sz w:val="24"/>
        </w:rPr>
        <w:t>委托人及受益人：详见附件2《信托分配方案》</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r>
        <w:rPr>
          <w:rFonts w:hint="eastAsia" w:ascii="华文楷体" w:hAnsi="华文楷体" w:eastAsia="华文楷体" w:cs="宋体"/>
          <w:sz w:val="24"/>
        </w:rPr>
        <w:t>受托人：长安国际信托股份有限公司</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r>
        <w:rPr>
          <w:rFonts w:hint="eastAsia" w:ascii="华文楷体" w:hAnsi="华文楷体" w:eastAsia="华文楷体" w:cs="宋体"/>
          <w:sz w:val="24"/>
        </w:rPr>
        <w:t>法定代表人：高成程</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r>
        <w:rPr>
          <w:rFonts w:hint="eastAsia" w:ascii="华文楷体" w:hAnsi="华文楷体" w:eastAsia="华文楷体" w:cs="宋体"/>
          <w:sz w:val="24"/>
        </w:rPr>
        <w:t>地址：西安市高新区科技路33号高新国际商务中心23、24层</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r>
        <w:rPr>
          <w:rFonts w:hint="eastAsia" w:ascii="华文楷体" w:hAnsi="华文楷体" w:eastAsia="华文楷体" w:cs="宋体"/>
          <w:sz w:val="24"/>
        </w:rPr>
        <w:t>联系人：沈文娟</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r>
        <w:rPr>
          <w:rFonts w:hint="eastAsia" w:ascii="华文楷体" w:hAnsi="华文楷体" w:eastAsia="华文楷体" w:cs="宋体"/>
          <w:sz w:val="24"/>
        </w:rPr>
        <w:t>电话：13825294940</w:t>
      </w:r>
    </w:p>
    <w:p>
      <w:pPr>
        <w:tabs>
          <w:tab w:val="left" w:pos="567"/>
          <w:tab w:val="left" w:pos="851"/>
          <w:tab w:val="left" w:pos="993"/>
          <w:tab w:val="left" w:pos="1276"/>
        </w:tabs>
        <w:adjustRightInd w:val="0"/>
        <w:snapToGrid w:val="0"/>
        <w:spacing w:line="360" w:lineRule="auto"/>
        <w:ind w:left="567"/>
        <w:rPr>
          <w:rFonts w:ascii="华文楷体" w:hAnsi="华文楷体" w:eastAsia="华文楷体" w:cs="宋体"/>
          <w:sz w:val="24"/>
        </w:rPr>
      </w:pPr>
      <w:bookmarkStart w:id="174" w:name="_Toc421177154"/>
      <w:r>
        <w:rPr>
          <w:rFonts w:hint="eastAsia" w:ascii="华文楷体" w:hAnsi="华文楷体" w:eastAsia="华文楷体" w:cs="宋体"/>
          <w:sz w:val="24"/>
        </w:rPr>
        <w:t>邮箱：shenwenjuan@caitc.cn</w:t>
      </w:r>
    </w:p>
    <w:p>
      <w:pPr>
        <w:tabs>
          <w:tab w:val="left" w:pos="1276"/>
        </w:tabs>
        <w:spacing w:line="360" w:lineRule="auto"/>
        <w:ind w:firstLine="480" w:firstLineChars="200"/>
        <w:rPr>
          <w:rFonts w:ascii="华文楷体" w:hAnsi="华文楷体" w:eastAsia="华文楷体"/>
          <w:b/>
          <w:sz w:val="24"/>
        </w:rPr>
      </w:pPr>
      <w:r>
        <w:rPr>
          <w:rFonts w:hint="eastAsia" w:ascii="华文楷体" w:hAnsi="华文楷体" w:eastAsia="华文楷体"/>
          <w:b/>
          <w:sz w:val="24"/>
        </w:rPr>
        <w:t>本合同由以下双方于下述日期签署。双方确认，在签署本合同时，双方已就全部条款进行了详细地说明和讨论，双方对本合同的全部条款均无疑义，并对当事人有关权利义务与责任限制或免除条款的法律含义有准确无误的理解。</w:t>
      </w:r>
      <w:bookmarkEnd w:id="174"/>
      <w:bookmarkStart w:id="175" w:name="_Toc421177155"/>
      <w:r>
        <w:rPr>
          <w:rFonts w:hint="eastAsia" w:ascii="华文楷体" w:hAnsi="华文楷体" w:eastAsia="华文楷体"/>
          <w:b/>
          <w:sz w:val="24"/>
        </w:rPr>
        <w:t>（以下无正文）</w:t>
      </w:r>
    </w:p>
    <w:p>
      <w:pPr>
        <w:tabs>
          <w:tab w:val="left" w:pos="1276"/>
        </w:tabs>
        <w:spacing w:line="360" w:lineRule="auto"/>
        <w:rPr>
          <w:rFonts w:ascii="华文楷体" w:hAnsi="华文楷体" w:eastAsia="华文楷体"/>
          <w:b/>
          <w:sz w:val="24"/>
        </w:rPr>
      </w:pPr>
      <w:r>
        <w:rPr>
          <w:rFonts w:ascii="华文楷体" w:hAnsi="华文楷体" w:eastAsia="华文楷体"/>
          <w:b/>
          <w:sz w:val="24"/>
        </w:rPr>
        <w:br w:type="page"/>
      </w:r>
      <w:r>
        <w:rPr>
          <w:rFonts w:hint="eastAsia" w:ascii="华文楷体" w:hAnsi="华文楷体" w:eastAsia="华文楷体"/>
          <w:b/>
          <w:sz w:val="24"/>
        </w:rPr>
        <w:t>【此页为编号“</w:t>
      </w:r>
      <w:r>
        <w:rPr>
          <w:rFonts w:hint="eastAsia" w:ascii="华文楷体" w:hAnsi="华文楷体" w:eastAsia="华文楷体"/>
          <w:b/>
          <w:snapToGrid w:val="0"/>
          <w:kern w:val="0"/>
          <w:sz w:val="24"/>
        </w:rPr>
        <w:t>长单恒字</w:t>
      </w:r>
      <w:r>
        <w:rPr>
          <w:rFonts w:ascii="华文楷体" w:hAnsi="华文楷体" w:eastAsia="华文楷体"/>
          <w:b/>
          <w:snapToGrid w:val="0"/>
          <w:kern w:val="0"/>
          <w:sz w:val="24"/>
        </w:rPr>
        <w:t>2019002号19661002-</w:t>
      </w:r>
      <w:r>
        <w:rPr>
          <w:rFonts w:hint="eastAsia" w:ascii="华文楷体" w:hAnsi="华文楷体" w:eastAsia="华文楷体"/>
          <w:b/>
          <w:snapToGrid w:val="0"/>
          <w:kern w:val="0"/>
          <w:sz w:val="24"/>
        </w:rPr>
        <w:t>1</w:t>
      </w:r>
      <w:r>
        <w:rPr>
          <w:rFonts w:hint="eastAsia" w:ascii="华文楷体" w:hAnsi="华文楷体" w:eastAsia="华文楷体"/>
          <w:b/>
          <w:sz w:val="24"/>
        </w:rPr>
        <w:t>”</w:t>
      </w:r>
      <w:r>
        <w:rPr>
          <w:rFonts w:hint="eastAsia" w:ascii="华文楷体" w:hAnsi="华文楷体" w:eastAsia="华文楷体"/>
          <w:b/>
          <w:kern w:val="0"/>
          <w:sz w:val="24"/>
        </w:rPr>
        <w:t>的</w:t>
      </w:r>
      <w:r>
        <w:rPr>
          <w:rFonts w:hint="eastAsia" w:ascii="华文楷体" w:hAnsi="华文楷体" w:eastAsia="华文楷体"/>
          <w:b/>
          <w:sz w:val="24"/>
        </w:rPr>
        <w:t>《</w:t>
      </w:r>
      <w:r>
        <w:rPr>
          <w:rFonts w:hint="eastAsia" w:ascii="华文楷体" w:hAnsi="华文楷体" w:eastAsia="华文楷体" w:cs="宋体"/>
          <w:b/>
          <w:sz w:val="24"/>
        </w:rPr>
        <w:t>长安信托</w:t>
      </w:r>
      <w:r>
        <w:rPr>
          <w:rFonts w:ascii="华文楷体" w:hAnsi="华文楷体" w:eastAsia="华文楷体" w:cs="MS Mincho"/>
          <w:b/>
          <w:sz w:val="24"/>
        </w:rPr>
        <w:t>▪</w:t>
      </w:r>
      <w:r>
        <w:rPr>
          <w:rFonts w:hint="eastAsia" w:ascii="华文楷体" w:hAnsi="华文楷体" w:eastAsia="华文楷体" w:cs="宋体"/>
          <w:b/>
          <w:sz w:val="24"/>
        </w:rPr>
        <w:t>恒字</w:t>
      </w:r>
      <w:r>
        <w:rPr>
          <w:rFonts w:hint="eastAsia" w:ascii="华文楷体" w:hAnsi="华文楷体" w:eastAsia="华文楷体"/>
          <w:b/>
          <w:sz w:val="24"/>
        </w:rPr>
        <w:t>2019002号家族信托之信托合同》之签署页，无正文】</w:t>
      </w:r>
      <w:bookmarkEnd w:id="175"/>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ind w:firstLine="480" w:firstLineChars="200"/>
        <w:rPr>
          <w:rFonts w:ascii="华文楷体" w:hAnsi="华文楷体" w:eastAsia="华文楷体"/>
          <w:b/>
          <w:sz w:val="24"/>
        </w:rPr>
      </w:pPr>
    </w:p>
    <w:p>
      <w:pPr>
        <w:tabs>
          <w:tab w:val="left" w:pos="1276"/>
        </w:tabs>
        <w:adjustRightInd w:val="0"/>
        <w:snapToGrid w:val="0"/>
        <w:spacing w:line="360" w:lineRule="auto"/>
        <w:rPr>
          <w:rFonts w:ascii="华文楷体" w:hAnsi="华文楷体" w:eastAsia="华文楷体"/>
          <w:b/>
          <w:sz w:val="24"/>
        </w:rPr>
      </w:pPr>
      <w:r>
        <w:rPr>
          <w:rFonts w:hint="eastAsia" w:ascii="华文楷体" w:hAnsi="华文楷体" w:eastAsia="华文楷体"/>
          <w:b/>
          <w:sz w:val="24"/>
        </w:rPr>
        <w:t>委托人：</w:t>
      </w:r>
    </w:p>
    <w:p>
      <w:pPr>
        <w:tabs>
          <w:tab w:val="left" w:pos="1276"/>
        </w:tabs>
        <w:adjustRightInd w:val="0"/>
        <w:snapToGrid w:val="0"/>
        <w:spacing w:line="360" w:lineRule="auto"/>
        <w:rPr>
          <w:rFonts w:ascii="华文楷体" w:hAnsi="华文楷体" w:eastAsia="华文楷体"/>
          <w:sz w:val="24"/>
        </w:rPr>
      </w:pPr>
      <w:r>
        <w:rPr>
          <w:rFonts w:hint="eastAsia" w:ascii="华文楷体" w:hAnsi="华文楷体" w:eastAsia="华文楷体"/>
          <w:sz w:val="24"/>
        </w:rPr>
        <w:t>自然人（签字）</w:t>
      </w: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rPr>
          <w:rFonts w:ascii="华文楷体" w:hAnsi="华文楷体" w:eastAsia="华文楷体"/>
          <w:sz w:val="24"/>
        </w:rPr>
      </w:pPr>
    </w:p>
    <w:p>
      <w:pPr>
        <w:tabs>
          <w:tab w:val="left" w:pos="1276"/>
        </w:tabs>
        <w:adjustRightInd w:val="0"/>
        <w:snapToGrid w:val="0"/>
        <w:spacing w:line="360" w:lineRule="auto"/>
        <w:rPr>
          <w:rFonts w:ascii="华文楷体" w:hAnsi="华文楷体" w:eastAsia="华文楷体"/>
          <w:b/>
          <w:sz w:val="24"/>
        </w:rPr>
      </w:pPr>
      <w:r>
        <w:rPr>
          <w:rFonts w:hint="eastAsia" w:ascii="华文楷体" w:hAnsi="华文楷体" w:eastAsia="华文楷体"/>
          <w:b/>
          <w:sz w:val="24"/>
        </w:rPr>
        <w:t>受托人：</w:t>
      </w:r>
    </w:p>
    <w:p>
      <w:pPr>
        <w:tabs>
          <w:tab w:val="left" w:pos="1276"/>
        </w:tabs>
        <w:adjustRightInd w:val="0"/>
        <w:snapToGrid w:val="0"/>
        <w:spacing w:line="360" w:lineRule="auto"/>
        <w:rPr>
          <w:rFonts w:ascii="华文楷体" w:hAnsi="华文楷体" w:eastAsia="华文楷体"/>
          <w:sz w:val="24"/>
        </w:rPr>
      </w:pPr>
      <w:r>
        <w:rPr>
          <w:rFonts w:hint="eastAsia" w:ascii="华文楷体" w:hAnsi="华文楷体" w:eastAsia="华文楷体"/>
          <w:sz w:val="24"/>
        </w:rPr>
        <w:t>长安国际信托股份有限公司（公章或合同专用章）</w:t>
      </w:r>
    </w:p>
    <w:p>
      <w:pPr>
        <w:tabs>
          <w:tab w:val="left" w:pos="1276"/>
        </w:tabs>
        <w:adjustRightInd w:val="0"/>
        <w:snapToGrid w:val="0"/>
        <w:spacing w:line="360" w:lineRule="auto"/>
        <w:rPr>
          <w:rFonts w:ascii="华文楷体" w:hAnsi="华文楷体" w:eastAsia="华文楷体"/>
          <w:sz w:val="24"/>
        </w:rPr>
      </w:pPr>
      <w:r>
        <w:rPr>
          <w:rFonts w:hint="eastAsia" w:ascii="华文楷体" w:hAnsi="华文楷体" w:eastAsia="华文楷体"/>
          <w:sz w:val="24"/>
        </w:rPr>
        <w:t>法定代表人或授权代表（签字或盖章）：</w:t>
      </w: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firstLine="480" w:firstLineChars="200"/>
        <w:rPr>
          <w:rFonts w:ascii="华文楷体" w:hAnsi="华文楷体" w:eastAsia="华文楷体"/>
          <w:sz w:val="24"/>
        </w:rPr>
      </w:pPr>
    </w:p>
    <w:p>
      <w:pPr>
        <w:tabs>
          <w:tab w:val="left" w:pos="1276"/>
        </w:tabs>
        <w:adjustRightInd w:val="0"/>
        <w:snapToGrid w:val="0"/>
        <w:spacing w:line="360" w:lineRule="auto"/>
        <w:ind w:right="721"/>
        <w:rPr>
          <w:rFonts w:ascii="华文楷体" w:hAnsi="华文楷体" w:eastAsia="华文楷体"/>
          <w:sz w:val="24"/>
        </w:rPr>
      </w:pPr>
      <w:r>
        <w:rPr>
          <w:rFonts w:hint="eastAsia" w:ascii="华文楷体" w:hAnsi="华文楷体" w:eastAsia="华文楷体"/>
          <w:sz w:val="24"/>
        </w:rPr>
        <w:t>签署日期：    年</w:t>
      </w:r>
      <w:bookmarkStart w:id="176" w:name="Text30"/>
      <w:bookmarkEnd w:id="176"/>
      <w:r>
        <w:rPr>
          <w:rFonts w:hint="eastAsia" w:ascii="华文楷体" w:hAnsi="华文楷体" w:eastAsia="华文楷体"/>
          <w:sz w:val="24"/>
        </w:rPr>
        <w:t xml:space="preserve">   月   日</w:t>
      </w:r>
    </w:p>
    <w:p>
      <w:pPr>
        <w:tabs>
          <w:tab w:val="left" w:pos="1276"/>
        </w:tabs>
        <w:adjustRightInd w:val="0"/>
        <w:snapToGrid w:val="0"/>
        <w:spacing w:line="360" w:lineRule="auto"/>
        <w:ind w:right="1444"/>
        <w:rPr>
          <w:rFonts w:ascii="华文楷体" w:hAnsi="华文楷体" w:eastAsia="华文楷体"/>
          <w:b/>
          <w:sz w:val="24"/>
        </w:rPr>
      </w:pPr>
      <w:r>
        <w:rPr>
          <w:rFonts w:hint="eastAsia" w:ascii="华文楷体" w:hAnsi="华文楷体" w:eastAsia="华文楷体"/>
          <w:sz w:val="24"/>
        </w:rPr>
        <w:t>合同签署及履行地点：陕西省西安市</w:t>
      </w:r>
    </w:p>
    <w:p>
      <w:pPr>
        <w:pStyle w:val="2"/>
        <w:keepNext w:val="0"/>
        <w:spacing w:line="360" w:lineRule="auto"/>
        <w:jc w:val="left"/>
        <w:rPr>
          <w:rFonts w:ascii="华文楷体" w:hAnsi="华文楷体" w:eastAsia="华文楷体"/>
          <w:color w:val="auto"/>
          <w:sz w:val="24"/>
          <w:szCs w:val="24"/>
        </w:rPr>
      </w:pPr>
      <w:bookmarkStart w:id="177" w:name="_Toc490215629"/>
      <w:bookmarkStart w:id="178" w:name="_Toc6397531"/>
      <w:bookmarkStart w:id="179" w:name="_Toc490668773"/>
      <w:bookmarkStart w:id="180" w:name="_Toc473107721"/>
      <w:bookmarkStart w:id="181" w:name="_Toc485299686"/>
      <w:r>
        <w:rPr>
          <w:rFonts w:hint="eastAsia" w:ascii="华文楷体" w:hAnsi="华文楷体" w:eastAsia="华文楷体"/>
          <w:color w:val="auto"/>
          <w:sz w:val="24"/>
          <w:szCs w:val="24"/>
        </w:rPr>
        <w:t>附件1《个人财产申明函》</w:t>
      </w:r>
      <w:bookmarkEnd w:id="177"/>
      <w:bookmarkEnd w:id="178"/>
      <w:bookmarkEnd w:id="179"/>
      <w:bookmarkEnd w:id="180"/>
      <w:bookmarkEnd w:id="181"/>
    </w:p>
    <w:p>
      <w:pPr>
        <w:spacing w:line="360" w:lineRule="auto"/>
        <w:rPr>
          <w:rFonts w:ascii="华文楷体" w:hAnsi="华文楷体" w:eastAsia="华文楷体"/>
        </w:rPr>
      </w:pPr>
    </w:p>
    <w:p>
      <w:pPr>
        <w:widowControl/>
        <w:tabs>
          <w:tab w:val="left" w:pos="1320"/>
        </w:tabs>
        <w:spacing w:line="360" w:lineRule="auto"/>
        <w:jc w:val="center"/>
        <w:rPr>
          <w:rFonts w:ascii="华文楷体" w:hAnsi="华文楷体" w:eastAsia="华文楷体"/>
          <w:b/>
          <w:color w:val="000000"/>
          <w:kern w:val="0"/>
          <w:sz w:val="24"/>
        </w:rPr>
      </w:pPr>
      <w:r>
        <w:rPr>
          <w:rFonts w:hint="eastAsia" w:ascii="华文楷体" w:hAnsi="华文楷体" w:eastAsia="华文楷体"/>
          <w:b/>
          <w:color w:val="000000"/>
          <w:kern w:val="0"/>
          <w:sz w:val="24"/>
        </w:rPr>
        <w:t>个人财产申明函</w:t>
      </w:r>
    </w:p>
    <w:p>
      <w:pPr>
        <w:spacing w:line="360" w:lineRule="auto"/>
        <w:rPr>
          <w:rFonts w:ascii="华文楷体" w:hAnsi="华文楷体" w:eastAsia="华文楷体"/>
          <w:sz w:val="24"/>
        </w:rPr>
      </w:pPr>
      <w:r>
        <w:rPr>
          <w:rFonts w:ascii="华文楷体" w:hAnsi="华文楷体" w:eastAsia="华文楷体"/>
          <w:sz w:val="24"/>
        </w:rPr>
        <w:t>致：长安国际信托股份有限公司（作为长安信托▪</w:t>
      </w:r>
      <w:r>
        <w:rPr>
          <w:rFonts w:hint="eastAsia" w:ascii="华文楷体" w:hAnsi="华文楷体" w:eastAsia="华文楷体"/>
          <w:sz w:val="24"/>
        </w:rPr>
        <w:t>恒字2019002号家族信托</w:t>
      </w:r>
      <w:r>
        <w:rPr>
          <w:rFonts w:ascii="华文楷体" w:hAnsi="华文楷体" w:eastAsia="华文楷体"/>
          <w:sz w:val="24"/>
        </w:rPr>
        <w:t>之受托人</w:t>
      </w:r>
      <w:r>
        <w:rPr>
          <w:rFonts w:hint="eastAsia" w:ascii="华文楷体" w:hAnsi="华文楷体" w:eastAsia="华文楷体"/>
          <w:sz w:val="24"/>
        </w:rPr>
        <w:t>，以下简称</w:t>
      </w:r>
      <w:r>
        <w:rPr>
          <w:rFonts w:ascii="华文楷体" w:hAnsi="华文楷体" w:eastAsia="华文楷体"/>
          <w:sz w:val="24"/>
        </w:rPr>
        <w:t>“贵司”）：</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本人邵凤艳</w:t>
      </w:r>
      <w:r>
        <w:rPr>
          <w:rFonts w:ascii="华文楷体" w:hAnsi="华文楷体" w:eastAsia="华文楷体"/>
          <w:sz w:val="24"/>
        </w:rPr>
        <w:t>(</w:t>
      </w:r>
      <w:r>
        <w:rPr>
          <w:rFonts w:hint="eastAsia" w:ascii="华文楷体" w:hAnsi="华文楷体" w:eastAsia="华文楷体"/>
          <w:sz w:val="24"/>
        </w:rPr>
        <w:t>证件类型：居民身份证；证件</w:t>
      </w:r>
      <w:r>
        <w:rPr>
          <w:rFonts w:ascii="华文楷体" w:hAnsi="华文楷体" w:eastAsia="华文楷体"/>
          <w:sz w:val="24"/>
        </w:rPr>
        <w:t>号码：</w:t>
      </w:r>
      <w:r>
        <w:rPr>
          <w:rFonts w:hint="eastAsia" w:ascii="华文楷体" w:hAnsi="华文楷体" w:eastAsia="华文楷体"/>
          <w:sz w:val="24"/>
        </w:rPr>
        <w:t>120107197303116924</w:t>
      </w:r>
      <w:r>
        <w:rPr>
          <w:rFonts w:ascii="华文楷体" w:hAnsi="华文楷体" w:eastAsia="华文楷体"/>
          <w:sz w:val="24"/>
        </w:rPr>
        <w:t>)</w:t>
      </w:r>
      <w:r>
        <w:rPr>
          <w:rFonts w:hint="eastAsia" w:ascii="华文楷体" w:hAnsi="华文楷体" w:eastAsia="华文楷体"/>
          <w:sz w:val="24"/>
        </w:rPr>
        <w:t>系长安信托</w:t>
      </w:r>
      <w:r>
        <w:rPr>
          <w:rFonts w:ascii="华文楷体" w:hAnsi="华文楷体" w:eastAsia="华文楷体"/>
          <w:sz w:val="24"/>
        </w:rPr>
        <w:t>▪</w:t>
      </w:r>
      <w:r>
        <w:rPr>
          <w:rFonts w:hint="eastAsia" w:ascii="华文楷体" w:hAnsi="华文楷体" w:eastAsia="华文楷体"/>
          <w:sz w:val="24"/>
        </w:rPr>
        <w:t>恒字2019002号家族信托</w:t>
      </w:r>
      <w:r>
        <w:rPr>
          <w:rFonts w:ascii="华文楷体" w:hAnsi="华文楷体" w:eastAsia="华文楷体"/>
          <w:sz w:val="24"/>
        </w:rPr>
        <w:t>（以下简称“本信托”）</w:t>
      </w:r>
      <w:r>
        <w:rPr>
          <w:rFonts w:hint="eastAsia" w:ascii="华文楷体" w:hAnsi="华文楷体" w:eastAsia="华文楷体"/>
          <w:sz w:val="24"/>
        </w:rPr>
        <w:t>委托人。本人申明：本人交付本信托的财产（包括首次交付以及后续追加的财产）为本人合法所有的个人财产，与其他人无关，不为夫妻共同财产或与其他人共有的财产。本人具有完全处置权。信托财产不包括在本人及配偶已设立的遗嘱中，不与遗嘱分割的其他财产相冲突。</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若因本人的不实申明导致相关不利的法律后果的，该不利的法律后果由信托财产承担并由本人承担无限连带责任。</w:t>
      </w:r>
    </w:p>
    <w:p>
      <w:pPr>
        <w:spacing w:line="360" w:lineRule="auto"/>
        <w:ind w:firstLine="480" w:firstLineChars="200"/>
        <w:rPr>
          <w:rFonts w:ascii="华文楷体" w:hAnsi="华文楷体" w:eastAsia="华文楷体"/>
          <w:sz w:val="24"/>
        </w:rPr>
      </w:pPr>
      <w:r>
        <w:rPr>
          <w:rFonts w:ascii="华文楷体" w:hAnsi="华文楷体" w:eastAsia="华文楷体"/>
          <w:sz w:val="24"/>
        </w:rPr>
        <w:t>本人已仔细阅读并完全理解本</w:t>
      </w:r>
      <w:r>
        <w:rPr>
          <w:rFonts w:hint="eastAsia" w:ascii="华文楷体" w:hAnsi="华文楷体" w:eastAsia="华文楷体"/>
          <w:sz w:val="24"/>
        </w:rPr>
        <w:t>申明</w:t>
      </w:r>
      <w:r>
        <w:rPr>
          <w:rFonts w:ascii="华文楷体" w:hAnsi="华文楷体" w:eastAsia="华文楷体"/>
          <w:sz w:val="24"/>
        </w:rPr>
        <w:t>函及《长安信托▪</w:t>
      </w:r>
      <w:r>
        <w:rPr>
          <w:rFonts w:hint="eastAsia" w:ascii="华文楷体" w:hAnsi="华文楷体" w:eastAsia="华文楷体"/>
          <w:sz w:val="24"/>
        </w:rPr>
        <w:t>恒字2019002号家族信托信托</w:t>
      </w:r>
      <w:r>
        <w:rPr>
          <w:rFonts w:ascii="华文楷体" w:hAnsi="华文楷体" w:eastAsia="华文楷体"/>
          <w:sz w:val="24"/>
        </w:rPr>
        <w:t>合同》（合同编号：</w:t>
      </w:r>
      <w:r>
        <w:rPr>
          <w:rFonts w:hint="eastAsia" w:ascii="华文楷体" w:hAnsi="华文楷体" w:eastAsia="华文楷体"/>
          <w:sz w:val="24"/>
        </w:rPr>
        <w:t>长单恒字2019002号19661002-1</w:t>
      </w:r>
      <w:r>
        <w:rPr>
          <w:rFonts w:ascii="华文楷体" w:hAnsi="华文楷体" w:eastAsia="华文楷体"/>
          <w:sz w:val="24"/>
        </w:rPr>
        <w:t>）（以下简称“《信托合同》”），尤其是风险提示条款，充分了解并清楚知晓本信托的投资风险，并愿意承担一切风险。</w:t>
      </w:r>
    </w:p>
    <w:p>
      <w:pPr>
        <w:spacing w:line="360" w:lineRule="auto"/>
        <w:ind w:firstLine="480" w:firstLineChars="200"/>
        <w:rPr>
          <w:rFonts w:ascii="华文楷体" w:hAnsi="华文楷体" w:eastAsia="华文楷体"/>
          <w:sz w:val="24"/>
        </w:rPr>
      </w:pPr>
      <w:r>
        <w:rPr>
          <w:rFonts w:ascii="华文楷体" w:hAnsi="华文楷体" w:eastAsia="华文楷体"/>
          <w:sz w:val="24"/>
        </w:rPr>
        <w:t>本</w:t>
      </w:r>
      <w:r>
        <w:rPr>
          <w:rFonts w:hint="eastAsia" w:ascii="华文楷体" w:hAnsi="华文楷体" w:eastAsia="华文楷体"/>
          <w:sz w:val="24"/>
        </w:rPr>
        <w:t>申明</w:t>
      </w:r>
      <w:r>
        <w:rPr>
          <w:rFonts w:ascii="华文楷体" w:hAnsi="华文楷体" w:eastAsia="华文楷体"/>
          <w:sz w:val="24"/>
        </w:rPr>
        <w:t>函为不可撤销的和不可变更的同意和确认。本</w:t>
      </w:r>
      <w:r>
        <w:rPr>
          <w:rFonts w:hint="eastAsia" w:ascii="华文楷体" w:hAnsi="华文楷体" w:eastAsia="华文楷体"/>
          <w:sz w:val="24"/>
        </w:rPr>
        <w:t>申明</w:t>
      </w:r>
      <w:r>
        <w:rPr>
          <w:rFonts w:ascii="华文楷体" w:hAnsi="华文楷体" w:eastAsia="华文楷体"/>
          <w:sz w:val="24"/>
        </w:rPr>
        <w:t>函于本人签字之日起生效。本</w:t>
      </w:r>
      <w:r>
        <w:rPr>
          <w:rFonts w:hint="eastAsia" w:ascii="华文楷体" w:hAnsi="华文楷体" w:eastAsia="华文楷体"/>
          <w:sz w:val="24"/>
        </w:rPr>
        <w:t>申明</w:t>
      </w:r>
      <w:r>
        <w:rPr>
          <w:rFonts w:ascii="华文楷体" w:hAnsi="华文楷体" w:eastAsia="华文楷体"/>
          <w:sz w:val="24"/>
        </w:rPr>
        <w:t>函一经生效，即构成对本人合法的、有效的和有约束力的义务。本</w:t>
      </w:r>
      <w:r>
        <w:rPr>
          <w:rFonts w:hint="eastAsia" w:ascii="华文楷体" w:hAnsi="华文楷体" w:eastAsia="华文楷体"/>
          <w:sz w:val="24"/>
        </w:rPr>
        <w:t>申明</w:t>
      </w:r>
      <w:r>
        <w:rPr>
          <w:rFonts w:ascii="华文楷体" w:hAnsi="华文楷体" w:eastAsia="华文楷体"/>
          <w:sz w:val="24"/>
        </w:rPr>
        <w:t>函构成《信托合同》不可分割的组成部分。</w:t>
      </w:r>
    </w:p>
    <w:p>
      <w:pPr>
        <w:spacing w:line="360" w:lineRule="auto"/>
        <w:ind w:firstLine="480" w:firstLineChars="200"/>
        <w:rPr>
          <w:rFonts w:ascii="华文楷体" w:hAnsi="华文楷体" w:eastAsia="华文楷体"/>
          <w:sz w:val="24"/>
        </w:rPr>
      </w:pPr>
      <w:r>
        <w:rPr>
          <w:rFonts w:ascii="华文楷体" w:hAnsi="华文楷体" w:eastAsia="华文楷体"/>
          <w:sz w:val="24"/>
        </w:rPr>
        <w:t>如无相反约定，本</w:t>
      </w:r>
      <w:r>
        <w:rPr>
          <w:rFonts w:hint="eastAsia" w:ascii="华文楷体" w:hAnsi="华文楷体" w:eastAsia="华文楷体"/>
          <w:sz w:val="24"/>
        </w:rPr>
        <w:t>申明</w:t>
      </w:r>
      <w:r>
        <w:rPr>
          <w:rFonts w:ascii="华文楷体" w:hAnsi="华文楷体" w:eastAsia="华文楷体"/>
          <w:sz w:val="24"/>
        </w:rPr>
        <w:t>函中的词语和简称与《信托合同》所定义的相同词语和简称，具有相同的含义。</w:t>
      </w:r>
    </w:p>
    <w:p>
      <w:pPr>
        <w:pStyle w:val="57"/>
        <w:rPr>
          <w:rFonts w:ascii="华文楷体" w:hAnsi="华文楷体" w:eastAsia="华文楷体"/>
          <w:b w:val="0"/>
        </w:rPr>
        <w:sectPr>
          <w:pgSz w:w="11906" w:h="16838"/>
          <w:pgMar w:top="1440" w:right="1797" w:bottom="1135" w:left="2160" w:header="851" w:footer="850" w:gutter="0"/>
          <w:cols w:space="720" w:num="1"/>
          <w:docGrid w:type="lines" w:linePitch="312" w:charSpace="0"/>
        </w:sectPr>
      </w:pPr>
      <w:r>
        <w:rPr>
          <w:rFonts w:hint="eastAsia" w:ascii="华文楷体" w:hAnsi="华文楷体" w:eastAsia="华文楷体"/>
          <w:b w:val="0"/>
        </w:rPr>
        <w:t>委托人</w:t>
      </w:r>
      <w:r>
        <w:rPr>
          <w:rFonts w:ascii="华文楷体" w:hAnsi="华文楷体" w:eastAsia="华文楷体"/>
          <w:b w:val="0"/>
        </w:rPr>
        <w:t>（签字）：                                 年  月  日</w:t>
      </w:r>
    </w:p>
    <w:p>
      <w:pPr>
        <w:pStyle w:val="2"/>
        <w:keepNext w:val="0"/>
        <w:spacing w:line="360" w:lineRule="auto"/>
        <w:jc w:val="left"/>
        <w:rPr>
          <w:rFonts w:ascii="华文楷体" w:hAnsi="华文楷体" w:eastAsia="华文楷体"/>
          <w:color w:val="auto"/>
          <w:sz w:val="24"/>
          <w:szCs w:val="24"/>
        </w:rPr>
      </w:pPr>
      <w:bookmarkStart w:id="182" w:name="_Toc6397532"/>
      <w:bookmarkStart w:id="183" w:name="_Toc473107723"/>
      <w:bookmarkStart w:id="184" w:name="_Toc473107722"/>
      <w:r>
        <w:rPr>
          <w:rFonts w:hint="eastAsia" w:ascii="华文楷体" w:hAnsi="华文楷体" w:eastAsia="华文楷体"/>
          <w:color w:val="auto"/>
          <w:sz w:val="24"/>
          <w:szCs w:val="24"/>
        </w:rPr>
        <w:t>附件2《信托分配方案》</w:t>
      </w:r>
      <w:bookmarkEnd w:id="182"/>
    </w:p>
    <w:p>
      <w:pPr>
        <w:adjustRightInd w:val="0"/>
        <w:snapToGrid w:val="0"/>
        <w:spacing w:line="360" w:lineRule="auto"/>
        <w:ind w:firstLine="480" w:firstLineChars="200"/>
        <w:rPr>
          <w:rFonts w:ascii="华文楷体" w:hAnsi="华文楷体" w:eastAsia="华文楷体" w:cs="宋体"/>
          <w:bCs/>
          <w:sz w:val="24"/>
        </w:rPr>
      </w:pPr>
    </w:p>
    <w:tbl>
      <w:tblPr>
        <w:tblStyle w:val="23"/>
        <w:tblW w:w="10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
        <w:gridCol w:w="2133"/>
        <w:gridCol w:w="141"/>
        <w:gridCol w:w="1528"/>
        <w:gridCol w:w="137"/>
        <w:gridCol w:w="6073"/>
        <w:gridCol w:w="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shd w:val="pct10" w:color="auto" w:fill="auto"/>
            <w:vAlign w:val="center"/>
          </w:tcPr>
          <w:p>
            <w:pPr>
              <w:spacing w:line="360" w:lineRule="auto"/>
              <w:jc w:val="center"/>
              <w:rPr>
                <w:rFonts w:ascii="华文楷体" w:hAnsi="华文楷体" w:eastAsia="华文楷体"/>
                <w:b/>
                <w:sz w:val="18"/>
                <w:szCs w:val="18"/>
              </w:rPr>
            </w:pPr>
            <w:r>
              <w:rPr>
                <w:rFonts w:ascii="华文楷体" w:hAnsi="华文楷体" w:eastAsia="华文楷体"/>
                <w:b/>
                <w:sz w:val="18"/>
                <w:szCs w:val="18"/>
              </w:rPr>
              <w:t>条款</w:t>
            </w:r>
          </w:p>
          <w:p>
            <w:pPr>
              <w:spacing w:line="360" w:lineRule="auto"/>
              <w:jc w:val="center"/>
              <w:rPr>
                <w:rFonts w:ascii="华文楷体" w:hAnsi="华文楷体" w:eastAsia="华文楷体"/>
                <w:b/>
                <w:sz w:val="18"/>
                <w:szCs w:val="18"/>
              </w:rPr>
            </w:pPr>
            <w:r>
              <w:rPr>
                <w:rFonts w:ascii="华文楷体" w:hAnsi="华文楷体" w:eastAsia="华文楷体"/>
                <w:b/>
                <w:sz w:val="18"/>
                <w:szCs w:val="18"/>
              </w:rPr>
              <w:t>编号</w:t>
            </w:r>
          </w:p>
        </w:tc>
        <w:tc>
          <w:tcPr>
            <w:tcW w:w="10012" w:type="dxa"/>
            <w:gridSpan w:val="5"/>
            <w:shd w:val="pct10" w:color="auto" w:fill="auto"/>
            <w:vAlign w:val="center"/>
          </w:tcPr>
          <w:p>
            <w:pPr>
              <w:spacing w:line="360" w:lineRule="auto"/>
              <w:jc w:val="center"/>
              <w:rPr>
                <w:rFonts w:ascii="华文楷体" w:hAnsi="华文楷体" w:eastAsia="华文楷体"/>
                <w:b/>
                <w:sz w:val="18"/>
                <w:szCs w:val="18"/>
              </w:rPr>
            </w:pPr>
            <w:r>
              <w:rPr>
                <w:rFonts w:ascii="华文楷体" w:hAnsi="华文楷体" w:eastAsia="华文楷体"/>
                <w:b/>
                <w:sz w:val="18"/>
                <w:szCs w:val="18"/>
              </w:rPr>
              <w:t>信托基本安排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Merge w:val="restart"/>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Merge w:val="restart"/>
            <w:vAlign w:val="center"/>
          </w:tcPr>
          <w:p>
            <w:pPr>
              <w:spacing w:line="276" w:lineRule="auto"/>
              <w:jc w:val="center"/>
              <w:rPr>
                <w:rFonts w:ascii="华文楷体" w:hAnsi="华文楷体" w:eastAsia="华文楷体"/>
                <w:b/>
                <w:sz w:val="18"/>
                <w:szCs w:val="18"/>
              </w:rPr>
            </w:pPr>
            <w:r>
              <w:rPr>
                <w:rFonts w:ascii="华文楷体" w:hAnsi="华文楷体" w:eastAsia="华文楷体"/>
                <w:b/>
                <w:sz w:val="18"/>
                <w:szCs w:val="18"/>
              </w:rPr>
              <w:t>委托人基本信息</w:t>
            </w:r>
          </w:p>
        </w:tc>
        <w:tc>
          <w:tcPr>
            <w:tcW w:w="1665" w:type="dxa"/>
            <w:gridSpan w:val="2"/>
            <w:vAlign w:val="center"/>
          </w:tcPr>
          <w:p>
            <w:pPr>
              <w:spacing w:line="276" w:lineRule="auto"/>
              <w:jc w:val="center"/>
              <w:rPr>
                <w:rFonts w:ascii="华文楷体" w:hAnsi="华文楷体" w:eastAsia="华文楷体"/>
                <w:sz w:val="18"/>
                <w:szCs w:val="18"/>
              </w:rPr>
            </w:pPr>
            <w:r>
              <w:rPr>
                <w:rFonts w:ascii="华文楷体" w:hAnsi="华文楷体" w:eastAsia="华文楷体"/>
                <w:sz w:val="18"/>
                <w:szCs w:val="18"/>
              </w:rPr>
              <w:t>个人姓名</w:t>
            </w:r>
          </w:p>
        </w:tc>
        <w:tc>
          <w:tcPr>
            <w:tcW w:w="6073" w:type="dxa"/>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邵凤艳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Merge w:val="continue"/>
            <w:vAlign w:val="center"/>
          </w:tcPr>
          <w:p>
            <w:pPr>
              <w:spacing w:line="276" w:lineRule="auto"/>
              <w:jc w:val="center"/>
              <w:rPr>
                <w:rFonts w:ascii="华文楷体" w:hAnsi="华文楷体" w:eastAsia="华文楷体"/>
                <w:b/>
                <w:sz w:val="18"/>
                <w:szCs w:val="18"/>
              </w:rPr>
            </w:pPr>
          </w:p>
        </w:tc>
        <w:tc>
          <w:tcPr>
            <w:tcW w:w="1665" w:type="dxa"/>
            <w:gridSpan w:val="2"/>
            <w:vAlign w:val="center"/>
          </w:tcPr>
          <w:p>
            <w:pPr>
              <w:spacing w:line="276" w:lineRule="auto"/>
              <w:jc w:val="center"/>
              <w:rPr>
                <w:rFonts w:ascii="华文楷体" w:hAnsi="华文楷体" w:eastAsia="华文楷体"/>
                <w:sz w:val="18"/>
                <w:szCs w:val="18"/>
              </w:rPr>
            </w:pPr>
            <w:r>
              <w:rPr>
                <w:rFonts w:ascii="华文楷体" w:hAnsi="华文楷体" w:eastAsia="华文楷体"/>
                <w:sz w:val="18"/>
                <w:szCs w:val="18"/>
              </w:rPr>
              <w:t>证件类型和号码</w:t>
            </w:r>
          </w:p>
        </w:tc>
        <w:tc>
          <w:tcPr>
            <w:tcW w:w="6073" w:type="dxa"/>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身份证：120107197303116924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Merge w:val="continue"/>
            <w:vAlign w:val="center"/>
          </w:tcPr>
          <w:p>
            <w:pPr>
              <w:spacing w:line="276" w:lineRule="auto"/>
              <w:jc w:val="center"/>
              <w:rPr>
                <w:rFonts w:ascii="华文楷体" w:hAnsi="华文楷体" w:eastAsia="华文楷体"/>
                <w:b/>
                <w:sz w:val="18"/>
                <w:szCs w:val="18"/>
              </w:rPr>
            </w:pPr>
          </w:p>
        </w:tc>
        <w:tc>
          <w:tcPr>
            <w:tcW w:w="1665" w:type="dxa"/>
            <w:gridSpan w:val="2"/>
            <w:vAlign w:val="center"/>
          </w:tcPr>
          <w:p>
            <w:pPr>
              <w:spacing w:line="276" w:lineRule="auto"/>
              <w:jc w:val="center"/>
              <w:rPr>
                <w:rFonts w:ascii="华文楷体" w:hAnsi="华文楷体" w:eastAsia="华文楷体"/>
                <w:sz w:val="18"/>
                <w:szCs w:val="18"/>
              </w:rPr>
            </w:pPr>
            <w:r>
              <w:rPr>
                <w:rFonts w:ascii="华文楷体" w:hAnsi="华文楷体" w:eastAsia="华文楷体"/>
                <w:sz w:val="18"/>
                <w:szCs w:val="18"/>
              </w:rPr>
              <w:t>通讯地址</w:t>
            </w:r>
          </w:p>
        </w:tc>
        <w:tc>
          <w:tcPr>
            <w:tcW w:w="6073" w:type="dxa"/>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天津市南开区水上北路天娇源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355"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Merge w:val="continue"/>
            <w:vAlign w:val="center"/>
          </w:tcPr>
          <w:p>
            <w:pPr>
              <w:spacing w:line="276" w:lineRule="auto"/>
              <w:jc w:val="center"/>
              <w:rPr>
                <w:rFonts w:ascii="华文楷体" w:hAnsi="华文楷体" w:eastAsia="华文楷体"/>
                <w:b/>
                <w:sz w:val="18"/>
                <w:szCs w:val="18"/>
              </w:rPr>
            </w:pPr>
          </w:p>
        </w:tc>
        <w:tc>
          <w:tcPr>
            <w:tcW w:w="1665" w:type="dxa"/>
            <w:gridSpan w:val="2"/>
            <w:vAlign w:val="center"/>
          </w:tcPr>
          <w:p>
            <w:pPr>
              <w:spacing w:line="276" w:lineRule="auto"/>
              <w:jc w:val="center"/>
              <w:rPr>
                <w:rFonts w:ascii="华文楷体" w:hAnsi="华文楷体" w:eastAsia="华文楷体"/>
                <w:sz w:val="18"/>
                <w:szCs w:val="18"/>
              </w:rPr>
            </w:pPr>
            <w:r>
              <w:rPr>
                <w:rFonts w:ascii="华文楷体" w:hAnsi="华文楷体" w:eastAsia="华文楷体"/>
                <w:sz w:val="18"/>
                <w:szCs w:val="18"/>
              </w:rPr>
              <w:t>联系电话</w:t>
            </w:r>
          </w:p>
        </w:tc>
        <w:tc>
          <w:tcPr>
            <w:tcW w:w="6073" w:type="dxa"/>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13512076718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Merge w:val="continue"/>
            <w:vAlign w:val="center"/>
          </w:tcPr>
          <w:p>
            <w:pPr>
              <w:spacing w:line="276" w:lineRule="auto"/>
              <w:jc w:val="center"/>
              <w:rPr>
                <w:rFonts w:ascii="华文楷体" w:hAnsi="华文楷体" w:eastAsia="华文楷体"/>
                <w:b/>
                <w:sz w:val="18"/>
                <w:szCs w:val="18"/>
              </w:rPr>
            </w:pPr>
          </w:p>
        </w:tc>
        <w:tc>
          <w:tcPr>
            <w:tcW w:w="1665"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电子邮箱</w:t>
            </w:r>
          </w:p>
        </w:tc>
        <w:tc>
          <w:tcPr>
            <w:tcW w:w="6073" w:type="dxa"/>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657658117@qq.com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Align w:val="center"/>
          </w:tcPr>
          <w:p>
            <w:pPr>
              <w:numPr>
                <w:ilvl w:val="0"/>
                <w:numId w:val="14"/>
              </w:numPr>
              <w:spacing w:line="360" w:lineRule="auto"/>
              <w:ind w:left="142"/>
              <w:jc w:val="left"/>
              <w:rPr>
                <w:rFonts w:ascii="华文楷体" w:hAnsi="华文楷体" w:eastAsia="华文楷体"/>
                <w:snapToGrid w:val="0"/>
                <w:sz w:val="18"/>
                <w:szCs w:val="18"/>
              </w:rPr>
            </w:pPr>
          </w:p>
        </w:tc>
        <w:tc>
          <w:tcPr>
            <w:tcW w:w="2274" w:type="dxa"/>
            <w:gridSpan w:val="2"/>
            <w:vAlign w:val="center"/>
          </w:tcPr>
          <w:p>
            <w:pPr>
              <w:spacing w:line="276" w:lineRule="auto"/>
              <w:jc w:val="center"/>
              <w:rPr>
                <w:rFonts w:ascii="华文楷体" w:hAnsi="华文楷体" w:eastAsia="华文楷体"/>
                <w:b/>
                <w:snapToGrid w:val="0"/>
                <w:kern w:val="0"/>
                <w:sz w:val="18"/>
                <w:szCs w:val="18"/>
              </w:rPr>
            </w:pPr>
            <w:r>
              <w:rPr>
                <w:rFonts w:hint="eastAsia" w:ascii="华文楷体" w:hAnsi="华文楷体" w:eastAsia="华文楷体"/>
                <w:b/>
                <w:sz w:val="18"/>
                <w:szCs w:val="18"/>
              </w:rPr>
              <w:t>首期</w:t>
            </w:r>
            <w:r>
              <w:rPr>
                <w:rFonts w:ascii="华文楷体" w:hAnsi="华文楷体" w:eastAsia="华文楷体"/>
                <w:b/>
                <w:sz w:val="18"/>
                <w:szCs w:val="18"/>
              </w:rPr>
              <w:t>信托</w:t>
            </w:r>
            <w:r>
              <w:rPr>
                <w:rFonts w:hint="eastAsia" w:ascii="华文楷体" w:hAnsi="华文楷体" w:eastAsia="华文楷体"/>
                <w:b/>
                <w:sz w:val="18"/>
                <w:szCs w:val="18"/>
              </w:rPr>
              <w:t>资产</w:t>
            </w:r>
          </w:p>
        </w:tc>
        <w:tc>
          <w:tcPr>
            <w:tcW w:w="7738" w:type="dxa"/>
            <w:gridSpan w:val="3"/>
            <w:vAlign w:val="center"/>
          </w:tcPr>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6000万元人民币（大写：陆仟万圆人民币），以实际交付的为准。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361" w:hRule="atLeast"/>
          <w:jc w:val="center"/>
        </w:trPr>
        <w:tc>
          <w:tcPr>
            <w:tcW w:w="683" w:type="dxa"/>
            <w:vAlign w:val="center"/>
          </w:tcPr>
          <w:p>
            <w:pPr>
              <w:numPr>
                <w:ilvl w:val="0"/>
                <w:numId w:val="14"/>
              </w:numPr>
              <w:spacing w:line="360" w:lineRule="auto"/>
              <w:ind w:left="142"/>
              <w:jc w:val="left"/>
              <w:rPr>
                <w:rFonts w:ascii="华文楷体" w:hAnsi="华文楷体" w:eastAsia="华文楷体"/>
                <w:snapToGrid w:val="0"/>
                <w:sz w:val="18"/>
                <w:szCs w:val="18"/>
              </w:rPr>
            </w:pPr>
          </w:p>
        </w:tc>
        <w:tc>
          <w:tcPr>
            <w:tcW w:w="2274" w:type="dxa"/>
            <w:gridSpan w:val="2"/>
            <w:vAlign w:val="center"/>
          </w:tcPr>
          <w:p>
            <w:pPr>
              <w:spacing w:line="276" w:lineRule="auto"/>
              <w:jc w:val="center"/>
              <w:rPr>
                <w:rFonts w:ascii="华文楷体" w:hAnsi="华文楷体" w:eastAsia="华文楷体"/>
                <w:b/>
                <w:snapToGrid w:val="0"/>
                <w:kern w:val="0"/>
                <w:sz w:val="18"/>
                <w:szCs w:val="18"/>
              </w:rPr>
            </w:pPr>
            <w:r>
              <w:rPr>
                <w:rFonts w:hint="eastAsia" w:ascii="华文楷体" w:hAnsi="华文楷体" w:eastAsia="华文楷体"/>
                <w:b/>
                <w:snapToGrid w:val="0"/>
                <w:kern w:val="0"/>
                <w:sz w:val="18"/>
                <w:szCs w:val="18"/>
              </w:rPr>
              <w:t>信托期限</w:t>
            </w:r>
          </w:p>
        </w:tc>
        <w:tc>
          <w:tcPr>
            <w:tcW w:w="7738" w:type="dxa"/>
            <w:gridSpan w:val="3"/>
            <w:vAlign w:val="center"/>
          </w:tcPr>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本信托不设置固定期限。信托运行期间，发生信托合同约定的事由时，信托终止。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361" w:hRule="atLeast"/>
          <w:jc w:val="center"/>
        </w:trPr>
        <w:tc>
          <w:tcPr>
            <w:tcW w:w="683" w:type="dxa"/>
            <w:vAlign w:val="center"/>
          </w:tcPr>
          <w:p>
            <w:pPr>
              <w:numPr>
                <w:ilvl w:val="0"/>
                <w:numId w:val="14"/>
              </w:numPr>
              <w:spacing w:line="360" w:lineRule="auto"/>
              <w:ind w:left="142"/>
              <w:jc w:val="left"/>
              <w:rPr>
                <w:rFonts w:ascii="华文楷体" w:hAnsi="华文楷体" w:eastAsia="华文楷体"/>
                <w:snapToGrid w:val="0"/>
                <w:sz w:val="18"/>
                <w:szCs w:val="18"/>
              </w:rPr>
            </w:pPr>
          </w:p>
        </w:tc>
        <w:tc>
          <w:tcPr>
            <w:tcW w:w="2274" w:type="dxa"/>
            <w:gridSpan w:val="2"/>
            <w:vAlign w:val="center"/>
          </w:tcPr>
          <w:p>
            <w:pPr>
              <w:spacing w:line="276" w:lineRule="auto"/>
              <w:jc w:val="center"/>
              <w:rPr>
                <w:rFonts w:ascii="华文楷体" w:hAnsi="华文楷体" w:eastAsia="华文楷体"/>
                <w:b/>
                <w:snapToGrid w:val="0"/>
                <w:kern w:val="0"/>
                <w:sz w:val="18"/>
                <w:szCs w:val="18"/>
              </w:rPr>
            </w:pPr>
            <w:r>
              <w:rPr>
                <w:rFonts w:ascii="华文楷体" w:hAnsi="华文楷体" w:eastAsia="华文楷体"/>
                <w:b/>
                <w:snapToGrid w:val="0"/>
                <w:kern w:val="0"/>
                <w:sz w:val="18"/>
                <w:szCs w:val="18"/>
              </w:rPr>
              <w:t>是否设立</w:t>
            </w:r>
            <w:r>
              <w:rPr>
                <w:rFonts w:hint="eastAsia" w:ascii="华文楷体" w:hAnsi="华文楷体" w:eastAsia="华文楷体"/>
                <w:b/>
                <w:snapToGrid w:val="0"/>
                <w:kern w:val="0"/>
                <w:sz w:val="18"/>
                <w:szCs w:val="18"/>
              </w:rPr>
              <w:t>监察人</w:t>
            </w:r>
          </w:p>
        </w:tc>
        <w:tc>
          <w:tcPr>
            <w:tcW w:w="7738" w:type="dxa"/>
            <w:gridSpan w:val="3"/>
            <w:vAlign w:val="center"/>
          </w:tcPr>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不设立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Align w:val="center"/>
          </w:tcPr>
          <w:p>
            <w:pPr>
              <w:spacing w:line="276" w:lineRule="auto"/>
              <w:jc w:val="center"/>
              <w:rPr>
                <w:rFonts w:ascii="华文楷体" w:hAnsi="华文楷体" w:eastAsia="华文楷体"/>
                <w:b/>
                <w:snapToGrid w:val="0"/>
                <w:kern w:val="0"/>
                <w:sz w:val="18"/>
                <w:szCs w:val="18"/>
              </w:rPr>
            </w:pPr>
            <w:r>
              <w:rPr>
                <w:rFonts w:hint="eastAsia" w:ascii="华文楷体" w:hAnsi="华文楷体" w:eastAsia="华文楷体"/>
                <w:b/>
                <w:snapToGrid w:val="0"/>
                <w:kern w:val="0"/>
                <w:sz w:val="18"/>
                <w:szCs w:val="18"/>
              </w:rPr>
              <w:t>信托方案调整权</w:t>
            </w:r>
          </w:p>
        </w:tc>
        <w:tc>
          <w:tcPr>
            <w:tcW w:w="7738" w:type="dxa"/>
            <w:gridSpan w:val="3"/>
            <w:vAlign w:val="center"/>
          </w:tcPr>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（1）信托运行期间，委托人享有信托方案调整权，该调整权包括：新增各顺位受益人、取消各顺位受益人资格、变更各顺位受益人，调整各受益人的信托利益分配方式。</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（2）信托运行期间，委托人对受益人A进行如下授权。</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授权条件：应同时满足条件X及条件Y。条件X满足标准为：a. 委托人已年满75周岁；b.委托人已身故或已丧失民事行为能力且受托人已收到书面通知；c.委托人向受托人发送书面通知、通知受益人A开始享有本款约定的权利； a、b、c任一事项发生即视为条件X满足。条件Y满足标准为：受益人A已年满30周岁。</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授权范围：新增各顺位受益人、取消各顺位受益人资格、变更各顺位受益人，调整各受益人的信托利益分配方式；受益人A在上述授权条件满足后，有权指定下一顺位被授权人、决定相应的授权条件、授权期限、授权范围并书面通知受托人，受益人A指定的下一顺位被授权人应为本信托的受益人。</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授权期限：自上述授权条件满足之日起，至M日止。M日确定标准为：a. 本信托终止；b.受益人A丧失民事行为能力或身故且受托人收到书面通知；c.受益人A已指定下一顺位被授权人且该被授权人相应授权条件已满足；a、b、c事项中最早发生之日即为M日。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Align w:val="center"/>
          </w:tcPr>
          <w:p>
            <w:pPr>
              <w:spacing w:line="276" w:lineRule="auto"/>
              <w:jc w:val="center"/>
              <w:rPr>
                <w:rFonts w:ascii="华文楷体" w:hAnsi="华文楷体" w:eastAsia="华文楷体"/>
                <w:b/>
                <w:snapToGrid w:val="0"/>
                <w:kern w:val="0"/>
                <w:sz w:val="18"/>
                <w:szCs w:val="18"/>
              </w:rPr>
            </w:pPr>
            <w:r>
              <w:rPr>
                <w:rFonts w:hint="eastAsia" w:ascii="华文楷体" w:hAnsi="华文楷体" w:eastAsia="华文楷体"/>
                <w:b/>
                <w:snapToGrid w:val="0"/>
                <w:kern w:val="0"/>
                <w:sz w:val="18"/>
                <w:szCs w:val="18"/>
              </w:rPr>
              <w:t>信托账户</w:t>
            </w:r>
          </w:p>
        </w:tc>
        <w:tc>
          <w:tcPr>
            <w:tcW w:w="7738" w:type="dxa"/>
            <w:gridSpan w:val="3"/>
            <w:vAlign w:val="center"/>
          </w:tcPr>
          <w:p>
            <w:pPr>
              <w:spacing w:line="276" w:lineRule="auto"/>
              <w:ind w:left="360"/>
              <w:rPr>
                <w:rFonts w:ascii="华文楷体" w:hAnsi="华文楷体" w:eastAsia="华文楷体"/>
                <w:sz w:val="18"/>
                <w:szCs w:val="18"/>
              </w:rPr>
            </w:pPr>
            <w:r>
              <w:rPr>
                <w:rFonts w:hint="eastAsia" w:ascii="华文楷体" w:hAnsi="华文楷体" w:eastAsia="华文楷体"/>
                <w:sz w:val="18"/>
                <w:szCs w:val="18"/>
              </w:rPr>
              <w:t>户名：长安国际信托股份有限公司</w:t>
            </w:r>
          </w:p>
          <w:p>
            <w:pPr>
              <w:spacing w:line="276" w:lineRule="auto"/>
              <w:ind w:left="360"/>
              <w:rPr>
                <w:rFonts w:ascii="华文楷体" w:hAnsi="华文楷体" w:eastAsia="华文楷体"/>
                <w:sz w:val="18"/>
                <w:szCs w:val="18"/>
              </w:rPr>
            </w:pPr>
            <w:r>
              <w:rPr>
                <w:rFonts w:hint="eastAsia" w:ascii="华文楷体" w:hAnsi="华文楷体" w:eastAsia="华文楷体"/>
                <w:sz w:val="18"/>
                <w:szCs w:val="18"/>
              </w:rPr>
              <w:t>账号：03492300040029022</w:t>
            </w:r>
          </w:p>
          <w:p>
            <w:pPr>
              <w:spacing w:line="276" w:lineRule="auto"/>
              <w:ind w:left="360"/>
              <w:rPr>
                <w:rFonts w:ascii="华文楷体" w:hAnsi="华文楷体" w:eastAsia="华文楷体"/>
                <w:sz w:val="18"/>
                <w:szCs w:val="18"/>
              </w:rPr>
            </w:pPr>
            <w:r>
              <w:rPr>
                <w:rFonts w:hint="eastAsia" w:ascii="华文楷体" w:hAnsi="华文楷体" w:eastAsia="华文楷体"/>
                <w:sz w:val="18"/>
                <w:szCs w:val="18"/>
              </w:rPr>
              <w:t>开户行：中国农业银行卢湾支行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 w:type="dxa"/>
          <w:trHeight w:val="20"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274" w:type="dxa"/>
            <w:gridSpan w:val="2"/>
            <w:vAlign w:val="center"/>
          </w:tcPr>
          <w:p>
            <w:pPr>
              <w:spacing w:line="276" w:lineRule="auto"/>
              <w:jc w:val="center"/>
              <w:rPr>
                <w:rFonts w:ascii="华文楷体" w:hAnsi="华文楷体" w:eastAsia="华文楷体"/>
                <w:b/>
                <w:snapToGrid w:val="0"/>
                <w:kern w:val="0"/>
                <w:sz w:val="18"/>
                <w:szCs w:val="18"/>
              </w:rPr>
            </w:pPr>
            <w:r>
              <w:rPr>
                <w:rFonts w:hint="eastAsia" w:ascii="华文楷体" w:hAnsi="华文楷体" w:eastAsia="华文楷体"/>
                <w:b/>
                <w:snapToGrid w:val="0"/>
                <w:kern w:val="0"/>
                <w:sz w:val="18"/>
                <w:szCs w:val="18"/>
              </w:rPr>
              <w:t>信托受益权持有方案</w:t>
            </w:r>
          </w:p>
        </w:tc>
        <w:tc>
          <w:tcPr>
            <w:tcW w:w="7738" w:type="dxa"/>
            <w:gridSpan w:val="3"/>
            <w:vAlign w:val="center"/>
          </w:tcPr>
          <w:p>
            <w:pPr>
              <w:spacing w:line="276" w:lineRule="auto"/>
              <w:ind w:firstLine="360" w:firstLineChars="200"/>
              <w:rPr>
                <w:rFonts w:ascii="华文楷体" w:hAnsi="华文楷体" w:eastAsia="华文楷体"/>
                <w:sz w:val="18"/>
                <w:szCs w:val="18"/>
              </w:rPr>
            </w:pPr>
            <w:r>
              <w:rPr>
                <w:rFonts w:ascii="华文楷体" w:hAnsi="华文楷体" w:eastAsia="华文楷体"/>
                <w:sz w:val="18"/>
                <w:szCs w:val="18"/>
              </w:rPr>
              <w:t>信托运行期间，</w:t>
            </w:r>
            <w:r>
              <w:rPr>
                <w:rFonts w:hint="eastAsia" w:ascii="华文楷体" w:hAnsi="华文楷体" w:eastAsia="华文楷体"/>
                <w:sz w:val="18"/>
                <w:szCs w:val="18"/>
              </w:rPr>
              <w:t>各受益人以共同共有的方式享有信托财产。委托人首次交付信托财产、追加交付信托财产时，均统一计入信托财产，信托运行期间，受益人分配信托利益，从信托财产中一并支付，信托终止时剩余的信托财产，按照本信托方案的约定进行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shd w:val="pct10" w:color="auto" w:fill="auto"/>
            <w:vAlign w:val="center"/>
          </w:tcPr>
          <w:p>
            <w:pPr>
              <w:spacing w:line="360" w:lineRule="auto"/>
              <w:jc w:val="left"/>
              <w:rPr>
                <w:rFonts w:ascii="华文楷体" w:hAnsi="华文楷体" w:eastAsia="华文楷体"/>
                <w:b/>
                <w:sz w:val="18"/>
                <w:szCs w:val="18"/>
              </w:rPr>
            </w:pPr>
            <w:bookmarkStart w:id="185" w:name="_Hlk525901522"/>
            <w:r>
              <w:rPr>
                <w:rFonts w:ascii="华文楷体" w:hAnsi="华文楷体" w:eastAsia="华文楷体"/>
                <w:b/>
                <w:sz w:val="18"/>
                <w:szCs w:val="18"/>
              </w:rPr>
              <w:t>条款</w:t>
            </w:r>
          </w:p>
          <w:p>
            <w:pPr>
              <w:spacing w:line="360" w:lineRule="auto"/>
              <w:jc w:val="left"/>
              <w:rPr>
                <w:rFonts w:ascii="华文楷体" w:hAnsi="华文楷体" w:eastAsia="华文楷体"/>
                <w:sz w:val="18"/>
                <w:szCs w:val="18"/>
              </w:rPr>
            </w:pPr>
            <w:r>
              <w:rPr>
                <w:rFonts w:ascii="华文楷体" w:hAnsi="华文楷体" w:eastAsia="华文楷体"/>
                <w:b/>
                <w:sz w:val="18"/>
                <w:szCs w:val="18"/>
              </w:rPr>
              <w:t>编号</w:t>
            </w:r>
          </w:p>
        </w:tc>
        <w:tc>
          <w:tcPr>
            <w:tcW w:w="10049" w:type="dxa"/>
            <w:gridSpan w:val="6"/>
            <w:shd w:val="pct10" w:color="auto" w:fill="auto"/>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受益人</w:t>
            </w:r>
            <w:r>
              <w:rPr>
                <w:rFonts w:ascii="华文楷体" w:hAnsi="华文楷体" w:eastAsia="华文楷体"/>
                <w:b/>
                <w:sz w:val="18"/>
                <w:szCs w:val="18"/>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restart"/>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restart"/>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受益人</w:t>
            </w:r>
            <w:r>
              <w:rPr>
                <w:rFonts w:ascii="华文楷体" w:hAnsi="华文楷体" w:eastAsia="华文楷体"/>
                <w:b/>
                <w:sz w:val="18"/>
                <w:szCs w:val="18"/>
              </w:rPr>
              <w:t>A</w:t>
            </w: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个人姓名</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侯冠辰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与委托人关系</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委托人之子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证件类型和号码</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身份证：130281200211092318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通讯地址</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天津市南开区水上北路天娇源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联系电话</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15620031778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电子邮箱</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657658117@qq.com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restart"/>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restart"/>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信托利益分配账户</w:t>
            </w: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账户名称</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侯冠辰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开户银行</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中国农业银行天津世贸支行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银行账（卡）号</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6228 4800 2879 4427 873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restart"/>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restart"/>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紧急联系人</w:t>
            </w: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个人姓名</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邵凤艳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与</w:t>
            </w:r>
            <w:r>
              <w:rPr>
                <w:rFonts w:ascii="华文楷体" w:hAnsi="华文楷体" w:eastAsia="华文楷体"/>
                <w:sz w:val="18"/>
                <w:szCs w:val="18"/>
              </w:rPr>
              <w:t>受益人关系</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母子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通讯地址</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天津市南开区水上北路天娇源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jc w:val="center"/>
        </w:trPr>
        <w:tc>
          <w:tcPr>
            <w:tcW w:w="683" w:type="dxa"/>
            <w:vMerge w:val="continue"/>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Merge w:val="continue"/>
            <w:vAlign w:val="center"/>
          </w:tcPr>
          <w:p>
            <w:pPr>
              <w:spacing w:line="276" w:lineRule="auto"/>
              <w:jc w:val="center"/>
              <w:rPr>
                <w:rFonts w:ascii="华文楷体" w:hAnsi="华文楷体" w:eastAsia="华文楷体"/>
                <w:b/>
                <w:sz w:val="18"/>
                <w:szCs w:val="18"/>
              </w:rPr>
            </w:pPr>
          </w:p>
        </w:tc>
        <w:tc>
          <w:tcPr>
            <w:tcW w:w="1669" w:type="dxa"/>
            <w:gridSpan w:val="2"/>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联系电话</w:t>
            </w:r>
          </w:p>
        </w:tc>
        <w:tc>
          <w:tcPr>
            <w:tcW w:w="6247" w:type="dxa"/>
            <w:gridSpan w:val="3"/>
            <w:vAlign w:val="center"/>
          </w:tcPr>
          <w:p>
            <w:pPr>
              <w:spacing w:line="276" w:lineRule="auto"/>
              <w:jc w:val="center"/>
              <w:rPr>
                <w:rFonts w:ascii="华文楷体" w:hAnsi="华文楷体" w:eastAsia="华文楷体"/>
                <w:sz w:val="18"/>
                <w:szCs w:val="18"/>
              </w:rPr>
            </w:pPr>
            <w:r>
              <w:rPr>
                <w:rFonts w:hint="eastAsia" w:ascii="华文楷体" w:hAnsi="华文楷体" w:eastAsia="华文楷体"/>
                <w:sz w:val="18"/>
                <w:szCs w:val="18"/>
              </w:rPr>
              <w:t>13512076718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顺位</w:t>
            </w:r>
          </w:p>
        </w:tc>
        <w:tc>
          <w:tcPr>
            <w:tcW w:w="7916" w:type="dxa"/>
            <w:gridSpan w:val="5"/>
            <w:vAlign w:val="center"/>
          </w:tcPr>
          <w:p>
            <w:pPr>
              <w:spacing w:line="276" w:lineRule="auto"/>
              <w:ind w:firstLine="360" w:firstLineChars="200"/>
              <w:jc w:val="left"/>
              <w:rPr>
                <w:rFonts w:ascii="华文楷体" w:hAnsi="华文楷体" w:eastAsia="华文楷体"/>
                <w:sz w:val="18"/>
                <w:szCs w:val="18"/>
              </w:rPr>
            </w:pPr>
            <w:r>
              <w:rPr>
                <w:rFonts w:hint="eastAsia" w:ascii="华文楷体" w:hAnsi="华文楷体" w:eastAsia="华文楷体"/>
                <w:sz w:val="18"/>
                <w:szCs w:val="18"/>
              </w:rPr>
              <w:t>第一顺位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新增受益人规则</w:t>
            </w:r>
          </w:p>
        </w:tc>
        <w:tc>
          <w:tcPr>
            <w:tcW w:w="7916" w:type="dxa"/>
            <w:gridSpan w:val="5"/>
            <w:vAlign w:val="center"/>
          </w:tcPr>
          <w:p>
            <w:pPr>
              <w:spacing w:line="276" w:lineRule="auto"/>
              <w:ind w:firstLine="360" w:firstLineChars="200"/>
              <w:rPr>
                <w:rFonts w:ascii="华文楷体" w:hAnsi="华文楷体" w:eastAsia="华文楷体"/>
                <w:sz w:val="18"/>
                <w:szCs w:val="18"/>
              </w:rPr>
            </w:pPr>
            <w:r>
              <w:rPr>
                <w:rFonts w:hint="eastAsia" w:ascii="华文楷体" w:hAnsi="华文楷体" w:eastAsia="华文楷体"/>
                <w:bCs/>
                <w:sz w:val="18"/>
                <w:szCs w:val="18"/>
              </w:rPr>
              <w:t>本信托运行期间，</w:t>
            </w:r>
            <w:r>
              <w:rPr>
                <w:rFonts w:ascii="华文楷体" w:hAnsi="华文楷体" w:eastAsia="华文楷体"/>
                <w:bCs/>
                <w:sz w:val="18"/>
                <w:szCs w:val="18"/>
              </w:rPr>
              <w:t>受益人</w:t>
            </w:r>
            <w:r>
              <w:rPr>
                <w:rFonts w:hint="eastAsia" w:ascii="华文楷体" w:hAnsi="华文楷体" w:eastAsia="华文楷体"/>
                <w:bCs/>
                <w:sz w:val="18"/>
                <w:szCs w:val="18"/>
              </w:rPr>
              <w:t>A有直系晚辈婚生血亲出生的</w:t>
            </w:r>
            <w:r>
              <w:rPr>
                <w:rFonts w:ascii="华文楷体" w:hAnsi="华文楷体" w:eastAsia="华文楷体"/>
                <w:bCs/>
                <w:sz w:val="18"/>
                <w:szCs w:val="18"/>
              </w:rPr>
              <w:t>，</w:t>
            </w:r>
            <w:r>
              <w:rPr>
                <w:rFonts w:hint="eastAsia" w:ascii="华文楷体" w:hAnsi="华文楷体" w:eastAsia="华文楷体"/>
                <w:bCs/>
                <w:sz w:val="18"/>
                <w:szCs w:val="18"/>
              </w:rPr>
              <w:t>即可</w:t>
            </w:r>
            <w:r>
              <w:rPr>
                <w:rFonts w:ascii="华文楷体" w:hAnsi="华文楷体" w:eastAsia="华文楷体"/>
                <w:bCs/>
                <w:sz w:val="18"/>
                <w:szCs w:val="18"/>
              </w:rPr>
              <w:t>增</w:t>
            </w:r>
            <w:r>
              <w:rPr>
                <w:rFonts w:hint="eastAsia" w:ascii="华文楷体" w:hAnsi="华文楷体" w:eastAsia="华文楷体"/>
                <w:bCs/>
                <w:sz w:val="18"/>
                <w:szCs w:val="18"/>
              </w:rPr>
              <w:t>设</w:t>
            </w:r>
            <w:r>
              <w:rPr>
                <w:rFonts w:ascii="华文楷体" w:hAnsi="华文楷体" w:eastAsia="华文楷体"/>
                <w:bCs/>
                <w:sz w:val="18"/>
                <w:szCs w:val="18"/>
              </w:rPr>
              <w:t>为本信托的第一顺位受益人</w:t>
            </w:r>
            <w:r>
              <w:rPr>
                <w:rFonts w:hint="eastAsia" w:ascii="华文楷体" w:hAnsi="华文楷体" w:eastAsia="华文楷体"/>
                <w:bCs/>
                <w:sz w:val="18"/>
                <w:szCs w:val="18"/>
              </w:rPr>
              <w:t>。</w:t>
            </w:r>
            <w:r>
              <w:rPr>
                <w:rFonts w:hint="eastAsia" w:ascii="华文楷体" w:hAnsi="华文楷体" w:eastAsia="华文楷体"/>
                <w:sz w:val="18"/>
                <w:szCs w:val="18"/>
              </w:rPr>
              <w:t>委托人或受益人A或该晚辈直系血亲的监护人需向受托人提交该直系晚辈婚生血亲的</w:t>
            </w:r>
            <w:r>
              <w:rPr>
                <w:rFonts w:ascii="华文楷体" w:hAnsi="华文楷体" w:eastAsia="华文楷体"/>
                <w:sz w:val="18"/>
                <w:szCs w:val="18"/>
              </w:rPr>
              <w:t>出生证明</w:t>
            </w:r>
            <w:r>
              <w:rPr>
                <w:rFonts w:hint="eastAsia" w:ascii="华文楷体" w:hAnsi="华文楷体" w:eastAsia="华文楷体"/>
                <w:sz w:val="18"/>
                <w:szCs w:val="18"/>
              </w:rPr>
              <w:t>、</w:t>
            </w:r>
            <w:r>
              <w:rPr>
                <w:rFonts w:ascii="华文楷体" w:hAnsi="华文楷体" w:eastAsia="华文楷体"/>
                <w:sz w:val="18"/>
                <w:szCs w:val="18"/>
              </w:rPr>
              <w:t>身份</w:t>
            </w:r>
            <w:r>
              <w:rPr>
                <w:rFonts w:hint="eastAsia" w:ascii="华文楷体" w:hAnsi="华文楷体" w:eastAsia="华文楷体"/>
                <w:sz w:val="18"/>
                <w:szCs w:val="18"/>
              </w:rPr>
              <w:t>关系</w:t>
            </w:r>
            <w:r>
              <w:rPr>
                <w:rFonts w:ascii="华文楷体" w:hAnsi="华文楷体" w:eastAsia="华文楷体"/>
                <w:sz w:val="18"/>
                <w:szCs w:val="18"/>
              </w:rPr>
              <w:t>证明文件</w:t>
            </w:r>
            <w:r>
              <w:rPr>
                <w:rFonts w:hint="eastAsia" w:ascii="华文楷体" w:hAnsi="华文楷体" w:eastAsia="华文楷体"/>
                <w:sz w:val="18"/>
                <w:szCs w:val="18"/>
              </w:rPr>
              <w:t>、受益人收款账户等材料，受托人接收到上述材料后进行形式审查，审查通过后</w:t>
            </w:r>
            <w:r>
              <w:rPr>
                <w:rFonts w:ascii="华文楷体" w:hAnsi="华文楷体" w:eastAsia="华文楷体"/>
                <w:bCs/>
                <w:sz w:val="18"/>
                <w:szCs w:val="18"/>
              </w:rPr>
              <w:t>将</w:t>
            </w:r>
            <w:r>
              <w:rPr>
                <w:rFonts w:hint="eastAsia" w:ascii="华文楷体" w:hAnsi="华文楷体" w:eastAsia="华文楷体"/>
                <w:bCs/>
                <w:sz w:val="18"/>
                <w:szCs w:val="18"/>
              </w:rPr>
              <w:t>该直系晚辈婚生血亲增设为</w:t>
            </w:r>
            <w:r>
              <w:rPr>
                <w:rFonts w:ascii="华文楷体" w:hAnsi="华文楷体" w:eastAsia="华文楷体"/>
                <w:bCs/>
                <w:sz w:val="18"/>
                <w:szCs w:val="18"/>
              </w:rPr>
              <w:t>本信托的第一顺位受益人</w:t>
            </w:r>
            <w:r>
              <w:rPr>
                <w:rFonts w:hint="eastAsia" w:ascii="华文楷体" w:hAnsi="华文楷体" w:eastAsia="华文楷体"/>
                <w:sz w:val="18"/>
                <w:szCs w:val="18"/>
              </w:rPr>
              <w:t>，按顺序分别命名为“受益人n”，n=B、C、D、E、F</w:t>
            </w:r>
            <w:r>
              <w:rPr>
                <w:rFonts w:ascii="华文楷体" w:hAnsi="华文楷体" w:eastAsia="华文楷体"/>
                <w:sz w:val="18"/>
                <w:szCs w:val="18"/>
              </w:rPr>
              <w:t>…</w:t>
            </w:r>
            <w:r>
              <w:rPr>
                <w:rFonts w:hint="eastAsia" w:ascii="华文楷体" w:hAnsi="华文楷体" w:eastAsia="华文楷体"/>
                <w:sz w:val="18"/>
                <w:szCs w:val="18"/>
              </w:rPr>
              <w:t>，依次排列编写。</w:t>
            </w:r>
          </w:p>
          <w:p>
            <w:pPr>
              <w:spacing w:line="276" w:lineRule="auto"/>
              <w:ind w:firstLine="360" w:firstLineChars="200"/>
              <w:rPr>
                <w:rFonts w:ascii="华文楷体" w:hAnsi="华文楷体" w:eastAsia="华文楷体"/>
                <w:bCs/>
                <w:sz w:val="18"/>
                <w:szCs w:val="18"/>
              </w:rPr>
            </w:pPr>
            <w:r>
              <w:rPr>
                <w:rFonts w:hint="eastAsia" w:ascii="华文楷体" w:hAnsi="华文楷体" w:eastAsia="华文楷体"/>
                <w:bCs/>
                <w:sz w:val="18"/>
                <w:szCs w:val="18"/>
              </w:rPr>
              <w:t>为免疑义，“直系晚辈婚生血亲”指具有直接血缘关系、婚生关系的子女、孙子女、外孙子女以及更下的直接晚辈。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信托运行期间，信托利益分配方案</w:t>
            </w:r>
          </w:p>
        </w:tc>
        <w:tc>
          <w:tcPr>
            <w:tcW w:w="7916" w:type="dxa"/>
            <w:gridSpan w:val="5"/>
            <w:vAlign w:val="center"/>
          </w:tcPr>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A.教育金：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教育金条款适用于受益人A及受益人n。</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b/>
                <w:bCs/>
                <w:sz w:val="18"/>
                <w:szCs w:val="18"/>
              </w:rPr>
              <w:t>a.基础教育阶段：</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1.幼儿园、小学、初中、高中：</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学费：受益人被国内普通中学或海外中学（含初中和高中）录取的，受益人可向受托人申请分配中学在校期间学费，由受益人监护人向受托人提交书面申请并提供学费缴款通知、缴款收据等证明文件，受托人形式审核通过后，向受益人分配相应学费，学费以前述证明文件载明为准；</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教育奖励金：受益人被国家级示范性普通高级中学录取的，受益人可向受托人申请分配教育奖励金，由受益人监护人向受托人提交书面申请并提供国家级示范性普通高级中学的资格/级别证明文件（如学校资格/级别评估证明/评估报告、省教育厅公示文件等）及录取通知文件，受托人形式审核通过后，向受益人一次性分配教育奖励金，金额为【 50万元+50万元*（分配当年度-信托生效年度）*3%】；</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特别约定：委托人同意，若受益人监护人与受托人对“国家级示范性普通高级中学”产生认识歧义，则由委托人（委托人在世且具备民事行为能力时）或受益人A（委托人身故或丧失民事行为能力时）或受益人监护人（委托人及受益人A均身故或丧失民事行为能力）向受托人发送书面认定通知，以该认定通知为最终确认标准；“信托生效年度”系指本信托成立生效的自然年度，如本信托于2019年12月1日成立生效，则“信托生效年度”即指“2019年”，下同。</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（3）教育支持金：受益人就读于幼儿园、小学、初中、高中时，受益人监护人可每年向受托人提交书面申请并提供入学/在读证明资料，受托人每年向受益人分配一次教育支持金，金额为【 10万元+10万元*（分配当年度-信托生效年度）*3%】。</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以上（1）、（2）、（3）分配项目可以同时适用。</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b/>
                <w:bCs/>
                <w:sz w:val="18"/>
                <w:szCs w:val="18"/>
              </w:rPr>
              <w:t>b.高等教育阶段：</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 本科教育层次</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（1）学费：</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内外本科层次高等院校录取的，受益人可向受托人申请分配在校期间学费，由受益人或受益人监护人向受托人提交书面申请并提供学费缴款通知、缴款收据等证明文件，受托人形式审核通过后，向受益人分配相应学费，学费数额以前述证明文件载明为准；</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（2）教育奖励金：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内（不含港澳台）本科层次统招重点高等院校或教育部认可的外国（含港澳台）本科层次高等学校录取的，受益人可向受托人申请分配教育奖励金，由受益人或受益人监护人向受托人提交书面申请并提供录取通知文件，受托人形式审核通过后，向受益人一次性分配教育奖励金，金额为【 100万元+100万元*（分配当年度-信托生效年度）*3%】；</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 xml:space="preserve">（3）教育支持金： </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内（不含港澳台）本科层次高等院校录取的，受益人可向受托人申请分配教育支持金，由受益人或受益人监护人向受托人提交书面申请并提供录取通知文件、在读/就读证明文件，受托人形式审核通过后，向受益人分配教育支持金，金额为每年【 20万元+20万元*（分配当年度-信托生效年度）*3%】，该项信托利益支付次数以本科学期年度为限；</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外（含港澳台）本科层次高等院校录取的且就读地点在美国、英国、澳大利亚、法国、德国、加拿大、意大利，受益人可向受托人申请分配教育支持金，由受益人或受益人监护人向受托人提交书面申请并提供录取通知文件、在读/就读证明文件，受托人形式审核通过后，向受益人分配教育支持金，金额为每年【80万元+80万元*（分配当年度-信托生效年度）*3%】，该项信托利益支付次数以本科学期年度为限；</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外（含港澳台）本科层次高等院校录取的且就读地点非美国、英国、澳大利亚、法国、德国、加拿大、意大利，受益人可向受托人申请分配教育支持金，由受益人或受益人监护人向受托人提交书面申请并提供录取通知文件、在读/就读证明文件，受托人形式审核通过后，向受益人分配教育支持金，金额为每年【 50万元+50万元*（分配当年度-信托生效年度）*3%】，该项信托利益支付次数以本科学期年度为限；</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以上（1）、（2）、（3）分配项目可以同时适用。</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 硕士研究生和博士研究生教育层次</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 xml:space="preserve">（1）学费： </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内外硕士/博士研究生教育层次高等院校录取的，受益人可向受托人申请分配在校期间学费，由受益人或受益人监护人向受托人提交书面申请并提供学费缴款通知、缴款收据等证明文件，受托人形式审核通过后，向受益人分配相应学费，学费以前述证明文件载明为准；</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（2）教育奖励金：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①受益人被境内（不含港澳台）硕士/博士研究生层次统招重点高等院校或教育部认可的外国（含港澳台）硕士/博士研究生层次高等学校录取的，受益人可向受托人申请分配教育奖励金，由受益人或受益人监护人向受托人提交书面申请并提供录取通知文件，受托人形式审核通过后，向受益人一次性分配教育奖励金，金额为【 100万元+100万元*（分配当年度-信托生效年度）*3%】；</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②受益人被第①项所列院校以外的境内外硕士/博士研究生层次高等院校录取的，受益人可向受托人申请分配教育奖励金，由受益人或受益人监护人向受托人提交书面申请并提供录取通知文件，受托人形式审核通过后，向受益人一次性分配教育奖励金，金额为【 50万元+50万元*（分配当年度-信托生效年度）*3%】；</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③受益人获得硕士学位或博士学位的，受益人可向受托人申请分配教育奖励金，由受益人或受益人监护人向受托人提交书面申请并提供学位证书文件，受托人形式审核通过后，向受益人一次性分配教育奖励金，金额为【 100万元+100万元*（分配当年度-信托生效年度）*3%】。</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 xml:space="preserve">（3）教育支持金： </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内（不含港澳台）硕士/博士研究生层次高等院校录取的，受益人可向受托人申请分配教育支持金，由受益人或受益人监护人向受托人提交书面申请并提供录取通知文件、在读/就读证明文件，受托人形式审核通过后，向受益人分配教育支持金，金额为每年【 20万元+20万元*（分配当年度-信托生效年度）*3%】，该项信托利益支付次数以硕士/博士研究生学期年度为限；</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外（含港澳台）硕士/博士研究生层次高等院校录取的且就读地点在美国、英国、澳大利亚、法国、德国、加拿大、意大利，受益人可向受托人申请分配教育支持金，由受益人或受益人监护人向受托人提交书面申请并提供录取通知文件、在读/就读证明文件，受托人形式审核通过后，向受益人分配教育支持金，金额为每年【80万元+80万元*（分配当年度-信托生效年度）*3%】，该项信托利益支付次数以硕士/博士研究生学期年度为限；</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被境外（含港澳台）硕士/博士研究生层次高等院校录取的且就读地点非美国、英国、澳大利亚、法国、德国、加拿大、意大利，受益人可向受托人申请分配教育支持金，由受益人或受益人监护人向受托人提交书面申请并提供录取通知文件、在读/就读证明文件，受托人形式审核通过后，向受益人分配教育支持金，金额为每年【 50万元+50万元*（分配当年度-信托生效年度）*3%】，该项信托利益支付次数以硕士/博士研究生学期年度为限；</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以上（1）、（2）、（3）分配项目可以同时适用。</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注：以上“统招重点高等院校”指的是中国重点支持建设的高等院校，即属于“985工程”和“211工程”建设的高等院校；“教育部认可的外国（含港澳台）高等学校”的查询网址为</w:t>
            </w:r>
            <w:r>
              <w:fldChar w:fldCharType="begin"/>
            </w:r>
            <w:r>
              <w:instrText xml:space="preserve"> HYPERLINK "http://www.jsj.edu.cn/" </w:instrText>
            </w:r>
            <w:r>
              <w:fldChar w:fldCharType="separate"/>
            </w:r>
            <w:r>
              <w:rPr>
                <w:rFonts w:hint="eastAsia" w:ascii="华文楷体" w:hAnsi="华文楷体" w:eastAsia="华文楷体"/>
              </w:rPr>
              <w:t>http://www.jsj.edu.cn</w:t>
            </w:r>
            <w:r>
              <w:rPr>
                <w:rFonts w:hint="eastAsia" w:ascii="华文楷体" w:hAnsi="华文楷体" w:eastAsia="华文楷体"/>
              </w:rPr>
              <w:fldChar w:fldCharType="end"/>
            </w:r>
            <w:r>
              <w:rPr>
                <w:rFonts w:hint="eastAsia" w:ascii="华文楷体" w:hAnsi="华文楷体" w:eastAsia="华文楷体"/>
                <w:sz w:val="18"/>
                <w:szCs w:val="18"/>
              </w:rPr>
              <w:t>。</w:t>
            </w:r>
          </w:p>
          <w:p>
            <w:pPr>
              <w:spacing w:line="276" w:lineRule="auto"/>
              <w:ind w:firstLine="360" w:firstLineChars="200"/>
              <w:rPr>
                <w:rFonts w:ascii="华文楷体" w:hAnsi="华文楷体" w:eastAsia="华文楷体"/>
                <w:b/>
                <w:bCs/>
                <w:sz w:val="18"/>
                <w:szCs w:val="18"/>
              </w:rPr>
            </w:pPr>
            <w:r>
              <w:rPr>
                <w:rFonts w:hint="eastAsia" w:ascii="华文楷体" w:hAnsi="华文楷体" w:eastAsia="华文楷体"/>
                <w:b/>
                <w:bCs/>
                <w:sz w:val="18"/>
                <w:szCs w:val="18"/>
              </w:rPr>
              <w:t>B.培训/学习支持：</w:t>
            </w:r>
          </w:p>
          <w:p>
            <w:pPr>
              <w:spacing w:line="276" w:lineRule="auto"/>
              <w:ind w:firstLine="360" w:firstLineChars="200"/>
              <w:rPr>
                <w:rFonts w:ascii="华文楷体" w:hAnsi="华文楷体" w:eastAsia="华文楷体"/>
                <w:bCs/>
                <w:sz w:val="18"/>
                <w:szCs w:val="18"/>
              </w:rPr>
            </w:pPr>
            <w:r>
              <w:rPr>
                <w:rFonts w:hint="eastAsia" w:ascii="华文楷体" w:hAnsi="华文楷体" w:eastAsia="华文楷体"/>
                <w:bCs/>
                <w:sz w:val="18"/>
                <w:szCs w:val="18"/>
              </w:rPr>
              <w:t>培训/学习支持条款适用于受益人A及受益人n。</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参加专业培训、技能培训、特长学习（包括但不限于专门的技艺或兴趣、研究领域等），以期获得培训机构的结业证书或取得专业资格证书、晋级证书等的，可向受托人书面申请学费，并提交培训合同、培训机构出具的缴费通知或缴费收据等，受托人进行形式审核后，按照前述证明文件所载数额向受益人分配相应学费，每名受益人每自然年度内申领额不得超过5万元。</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C.创业金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创业金条款适用于受益人A。</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1、创业启动基金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受益人年满30周岁且具备完全民事行为能力，并以自己的名义设立第一家公司并担任该公司法定代表人，且受益人持有该公司股份超过 51%（含）时，受益人有权向受托人申请创业启动基金，用于支持其个人创业，受益人提交书面申请并提供工商机关出具的营业执照、股东名册等证明材料，受托人形式审核无误后，向受益人一次性分配创业启动基金，金额为500万元。</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2、创业发展基金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上述第一家公司设立届满3年且正常持续经营、且未被当地工商机构列入严重违法失信企业名单、且届时受益人持有该公司股份仍超过33.34%的，受益人有权向受托人申请创业发展基金，用于支持企业发展，受益人提交书面申请并提供相应证明材料（如工商登记档案、企业近3年审计报告、国家企业信用信息公示系统截图材料等），受托人形式审核无误后，向受益人一次性分配创业发展基金，金额为500万元。</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3、创业鼓励基金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上述第一家公司设立届满7年且正常持续经营、且未被当地工商机构列入严重违法失信企业名单、且已连续3年盈利（其中“盈利”系指本会计年度结束之日企业净资产规模高于前一会计年度净资产规模，净资产规模以受益人提供的企业审计报告为准，以下关于“盈利”的表述均相同）、且届时受益人持有该公司股份仍超过33.34%的，受益人有权向受托人申请创业鼓励基金，用于支持/鼓励企业发展，受益人提交书面申请并提供相应证明材料（如工商登记档案、企业近5年审计报告、国家企业信用信息公示系统截图材料等），受托人形式审核无误后，向受益人一次性分配创业鼓励基金，金额为500万元。</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D.婚庆金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婚庆金条款适用于受益人A。</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当受益人完成姻登记后可申请婚庆金；受益人提供婚姻登记证明文件，受托人形式审核后，向受益人一次性分配婚庆金500万元。该项信托利益支付以一次为限。</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E.生育奖励金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生育奖励金条款适用于受益人A。</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受益人每有一名婚生子女出生时，可申请生育奖励金；受益人提供书面申请及生育证明材料，受托人形式审核后，向受益人一次性分配生育奖励金200万元</w:t>
            </w:r>
            <w:r>
              <w:rPr>
                <w:rFonts w:ascii="华文楷体" w:hAnsi="华文楷体" w:eastAsia="华文楷体"/>
                <w:sz w:val="18"/>
                <w:szCs w:val="18"/>
              </w:rPr>
              <w:t>。该项信托利益支付无次数限制</w:t>
            </w:r>
            <w:r>
              <w:rPr>
                <w:rFonts w:hint="eastAsia" w:ascii="华文楷体" w:hAnsi="华文楷体" w:eastAsia="华文楷体"/>
                <w:sz w:val="18"/>
                <w:szCs w:val="18"/>
              </w:rPr>
              <w:t>。</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F.保险支持金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保险支持金条款适用于受益人A及受益人n。</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受益人每有一名婚生子女出生，在该名婚生子女年满1周岁前，受益人可申请保险支持金；受益人提供书面申请及生育证明材料，受托人形式审核后，向受益人一次性分配保险金支持金100万元，受益人应将保险支持金用于为该名婚生子女的利益购置大额年金保单</w:t>
            </w:r>
            <w:r>
              <w:rPr>
                <w:rFonts w:ascii="华文楷体" w:hAnsi="华文楷体" w:eastAsia="华文楷体"/>
                <w:sz w:val="18"/>
                <w:szCs w:val="18"/>
              </w:rPr>
              <w:t>。</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委托人理解并同意，受托人对受益人是否实际将保险金用于购置大额年金保单不负有监督/监察执行义务，由委托人自行监督/监察受益人按本条款的约定使用保险支持金。</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G.医疗金：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医疗金条款适用于受益人A及受益人n。</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1、医疗费</w:t>
            </w:r>
          </w:p>
          <w:p>
            <w:pPr>
              <w:spacing w:line="276" w:lineRule="auto"/>
              <w:ind w:firstLine="360" w:firstLineChars="200"/>
              <w:rPr>
                <w:rFonts w:ascii="华文楷体" w:hAnsi="华文楷体" w:eastAsia="华文楷体"/>
                <w:sz w:val="18"/>
                <w:szCs w:val="18"/>
              </w:rPr>
            </w:pPr>
            <w:r>
              <w:rPr>
                <w:rFonts w:ascii="华文楷体" w:hAnsi="华文楷体" w:eastAsia="华文楷体"/>
                <w:sz w:val="18"/>
                <w:szCs w:val="18"/>
              </w:rPr>
              <w:t>受益人</w:t>
            </w:r>
            <w:r>
              <w:rPr>
                <w:rFonts w:hint="eastAsia" w:ascii="华文楷体" w:hAnsi="华文楷体" w:eastAsia="华文楷体"/>
                <w:sz w:val="18"/>
                <w:szCs w:val="18"/>
              </w:rPr>
              <w:t>支出医疗费用每次</w:t>
            </w:r>
            <w:r>
              <w:rPr>
                <w:rFonts w:ascii="华文楷体" w:hAnsi="华文楷体" w:eastAsia="华文楷体"/>
                <w:sz w:val="18"/>
                <w:szCs w:val="18"/>
              </w:rPr>
              <w:t>达</w:t>
            </w:r>
            <w:r>
              <w:rPr>
                <w:rFonts w:hint="eastAsia" w:ascii="华文楷体" w:hAnsi="华文楷体" w:eastAsia="华文楷体"/>
                <w:sz w:val="18"/>
                <w:szCs w:val="18"/>
              </w:rPr>
              <w:t>到5万元</w:t>
            </w:r>
            <w:r>
              <w:rPr>
                <w:rFonts w:ascii="华文楷体" w:hAnsi="华文楷体" w:eastAsia="华文楷体"/>
                <w:sz w:val="18"/>
                <w:szCs w:val="18"/>
              </w:rPr>
              <w:t>时，</w:t>
            </w:r>
            <w:r>
              <w:rPr>
                <w:rFonts w:hint="eastAsia" w:ascii="华文楷体" w:hAnsi="华文楷体" w:eastAsia="华文楷体"/>
                <w:sz w:val="18"/>
                <w:szCs w:val="18"/>
              </w:rPr>
              <w:t>受益人可申请医疗费。受益人提供相关医疗机构出具的收费凭据，受托人形式审核通过后，向受益人支付信托利益，具体支付金额以收费凭据所载金额为准</w:t>
            </w:r>
            <w:r>
              <w:rPr>
                <w:rFonts w:ascii="华文楷体" w:hAnsi="华文楷体" w:eastAsia="华文楷体"/>
                <w:sz w:val="18"/>
                <w:szCs w:val="18"/>
              </w:rPr>
              <w:t>。</w:t>
            </w:r>
            <w:r>
              <w:rPr>
                <w:rFonts w:hint="eastAsia" w:ascii="华文楷体" w:hAnsi="华文楷体" w:eastAsia="华文楷体"/>
                <w:sz w:val="18"/>
                <w:szCs w:val="18"/>
              </w:rPr>
              <w:t>受益人本人不能亲自提交申请的，届时由其他受益人或其近亲属携带有效证件及授权文件代为申请。该项信托利益支付无次数限制。</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2、紧急医疗基金</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若受益人出现重大疾病，则受益人可向受托人提出书面申请并提供证明材料（如《医院确诊书》等），受托人形式审核通过后，向受益人一次性分配50万元的紧急医疗基金。受益人本人不能亲自提交申请的，届时由其他受益人或其近亲属携带有效证件及授权文件代为申请。该项信托利益支付无次数限制。</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以上1、2分配项目可以同时适用。</w:t>
            </w:r>
          </w:p>
          <w:p>
            <w:pPr>
              <w:spacing w:line="276" w:lineRule="auto"/>
              <w:ind w:firstLine="360" w:firstLineChars="200"/>
              <w:rPr>
                <w:rFonts w:ascii="华文楷体" w:hAnsi="华文楷体" w:eastAsia="华文楷体"/>
                <w:b/>
                <w:sz w:val="18"/>
                <w:szCs w:val="18"/>
              </w:rPr>
            </w:pPr>
            <w:r>
              <w:rPr>
                <w:rFonts w:hint="eastAsia" w:ascii="华文楷体" w:hAnsi="华文楷体" w:eastAsia="华文楷体"/>
                <w:b/>
                <w:sz w:val="18"/>
                <w:szCs w:val="18"/>
              </w:rPr>
              <w:t>H．特殊约定</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特殊约定条款适用于受益人A及受益人n。</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若受益人首次出现以下行为之一：</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（1）吸毒、贩毒或其他危害家族成员人身及财产安全的行为。</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（2）违法犯罪，依法被有权机关处罚、判决的。</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（3）未正常履行孝敬父母义务、长期忽略、未履行照顾及教育下一代家庭成员义务的。</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且受托人收到有权通知人的书面通知，则自受托人收到书面通知之日起，该受益人享有的A-G项信托利益（如有）相应分配数额均减半执行。</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有权通知人”确定标准为：若委托人在世，则委托人为有权通知人；若委托人已身故、受益人A在世，则受益人A为有权通知人；委托人在世时可书面指定下一顺位有权通知人，委托人已身故、受益人A在世的情况下，受益人A有权书面指定下一顺位有权通知人。</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委托人同意，受托人没有义务对受益人是否确实出现、是否首次出现上述（1）、（2）、（3）项行为做实质性判断，亦无义务收集、审核、判断受益人是否确实出现、是否首次出现上述（1）、（2）、（3）项行为的证据材料，受托人执行受益人分配数额减半仅需将有权通知人的书面通知作为唯一依据，委托人与受益人对此均无异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Align w:val="center"/>
          </w:tcPr>
          <w:p>
            <w:pPr>
              <w:spacing w:line="276" w:lineRule="auto"/>
              <w:jc w:val="center"/>
              <w:rPr>
                <w:rFonts w:ascii="华文楷体" w:hAnsi="华文楷体" w:eastAsia="华文楷体"/>
                <w:b/>
                <w:sz w:val="18"/>
                <w:szCs w:val="18"/>
              </w:rPr>
            </w:pPr>
            <w:r>
              <w:rPr>
                <w:rFonts w:hint="eastAsia" w:ascii="华文楷体" w:hAnsi="华文楷体" w:eastAsia="华文楷体"/>
                <w:b/>
                <w:sz w:val="18"/>
                <w:szCs w:val="18"/>
              </w:rPr>
              <w:t>信托运行期间，受益人信托受益权终止规则</w:t>
            </w:r>
          </w:p>
        </w:tc>
        <w:tc>
          <w:tcPr>
            <w:tcW w:w="7916" w:type="dxa"/>
            <w:gridSpan w:val="5"/>
            <w:vAlign w:val="center"/>
          </w:tcPr>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1、若受益人多次出现以下行为之一</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（1）吸毒、贩毒或其他危害家族成员人身及财产安全的行为。</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（2）违法犯罪，依法被有权机关处罚、判决的。</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（3）未正常履行孝敬父母义务、长期忽略、未履行照顾及教育下一代家庭成员义务的。</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且受托人收到有权通知人的书面通知，则自受托人收到书面通知之日起，该受益人丧失信托受益权，该受益人根据本信托方案享有的信托利益停止支付。“有权通知人”确定标准与本信托方案第13条H项约定相同。</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委托人同意，受托人没有义务对受益人是否确实出现、是否多次出现上述（1）、（2）、（3）项行为做实质性判断，亦无义务收集、审核、判断受益人是否确实出现、是否多次出现上述（1）、（2）、（3）项行为的证据材料，受托人执行受益人分配数额减半仅需将有权通知人的书面通知作为唯一依据，委托人与受益人对此均无异议。</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2、受益人身故、放弃信托受益权或发生丧失信托受益权的其他情形，自受托人接收到受益人死亡的有效证明文件、放弃信托受益权的书面文件或者丧失信托受益权的其他有效证明文件之日起，受益人根据本信托方案享有的信托利益停止支付。</w:t>
            </w:r>
          </w:p>
          <w:p>
            <w:pPr>
              <w:spacing w:line="276" w:lineRule="auto"/>
              <w:ind w:firstLine="360" w:firstLineChars="200"/>
              <w:rPr>
                <w:rFonts w:ascii="华文楷体" w:hAnsi="华文楷体" w:eastAsia="华文楷体"/>
                <w:sz w:val="18"/>
                <w:szCs w:val="18"/>
              </w:rPr>
            </w:pPr>
            <w:r>
              <w:rPr>
                <w:rFonts w:hint="eastAsia" w:ascii="华文楷体" w:hAnsi="华文楷体" w:eastAsia="华文楷体"/>
                <w:sz w:val="18"/>
                <w:szCs w:val="18"/>
              </w:rPr>
              <w:t>以上1、2条条款适用于受益人A及受益人n。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83" w:type="dxa"/>
            <w:vAlign w:val="center"/>
          </w:tcPr>
          <w:p>
            <w:pPr>
              <w:numPr>
                <w:ilvl w:val="0"/>
                <w:numId w:val="14"/>
              </w:numPr>
              <w:spacing w:line="360" w:lineRule="auto"/>
              <w:ind w:left="142"/>
              <w:jc w:val="left"/>
              <w:rPr>
                <w:rFonts w:ascii="华文楷体" w:hAnsi="华文楷体" w:eastAsia="华文楷体"/>
                <w:sz w:val="18"/>
                <w:szCs w:val="18"/>
              </w:rPr>
            </w:pPr>
          </w:p>
        </w:tc>
        <w:tc>
          <w:tcPr>
            <w:tcW w:w="2133" w:type="dxa"/>
            <w:vAlign w:val="center"/>
          </w:tcPr>
          <w:p>
            <w:pPr>
              <w:spacing w:line="276" w:lineRule="auto"/>
              <w:jc w:val="center"/>
              <w:rPr>
                <w:rFonts w:ascii="华文楷体" w:hAnsi="华文楷体" w:eastAsia="华文楷体"/>
                <w:b/>
                <w:sz w:val="18"/>
                <w:szCs w:val="18"/>
              </w:rPr>
            </w:pPr>
            <w:r>
              <w:rPr>
                <w:rFonts w:ascii="华文楷体" w:hAnsi="华文楷体" w:eastAsia="华文楷体"/>
                <w:b/>
                <w:sz w:val="18"/>
                <w:szCs w:val="18"/>
              </w:rPr>
              <w:t>信托终止时信托利益分配规则</w:t>
            </w:r>
          </w:p>
        </w:tc>
        <w:tc>
          <w:tcPr>
            <w:tcW w:w="7916" w:type="dxa"/>
            <w:gridSpan w:val="5"/>
            <w:vAlign w:val="center"/>
          </w:tcPr>
          <w:p>
            <w:pPr>
              <w:spacing w:line="360" w:lineRule="exact"/>
              <w:ind w:firstLine="360" w:firstLineChars="200"/>
              <w:jc w:val="left"/>
              <w:rPr>
                <w:rFonts w:ascii="华文楷体" w:hAnsi="华文楷体" w:eastAsia="华文楷体"/>
                <w:sz w:val="18"/>
                <w:szCs w:val="18"/>
              </w:rPr>
            </w:pPr>
            <w:r>
              <w:rPr>
                <w:rFonts w:hint="eastAsia" w:ascii="华文楷体" w:hAnsi="华文楷体" w:eastAsia="华文楷体"/>
                <w:sz w:val="18"/>
                <w:szCs w:val="18"/>
              </w:rPr>
              <w:t>（1）信托终止时，剩余信托财产由本信托存续期间内本信托项下全部受益人平均分配，为免疑义，前述“全部受益人”包括受益人A及后续新增受益人；若某受益人于本信托存续期内已身故、放弃信托受益权或发生其他丧失信托受益权的情形，则信托终止时原由其享有的剩余信托财产部分由其直系晚辈婚生血亲享有，若其无直系晚辈婚生血亲或其直系晚辈婚生血亲均已身故、放弃信托受益权或发生其他丧失信托受益权的情形，则信托终止时原由其享有的剩余信托财产部分由委托人享有，若按照前述约定仍无人可享有该受益人享有的剩余信托财产，则该部分信托财产视为该受益人</w:t>
            </w:r>
            <w:r>
              <w:rPr>
                <w:rFonts w:ascii="华文楷体" w:hAnsi="华文楷体" w:eastAsia="华文楷体"/>
                <w:sz w:val="18"/>
                <w:szCs w:val="18"/>
              </w:rPr>
              <w:t>的遗产，按照</w:t>
            </w:r>
            <w:r>
              <w:rPr>
                <w:rFonts w:hint="eastAsia" w:ascii="华文楷体" w:hAnsi="华文楷体" w:eastAsia="华文楷体"/>
                <w:sz w:val="18"/>
                <w:szCs w:val="18"/>
              </w:rPr>
              <w:t>法定或</w:t>
            </w:r>
            <w:r>
              <w:rPr>
                <w:rFonts w:ascii="华文楷体" w:hAnsi="华文楷体" w:eastAsia="华文楷体"/>
                <w:sz w:val="18"/>
                <w:szCs w:val="18"/>
              </w:rPr>
              <w:t>遗嘱</w:t>
            </w:r>
            <w:r>
              <w:rPr>
                <w:rFonts w:hint="eastAsia" w:ascii="华文楷体" w:hAnsi="华文楷体" w:eastAsia="华文楷体"/>
                <w:sz w:val="18"/>
                <w:szCs w:val="18"/>
              </w:rPr>
              <w:t>继承或按照相关法令规定进行处理。</w:t>
            </w:r>
          </w:p>
          <w:p>
            <w:pPr>
              <w:spacing w:line="360" w:lineRule="exact"/>
              <w:ind w:firstLine="360" w:firstLineChars="200"/>
              <w:jc w:val="left"/>
              <w:rPr>
                <w:rFonts w:ascii="华文楷体" w:hAnsi="华文楷体" w:eastAsia="华文楷体"/>
                <w:sz w:val="18"/>
                <w:szCs w:val="18"/>
              </w:rPr>
            </w:pPr>
            <w:r>
              <w:rPr>
                <w:rFonts w:hint="eastAsia" w:ascii="华文楷体" w:hAnsi="华文楷体" w:eastAsia="华文楷体"/>
                <w:sz w:val="18"/>
                <w:szCs w:val="18"/>
              </w:rPr>
              <w:t>（2）为免疑义，上述第（1）款中所述“由受益人的直系晚辈婚生血亲享有”均按照如下方式确定享有人及享有比例：</w:t>
            </w:r>
          </w:p>
          <w:p>
            <w:pPr>
              <w:spacing w:line="360" w:lineRule="exact"/>
              <w:ind w:firstLine="360" w:firstLineChars="200"/>
              <w:jc w:val="left"/>
              <w:rPr>
                <w:rFonts w:ascii="华文楷体" w:hAnsi="华文楷体" w:eastAsia="华文楷体"/>
                <w:sz w:val="18"/>
                <w:szCs w:val="18"/>
              </w:rPr>
            </w:pPr>
            <w:r>
              <w:rPr>
                <w:rFonts w:hint="eastAsia" w:ascii="华文楷体" w:hAnsi="华文楷体" w:eastAsia="华文楷体"/>
                <w:sz w:val="18"/>
                <w:szCs w:val="18"/>
              </w:rPr>
              <w:t>在受益人的直系晚辈婚生血亲中，首先由受益人的婚生子女平均享有信托终止时原由该受益人享有的剩余信托财产，如受益人无婚生子女或婚生子女已身故、放弃信托受益权或发生其他丧失信托受益权的情形，则由受益人的婚生孙子女/外孙子女平均享有信托终止时原由该受益人享有的剩余信托财产，如受益人无婚生孙子女/外孙子女或婚生孙子女/外孙子女已身故、放弃信托受益权或发生其他丧失信托受益权的情形，则由受益人婚生孙子女/外孙子女的婚生子女平均享有信托终止时原由该受益人享有的剩余信托财产，以此类推。</w:t>
            </w:r>
          </w:p>
          <w:p>
            <w:pPr>
              <w:spacing w:line="360" w:lineRule="exact"/>
              <w:ind w:firstLine="360" w:firstLineChars="200"/>
              <w:jc w:val="left"/>
              <w:rPr>
                <w:rFonts w:ascii="华文楷体" w:hAnsi="华文楷体" w:eastAsia="华文楷体"/>
                <w:sz w:val="18"/>
                <w:szCs w:val="18"/>
              </w:rPr>
            </w:pPr>
            <w:r>
              <w:rPr>
                <w:rFonts w:hint="eastAsia" w:ascii="华文楷体" w:hAnsi="华文楷体" w:eastAsia="华文楷体"/>
                <w:sz w:val="18"/>
                <w:szCs w:val="18"/>
              </w:rPr>
              <w:t>（3）为免疑义，本信托方案中所有关于“</w:t>
            </w:r>
            <w:r>
              <w:rPr>
                <w:rFonts w:ascii="华文楷体" w:hAnsi="华文楷体" w:eastAsia="华文楷体"/>
                <w:sz w:val="18"/>
                <w:szCs w:val="18"/>
              </w:rPr>
              <w:t>信托终止时信托利益分配规则</w:t>
            </w:r>
            <w:r>
              <w:rPr>
                <w:rFonts w:hint="eastAsia" w:ascii="华文楷体" w:hAnsi="华文楷体" w:eastAsia="华文楷体"/>
                <w:sz w:val="18"/>
                <w:szCs w:val="18"/>
              </w:rPr>
              <w:t>”的约定与10.2.5条约定不一致之处，以本信托方案为准；本信托方案中关于“</w:t>
            </w:r>
            <w:r>
              <w:rPr>
                <w:rFonts w:ascii="华文楷体" w:hAnsi="华文楷体" w:eastAsia="华文楷体"/>
                <w:sz w:val="18"/>
                <w:szCs w:val="18"/>
              </w:rPr>
              <w:t>信托终止时信托利益分配规则</w:t>
            </w:r>
            <w:r>
              <w:rPr>
                <w:rFonts w:hint="eastAsia" w:ascii="华文楷体" w:hAnsi="华文楷体" w:eastAsia="华文楷体"/>
                <w:sz w:val="18"/>
                <w:szCs w:val="18"/>
              </w:rPr>
              <w:t>”的约定未尽之处，按照10.2.5条约定处理。</w:t>
            </w:r>
          </w:p>
        </w:tc>
      </w:tr>
      <w:bookmarkEnd w:id="185"/>
    </w:tbl>
    <w:p>
      <w:pPr>
        <w:adjustRightInd w:val="0"/>
        <w:snapToGrid w:val="0"/>
        <w:spacing w:line="360" w:lineRule="auto"/>
        <w:ind w:firstLine="480" w:firstLineChars="200"/>
        <w:rPr>
          <w:rFonts w:ascii="华文楷体" w:hAnsi="华文楷体" w:eastAsia="华文楷体" w:cs="宋体"/>
          <w:bCs/>
          <w:sz w:val="24"/>
        </w:rPr>
      </w:pPr>
    </w:p>
    <w:p>
      <w:pPr>
        <w:adjustRightInd w:val="0"/>
        <w:snapToGrid w:val="0"/>
        <w:spacing w:line="360" w:lineRule="auto"/>
        <w:ind w:firstLine="480" w:firstLineChars="200"/>
        <w:rPr>
          <w:rFonts w:ascii="华文楷体" w:hAnsi="华文楷体" w:eastAsia="华文楷体" w:cs="宋体"/>
          <w:b/>
          <w:sz w:val="24"/>
        </w:rPr>
      </w:pPr>
      <w:r>
        <w:rPr>
          <w:rFonts w:ascii="华文楷体" w:hAnsi="华文楷体" w:eastAsia="华文楷体"/>
          <w:b/>
          <w:bCs/>
          <w:sz w:val="24"/>
        </w:rPr>
        <w:br w:type="page"/>
      </w:r>
      <w:r>
        <w:rPr>
          <w:rFonts w:hint="eastAsia" w:ascii="华文楷体" w:hAnsi="华文楷体" w:eastAsia="华文楷体" w:cs="宋体"/>
          <w:b/>
          <w:sz w:val="24"/>
        </w:rPr>
        <w:t>【本页为《长安信托</w:t>
      </w:r>
      <w:r>
        <w:rPr>
          <w:rFonts w:ascii="华文楷体" w:hAnsi="华文楷体" w:eastAsia="华文楷体" w:cs="MS Mincho"/>
          <w:b/>
          <w:sz w:val="24"/>
        </w:rPr>
        <w:t>▪</w:t>
      </w:r>
      <w:r>
        <w:rPr>
          <w:rFonts w:hint="eastAsia" w:ascii="华文楷体" w:hAnsi="华文楷体" w:eastAsia="华文楷体" w:cs="宋体"/>
          <w:b/>
          <w:sz w:val="24"/>
        </w:rPr>
        <w:t>恒字2019002号家族信托之分配方案》的签署页，无正文】</w:t>
      </w:r>
    </w:p>
    <w:p>
      <w:pPr>
        <w:adjustRightInd w:val="0"/>
        <w:snapToGrid w:val="0"/>
        <w:spacing w:line="360" w:lineRule="auto"/>
        <w:rPr>
          <w:rFonts w:ascii="华文楷体" w:hAnsi="华文楷体" w:eastAsia="华文楷体" w:cs="宋体"/>
          <w:b/>
          <w:sz w:val="24"/>
        </w:rPr>
      </w:pPr>
    </w:p>
    <w:p>
      <w:pPr>
        <w:adjustRightInd w:val="0"/>
        <w:snapToGrid w:val="0"/>
        <w:spacing w:line="360" w:lineRule="auto"/>
        <w:rPr>
          <w:rFonts w:ascii="华文楷体" w:hAnsi="华文楷体" w:eastAsia="华文楷体" w:cs="宋体"/>
          <w:b/>
          <w:sz w:val="24"/>
        </w:rPr>
      </w:pPr>
    </w:p>
    <w:p>
      <w:pPr>
        <w:adjustRightInd w:val="0"/>
        <w:snapToGrid w:val="0"/>
        <w:spacing w:line="360" w:lineRule="auto"/>
        <w:rPr>
          <w:rFonts w:ascii="华文楷体" w:hAnsi="华文楷体" w:eastAsia="华文楷体" w:cs="宋体"/>
          <w:b/>
          <w:sz w:val="24"/>
        </w:rPr>
      </w:pPr>
    </w:p>
    <w:p>
      <w:pPr>
        <w:adjustRightInd w:val="0"/>
        <w:snapToGrid w:val="0"/>
        <w:spacing w:line="360" w:lineRule="auto"/>
        <w:rPr>
          <w:rFonts w:ascii="华文楷体" w:hAnsi="华文楷体" w:eastAsia="华文楷体" w:cs="宋体"/>
          <w:b/>
          <w:sz w:val="24"/>
        </w:rPr>
      </w:pPr>
    </w:p>
    <w:p>
      <w:pPr>
        <w:adjustRightInd w:val="0"/>
        <w:snapToGrid w:val="0"/>
        <w:spacing w:line="360" w:lineRule="auto"/>
        <w:rPr>
          <w:rFonts w:ascii="华文楷体" w:hAnsi="华文楷体" w:eastAsia="华文楷体" w:cs="宋体"/>
          <w:b/>
          <w:sz w:val="24"/>
        </w:rPr>
      </w:pPr>
    </w:p>
    <w:p>
      <w:pPr>
        <w:adjustRightInd w:val="0"/>
        <w:snapToGrid w:val="0"/>
        <w:spacing w:line="360" w:lineRule="auto"/>
        <w:rPr>
          <w:rFonts w:ascii="华文楷体" w:hAnsi="华文楷体" w:eastAsia="华文楷体"/>
          <w:sz w:val="24"/>
        </w:rPr>
      </w:pPr>
      <w:r>
        <w:rPr>
          <w:rFonts w:hint="eastAsia" w:ascii="华文楷体" w:hAnsi="华文楷体" w:eastAsia="华文楷体"/>
          <w:sz w:val="24"/>
        </w:rPr>
        <w:t>委托人（签字）：</w:t>
      </w: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rPr>
          <w:rFonts w:ascii="华文楷体" w:hAnsi="华文楷体" w:eastAsia="华文楷体"/>
          <w:sz w:val="24"/>
        </w:rPr>
      </w:pPr>
      <w:r>
        <w:rPr>
          <w:rFonts w:hint="eastAsia" w:ascii="华文楷体" w:hAnsi="华文楷体" w:eastAsia="华文楷体"/>
          <w:sz w:val="24"/>
        </w:rPr>
        <w:t>受托人：长安国际信托股份有限公司（公章或合同专用章）</w:t>
      </w: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rPr>
          <w:rFonts w:ascii="华文楷体" w:hAnsi="华文楷体" w:eastAsia="华文楷体"/>
          <w:sz w:val="24"/>
        </w:rPr>
      </w:pPr>
      <w:r>
        <w:rPr>
          <w:rFonts w:hint="eastAsia" w:ascii="华文楷体" w:hAnsi="华文楷体" w:eastAsia="华文楷体"/>
          <w:sz w:val="24"/>
        </w:rPr>
        <w:t>法定代表人或其授权代表（签字或盖章）：</w:t>
      </w: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ind w:firstLine="480"/>
        <w:rPr>
          <w:rFonts w:ascii="华文楷体" w:hAnsi="华文楷体" w:eastAsia="华文楷体"/>
          <w:sz w:val="24"/>
        </w:rPr>
      </w:pPr>
    </w:p>
    <w:p>
      <w:pPr>
        <w:adjustRightInd w:val="0"/>
        <w:snapToGrid w:val="0"/>
        <w:spacing w:line="360" w:lineRule="auto"/>
        <w:jc w:val="right"/>
        <w:rPr>
          <w:rFonts w:ascii="华文楷体" w:hAnsi="华文楷体" w:eastAsia="华文楷体"/>
          <w:sz w:val="24"/>
        </w:rPr>
      </w:pPr>
    </w:p>
    <w:p>
      <w:pPr>
        <w:adjustRightInd w:val="0"/>
        <w:snapToGrid w:val="0"/>
        <w:spacing w:line="360" w:lineRule="auto"/>
        <w:jc w:val="right"/>
        <w:rPr>
          <w:rFonts w:ascii="华文楷体" w:hAnsi="华文楷体" w:eastAsia="华文楷体"/>
          <w:sz w:val="24"/>
        </w:rPr>
      </w:pPr>
    </w:p>
    <w:p>
      <w:pPr>
        <w:adjustRightInd w:val="0"/>
        <w:snapToGrid w:val="0"/>
        <w:spacing w:line="360" w:lineRule="auto"/>
        <w:rPr>
          <w:rFonts w:ascii="华文楷体" w:hAnsi="华文楷体" w:eastAsia="华文楷体"/>
          <w:sz w:val="24"/>
        </w:rPr>
      </w:pPr>
      <w:r>
        <w:rPr>
          <w:rFonts w:hint="eastAsia" w:ascii="华文楷体" w:hAnsi="华文楷体" w:eastAsia="华文楷体"/>
          <w:sz w:val="24"/>
        </w:rPr>
        <w:t>签订及履行地点：陕西省西安市</w:t>
      </w:r>
    </w:p>
    <w:p>
      <w:pPr>
        <w:adjustRightInd w:val="0"/>
        <w:snapToGrid w:val="0"/>
        <w:spacing w:line="360" w:lineRule="auto"/>
        <w:ind w:firstLine="480" w:firstLineChars="200"/>
        <w:rPr>
          <w:rFonts w:ascii="华文楷体" w:hAnsi="华文楷体" w:eastAsia="华文楷体"/>
          <w:sz w:val="24"/>
        </w:rPr>
      </w:pPr>
    </w:p>
    <w:p>
      <w:pPr>
        <w:tabs>
          <w:tab w:val="left" w:pos="1134"/>
        </w:tabs>
        <w:adjustRightInd w:val="0"/>
        <w:snapToGrid w:val="0"/>
        <w:spacing w:line="360" w:lineRule="auto"/>
        <w:rPr>
          <w:rFonts w:ascii="华文楷体" w:hAnsi="华文楷体" w:eastAsia="华文楷体"/>
          <w:sz w:val="24"/>
        </w:rPr>
      </w:pPr>
      <w:r>
        <w:rPr>
          <w:rFonts w:hint="eastAsia" w:ascii="华文楷体" w:hAnsi="华文楷体" w:eastAsia="华文楷体"/>
          <w:sz w:val="24"/>
        </w:rPr>
        <w:t>签署日期：  年  月  日</w:t>
      </w:r>
    </w:p>
    <w:p>
      <w:pPr>
        <w:pStyle w:val="57"/>
        <w:rPr>
          <w:rFonts w:ascii="华文楷体" w:hAnsi="华文楷体" w:eastAsia="华文楷体"/>
        </w:rPr>
      </w:pPr>
    </w:p>
    <w:p>
      <w:pPr>
        <w:pStyle w:val="2"/>
        <w:keepNext w:val="0"/>
        <w:spacing w:line="360" w:lineRule="auto"/>
        <w:jc w:val="left"/>
        <w:rPr>
          <w:rStyle w:val="26"/>
          <w:rFonts w:ascii="华文楷体" w:hAnsi="华文楷体" w:eastAsia="华文楷体"/>
          <w:b/>
          <w:bCs/>
          <w:color w:val="auto"/>
          <w:sz w:val="24"/>
          <w:szCs w:val="24"/>
        </w:rPr>
      </w:pPr>
      <w:r>
        <w:rPr>
          <w:rFonts w:ascii="华文楷体" w:hAnsi="华文楷体" w:eastAsia="华文楷体"/>
        </w:rPr>
        <w:br w:type="page"/>
      </w:r>
      <w:bookmarkStart w:id="186" w:name="_Toc6397533"/>
      <w:bookmarkStart w:id="187" w:name="_Toc457303134"/>
      <w:r>
        <w:rPr>
          <w:rFonts w:ascii="华文楷体" w:hAnsi="华文楷体" w:eastAsia="华文楷体"/>
          <w:color w:val="auto"/>
          <w:sz w:val="24"/>
          <w:szCs w:val="24"/>
        </w:rPr>
        <w:t>附件</w:t>
      </w:r>
      <w:r>
        <w:rPr>
          <w:rFonts w:hint="eastAsia" w:ascii="华文楷体" w:hAnsi="华文楷体" w:eastAsia="华文楷体"/>
          <w:color w:val="auto"/>
          <w:sz w:val="24"/>
          <w:szCs w:val="24"/>
        </w:rPr>
        <w:t>3</w:t>
      </w:r>
      <w:r>
        <w:rPr>
          <w:rFonts w:ascii="华文楷体" w:hAnsi="华文楷体" w:eastAsia="华文楷体"/>
          <w:color w:val="auto"/>
          <w:sz w:val="24"/>
          <w:szCs w:val="24"/>
        </w:rPr>
        <w:t>《信托费用明细》</w:t>
      </w:r>
      <w:bookmarkEnd w:id="186"/>
      <w:bookmarkEnd w:id="187"/>
    </w:p>
    <w:p>
      <w:pPr>
        <w:spacing w:line="360" w:lineRule="auto"/>
        <w:jc w:val="center"/>
        <w:rPr>
          <w:rFonts w:ascii="华文楷体" w:hAnsi="华文楷体" w:eastAsia="华文楷体"/>
          <w:b/>
          <w:sz w:val="24"/>
        </w:rPr>
      </w:pPr>
    </w:p>
    <w:p>
      <w:pPr>
        <w:spacing w:line="360" w:lineRule="auto"/>
        <w:jc w:val="center"/>
        <w:rPr>
          <w:rFonts w:ascii="华文楷体" w:hAnsi="华文楷体" w:eastAsia="华文楷体"/>
          <w:b/>
          <w:sz w:val="24"/>
        </w:rPr>
      </w:pPr>
      <w:r>
        <w:rPr>
          <w:rFonts w:ascii="华文楷体" w:hAnsi="华文楷体" w:eastAsia="华文楷体"/>
          <w:b/>
          <w:sz w:val="24"/>
        </w:rPr>
        <w:t>信托费用明细</w:t>
      </w:r>
    </w:p>
    <w:p>
      <w:pPr>
        <w:spacing w:line="360" w:lineRule="auto"/>
        <w:rPr>
          <w:rFonts w:ascii="华文楷体" w:hAnsi="华文楷体" w:eastAsia="华文楷体"/>
          <w:sz w:val="24"/>
        </w:rPr>
      </w:pPr>
    </w:p>
    <w:p>
      <w:pPr>
        <w:spacing w:line="360" w:lineRule="auto"/>
        <w:ind w:firstLine="480" w:firstLineChars="200"/>
        <w:rPr>
          <w:rFonts w:ascii="华文楷体" w:hAnsi="华文楷体" w:eastAsia="华文楷体"/>
          <w:sz w:val="24"/>
        </w:rPr>
      </w:pPr>
      <w:r>
        <w:rPr>
          <w:rFonts w:ascii="华文楷体" w:hAnsi="华文楷体" w:eastAsia="华文楷体"/>
          <w:sz w:val="24"/>
        </w:rPr>
        <w:t>本附件属于《长安信托</w:t>
      </w:r>
      <w:r>
        <w:rPr>
          <w:rFonts w:ascii="华文楷体" w:hAnsi="华文楷体" w:eastAsia="华文楷体" w:cs="MS Mincho"/>
          <w:sz w:val="24"/>
        </w:rPr>
        <w:t>▪</w:t>
      </w:r>
      <w:r>
        <w:rPr>
          <w:rFonts w:hint="eastAsia" w:ascii="华文楷体" w:hAnsi="华文楷体" w:eastAsia="华文楷体"/>
          <w:sz w:val="24"/>
        </w:rPr>
        <w:t>恒字2019002号家族信托</w:t>
      </w:r>
      <w:r>
        <w:rPr>
          <w:rFonts w:ascii="华文楷体" w:hAnsi="华文楷体" w:eastAsia="华文楷体"/>
          <w:sz w:val="24"/>
        </w:rPr>
        <w:t>之信托合同》（合同编号：</w:t>
      </w:r>
      <w:r>
        <w:rPr>
          <w:rFonts w:hint="eastAsia" w:ascii="华文楷体" w:hAnsi="华文楷体" w:eastAsia="华文楷体"/>
          <w:sz w:val="24"/>
        </w:rPr>
        <w:t>长单恒字</w:t>
      </w:r>
      <w:r>
        <w:rPr>
          <w:rFonts w:ascii="华文楷体" w:hAnsi="华文楷体" w:eastAsia="华文楷体"/>
          <w:sz w:val="24"/>
        </w:rPr>
        <w:t>2019002号19661002-</w:t>
      </w:r>
      <w:r>
        <w:rPr>
          <w:rFonts w:hint="eastAsia" w:ascii="华文楷体" w:hAnsi="华文楷体" w:eastAsia="华文楷体"/>
          <w:sz w:val="24"/>
        </w:rPr>
        <w:t>1</w:t>
      </w:r>
      <w:r>
        <w:rPr>
          <w:rFonts w:ascii="华文楷体" w:hAnsi="华文楷体" w:eastAsia="华文楷体"/>
          <w:sz w:val="24"/>
        </w:rPr>
        <w:t>）的组成部分。委托人、受托人在此确认本信托项下信托费用的类型、收费标准以本附件约定为准</w:t>
      </w:r>
      <w:r>
        <w:rPr>
          <w:rFonts w:hint="eastAsia" w:ascii="华文楷体" w:hAnsi="华文楷体" w:eastAsia="华文楷体"/>
          <w:sz w:val="24"/>
        </w:rPr>
        <w:t>。下列信托费用由信托财产承担：</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1.</w:t>
      </w:r>
      <w:r>
        <w:rPr>
          <w:rFonts w:ascii="华文楷体" w:hAnsi="华文楷体" w:eastAsia="华文楷体"/>
          <w:sz w:val="24"/>
        </w:rPr>
        <w:t>受托人报酬</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1.1受托人报酬为受托人收取的管理费用，本信托的受托人报酬以本条款约定的方式收取。</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1.2计提日：受托人报酬，由受托人于每自然季度末月第二十日（非工作日顺延）、信托财产追加日、信托利益分配日以及信托终止日计提。在每个自然年度</w:t>
      </w:r>
      <w:r>
        <w:rPr>
          <w:rFonts w:ascii="华文楷体" w:hAnsi="华文楷体" w:eastAsia="华文楷体" w:cs="宋体"/>
          <w:sz w:val="24"/>
        </w:rPr>
        <w:t>12</w:t>
      </w:r>
      <w:r>
        <w:rPr>
          <w:rFonts w:hint="eastAsia" w:ascii="华文楷体" w:hAnsi="华文楷体" w:eastAsia="华文楷体" w:cs="宋体"/>
          <w:sz w:val="24"/>
        </w:rPr>
        <w:t>月</w:t>
      </w:r>
      <w:r>
        <w:rPr>
          <w:rFonts w:ascii="华文楷体" w:hAnsi="华文楷体" w:eastAsia="华文楷体" w:cs="宋体"/>
          <w:sz w:val="24"/>
        </w:rPr>
        <w:t>20</w:t>
      </w:r>
      <w:r>
        <w:rPr>
          <w:rFonts w:hint="eastAsia" w:ascii="华文楷体" w:hAnsi="华文楷体" w:eastAsia="华文楷体" w:cs="宋体"/>
          <w:sz w:val="24"/>
        </w:rPr>
        <w:t>日（若遇节假日，则自动顺延至下一个工作日）后的【10】个工作日内收取应付未付的受托人报酬。</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1.3计提标准：</w:t>
      </w:r>
    </w:p>
    <w:p>
      <w:pPr>
        <w:spacing w:line="360" w:lineRule="auto"/>
        <w:ind w:firstLine="480" w:firstLineChars="200"/>
        <w:rPr>
          <w:rFonts w:ascii="华文楷体" w:hAnsi="华文楷体" w:eastAsia="华文楷体" w:cs="宋体"/>
          <w:sz w:val="24"/>
        </w:rPr>
      </w:pPr>
      <w:r>
        <w:rPr>
          <w:rFonts w:ascii="华文楷体" w:hAnsi="华文楷体" w:eastAsia="华文楷体" w:cs="宋体"/>
          <w:sz w:val="24"/>
        </w:rPr>
        <w:t>1.3.1</w:t>
      </w:r>
      <w:r>
        <w:rPr>
          <w:rFonts w:hint="eastAsia" w:ascii="华文楷体" w:hAnsi="华文楷体" w:eastAsia="华文楷体" w:cs="宋体"/>
          <w:sz w:val="24"/>
        </w:rPr>
        <w:t>受托人报酬以信托财产净值为计提依据。</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当期应支付受托人报酬＝上一计提日的信托财产净值×0.25%</w:t>
      </w:r>
      <w:r>
        <w:rPr>
          <w:rFonts w:ascii="华文楷体" w:hAnsi="华文楷体" w:eastAsia="华文楷体" w:cs="宋体"/>
          <w:sz w:val="24"/>
        </w:rPr>
        <w:t>×当期实际天数÷365</w:t>
      </w:r>
      <w:r>
        <w:rPr>
          <w:rFonts w:hint="eastAsia" w:ascii="华文楷体" w:hAnsi="华文楷体" w:eastAsia="华文楷体" w:cs="宋体"/>
          <w:sz w:val="24"/>
        </w:rPr>
        <w:t>。</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其中，第一个“上一计提日”为信托成立生效日，第一个“上一计提日”信托财产净值为信托成立生效日委托人首期交付的信托财产总额。若“上一计提日”信托财产净值小于500万时，则每次应支付受托人报酬</w:t>
      </w:r>
      <w:r>
        <w:rPr>
          <w:rFonts w:ascii="华文楷体" w:hAnsi="华文楷体" w:eastAsia="华文楷体" w:cs="宋体"/>
          <w:sz w:val="24"/>
        </w:rPr>
        <w:t>＝</w:t>
      </w:r>
      <w:r>
        <w:rPr>
          <w:rFonts w:hint="eastAsia" w:ascii="华文楷体" w:hAnsi="华文楷体" w:eastAsia="华文楷体" w:cs="宋体"/>
          <w:sz w:val="24"/>
        </w:rPr>
        <w:t>500万</w:t>
      </w:r>
      <w:r>
        <w:rPr>
          <w:rFonts w:ascii="华文楷体" w:hAnsi="华文楷体" w:eastAsia="华文楷体" w:cs="宋体"/>
          <w:sz w:val="24"/>
        </w:rPr>
        <w:t>×</w:t>
      </w:r>
      <w:r>
        <w:rPr>
          <w:rFonts w:hint="eastAsia" w:ascii="华文楷体" w:hAnsi="华文楷体" w:eastAsia="华文楷体" w:cs="宋体"/>
          <w:sz w:val="24"/>
        </w:rPr>
        <w:t>0.25%</w:t>
      </w:r>
      <w:r>
        <w:rPr>
          <w:rFonts w:ascii="华文楷体" w:hAnsi="华文楷体" w:eastAsia="华文楷体" w:cs="宋体"/>
          <w:sz w:val="24"/>
        </w:rPr>
        <w:t>×当期实际天数÷365</w:t>
      </w:r>
      <w:r>
        <w:rPr>
          <w:rFonts w:hint="eastAsia" w:ascii="华文楷体" w:hAnsi="华文楷体" w:eastAsia="华文楷体" w:cs="宋体"/>
          <w:sz w:val="24"/>
        </w:rPr>
        <w:t>。</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1.3.2信托存续期间，经委托人和受托人双方协商，可以调整受托人报酬费率。</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1.4收款账户：目前该账户是受托人在中信银行西安科技路支行的账户，户名：长安国际信托股份有限公司，账号：7</w:t>
      </w:r>
      <w:r>
        <w:rPr>
          <w:rFonts w:ascii="华文楷体" w:hAnsi="华文楷体" w:eastAsia="华文楷体" w:cs="宋体"/>
          <w:sz w:val="24"/>
        </w:rPr>
        <w:t>22 4101 8680 0000 118</w:t>
      </w:r>
      <w:r>
        <w:rPr>
          <w:rFonts w:hint="eastAsia" w:ascii="华文楷体" w:hAnsi="华文楷体" w:eastAsia="华文楷体" w:cs="宋体"/>
          <w:sz w:val="24"/>
        </w:rPr>
        <w:t>。信托财产专户资金余额不足支付的，按照信托合同第9.4条款处理。</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1.5</w:t>
      </w:r>
      <w:r>
        <w:rPr>
          <w:rFonts w:ascii="华文楷体" w:hAnsi="华文楷体" w:eastAsia="华文楷体"/>
          <w:sz w:val="24"/>
        </w:rPr>
        <w:t>非因受托人的</w:t>
      </w:r>
      <w:r>
        <w:rPr>
          <w:rFonts w:hint="eastAsia" w:ascii="华文楷体" w:hAnsi="华文楷体" w:eastAsia="华文楷体"/>
          <w:sz w:val="24"/>
        </w:rPr>
        <w:t>过错</w:t>
      </w:r>
      <w:r>
        <w:rPr>
          <w:rFonts w:ascii="华文楷体" w:hAnsi="华文楷体" w:eastAsia="华文楷体"/>
          <w:sz w:val="24"/>
        </w:rPr>
        <w:t>导致本合同项下的信托目的不能实现，或信托提前终止时，受托人对此不承担任何责任，受托人已收取的信托报酬无需返还。</w:t>
      </w:r>
    </w:p>
    <w:p>
      <w:pPr>
        <w:spacing w:line="360" w:lineRule="auto"/>
        <w:ind w:firstLine="480" w:firstLineChars="200"/>
        <w:rPr>
          <w:rFonts w:ascii="华文楷体" w:hAnsi="华文楷体" w:eastAsia="华文楷体"/>
          <w:bCs/>
          <w:sz w:val="24"/>
        </w:rPr>
      </w:pPr>
      <w:r>
        <w:rPr>
          <w:rFonts w:hint="eastAsia" w:ascii="华文楷体" w:hAnsi="华文楷体" w:eastAsia="华文楷体"/>
          <w:sz w:val="24"/>
        </w:rPr>
        <w:t xml:space="preserve">2. </w:t>
      </w:r>
      <w:r>
        <w:rPr>
          <w:rFonts w:ascii="华文楷体" w:hAnsi="华文楷体" w:eastAsia="华文楷体"/>
          <w:sz w:val="24"/>
        </w:rPr>
        <w:t>资产</w:t>
      </w:r>
      <w:r>
        <w:rPr>
          <w:rFonts w:ascii="华文楷体" w:hAnsi="华文楷体" w:eastAsia="华文楷体"/>
          <w:bCs/>
          <w:sz w:val="24"/>
        </w:rPr>
        <w:t>运用手续费</w:t>
      </w:r>
    </w:p>
    <w:p>
      <w:pPr>
        <w:spacing w:line="360" w:lineRule="auto"/>
        <w:ind w:firstLine="480" w:firstLineChars="200"/>
        <w:rPr>
          <w:rFonts w:ascii="华文楷体" w:hAnsi="华文楷体" w:eastAsia="华文楷体"/>
          <w:sz w:val="24"/>
        </w:rPr>
      </w:pPr>
      <w:r>
        <w:rPr>
          <w:rFonts w:ascii="华文楷体" w:hAnsi="华文楷体" w:eastAsia="华文楷体"/>
          <w:bCs/>
          <w:sz w:val="24"/>
        </w:rPr>
        <w:t>因信托财产投资标的的运用所支付的资产运用手续费、认购费、申购费、赎回费、管理费、过户费、结算费、佣金、解约费、转换手续费等费用。该费用于受托人对外投资时自信托财产中予以扣除。该费用的收费标准以相关投资标的交易文件约定为准。</w:t>
      </w:r>
    </w:p>
    <w:p>
      <w:pPr>
        <w:spacing w:line="360" w:lineRule="auto"/>
        <w:rPr>
          <w:rFonts w:ascii="华文楷体" w:hAnsi="华文楷体" w:eastAsia="华文楷体"/>
          <w:sz w:val="24"/>
        </w:rPr>
      </w:pPr>
      <w:r>
        <w:rPr>
          <w:rFonts w:hint="eastAsia" w:ascii="华文楷体" w:hAnsi="华文楷体" w:eastAsia="华文楷体"/>
          <w:sz w:val="24"/>
        </w:rPr>
        <w:t xml:space="preserve">    3. </w:t>
      </w:r>
      <w:r>
        <w:rPr>
          <w:rFonts w:ascii="华文楷体" w:hAnsi="华文楷体" w:eastAsia="华文楷体"/>
          <w:sz w:val="24"/>
        </w:rPr>
        <w:t>保管费</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sz w:val="24"/>
        </w:rPr>
        <w:t>3.1</w:t>
      </w:r>
      <w:r>
        <w:rPr>
          <w:rFonts w:ascii="华文楷体" w:hAnsi="华文楷体" w:eastAsia="华文楷体"/>
          <w:sz w:val="24"/>
        </w:rPr>
        <w:t>保管费为</w:t>
      </w:r>
      <w:r>
        <w:rPr>
          <w:rFonts w:hint="eastAsia" w:ascii="华文楷体" w:hAnsi="华文楷体" w:eastAsia="华文楷体"/>
          <w:sz w:val="24"/>
        </w:rPr>
        <w:t>保管行收取的服务费用，</w:t>
      </w:r>
      <w:r>
        <w:rPr>
          <w:rFonts w:hint="eastAsia" w:ascii="华文楷体" w:hAnsi="华文楷体" w:eastAsia="华文楷体" w:cs="宋体"/>
          <w:sz w:val="24"/>
        </w:rPr>
        <w:t>本信托的保管费按以本条款约定的方式收取。</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3.2计提日：每自然季度末月第二十日（非工作日顺延）、信托财产追加日、信托利益分配日以及信托终止日计提。在每个自然年度</w:t>
      </w:r>
      <w:r>
        <w:rPr>
          <w:rFonts w:ascii="华文楷体" w:hAnsi="华文楷体" w:eastAsia="华文楷体" w:cs="宋体"/>
          <w:sz w:val="24"/>
        </w:rPr>
        <w:t>12</w:t>
      </w:r>
      <w:r>
        <w:rPr>
          <w:rFonts w:hint="eastAsia" w:ascii="华文楷体" w:hAnsi="华文楷体" w:eastAsia="华文楷体" w:cs="宋体"/>
          <w:sz w:val="24"/>
        </w:rPr>
        <w:t>月</w:t>
      </w:r>
      <w:r>
        <w:rPr>
          <w:rFonts w:ascii="华文楷体" w:hAnsi="华文楷体" w:eastAsia="华文楷体" w:cs="宋体"/>
          <w:sz w:val="24"/>
        </w:rPr>
        <w:t>20</w:t>
      </w:r>
      <w:r>
        <w:rPr>
          <w:rFonts w:hint="eastAsia" w:ascii="华文楷体" w:hAnsi="华文楷体" w:eastAsia="华文楷体" w:cs="宋体"/>
          <w:sz w:val="24"/>
        </w:rPr>
        <w:t>日（若遇节假日，则自动顺延至下一个工作日）后的【10】个工作日内收取应付未付的保管费。</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3.3计提标准：</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当期应支付保管费＝上一计提日的信托财产净值×0.1</w:t>
      </w:r>
      <w:r>
        <w:rPr>
          <w:rFonts w:ascii="华文楷体" w:hAnsi="华文楷体" w:eastAsia="华文楷体" w:cs="宋体"/>
          <w:sz w:val="24"/>
        </w:rPr>
        <w:t>%×当期实际天数÷365</w:t>
      </w:r>
      <w:r>
        <w:rPr>
          <w:rFonts w:hint="eastAsia" w:ascii="华文楷体" w:hAnsi="华文楷体" w:eastAsia="华文楷体" w:cs="宋体"/>
          <w:sz w:val="24"/>
        </w:rPr>
        <w:t>。</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其中，第一个“上一计提日”为信托成立生效日，第一个“上一计提日信托财产净值为信托成立生效日委托人首期交付的信托财产总额。若“上一计提日信托财产净值小于500万时，则每次应支付保管费</w:t>
      </w:r>
      <w:r>
        <w:rPr>
          <w:rFonts w:ascii="华文楷体" w:hAnsi="华文楷体" w:eastAsia="华文楷体" w:cs="宋体"/>
          <w:sz w:val="24"/>
        </w:rPr>
        <w:t>＝</w:t>
      </w:r>
      <w:r>
        <w:rPr>
          <w:rFonts w:hint="eastAsia" w:ascii="华文楷体" w:hAnsi="华文楷体" w:eastAsia="华文楷体" w:cs="宋体"/>
          <w:sz w:val="24"/>
        </w:rPr>
        <w:t>500万</w:t>
      </w:r>
      <w:r>
        <w:rPr>
          <w:rFonts w:ascii="华文楷体" w:hAnsi="华文楷体" w:eastAsia="华文楷体" w:cs="宋体"/>
          <w:sz w:val="24"/>
        </w:rPr>
        <w:t>×</w:t>
      </w:r>
      <w:r>
        <w:rPr>
          <w:rFonts w:hint="eastAsia" w:ascii="华文楷体" w:hAnsi="华文楷体" w:eastAsia="华文楷体" w:cs="宋体"/>
          <w:sz w:val="24"/>
        </w:rPr>
        <w:t>0.1</w:t>
      </w:r>
      <w:r>
        <w:rPr>
          <w:rFonts w:ascii="华文楷体" w:hAnsi="华文楷体" w:eastAsia="华文楷体" w:cs="宋体"/>
          <w:sz w:val="24"/>
        </w:rPr>
        <w:t>%×当期实际天数÷365</w:t>
      </w:r>
      <w:r>
        <w:rPr>
          <w:rFonts w:hint="eastAsia" w:ascii="华文楷体" w:hAnsi="华文楷体" w:eastAsia="华文楷体" w:cs="宋体"/>
          <w:sz w:val="24"/>
        </w:rPr>
        <w:t>。</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3.4保管费的收款账户以保管合同的约定为准。信托财产专户资金余额不足支付的，按照信托合同第9.4条款处理。</w:t>
      </w:r>
    </w:p>
    <w:p>
      <w:pPr>
        <w:spacing w:line="360" w:lineRule="auto"/>
        <w:ind w:firstLine="480" w:firstLineChars="200"/>
        <w:rPr>
          <w:rFonts w:ascii="华文楷体" w:hAnsi="华文楷体" w:eastAsia="华文楷体"/>
          <w:bCs/>
          <w:sz w:val="24"/>
        </w:rPr>
      </w:pPr>
      <w:r>
        <w:rPr>
          <w:rFonts w:hint="eastAsia" w:ascii="华文楷体" w:hAnsi="华文楷体" w:eastAsia="华文楷体"/>
          <w:sz w:val="24"/>
        </w:rPr>
        <w:t xml:space="preserve">4. </w:t>
      </w:r>
      <w:r>
        <w:rPr>
          <w:rFonts w:ascii="华文楷体" w:hAnsi="华文楷体" w:eastAsia="华文楷体"/>
          <w:bCs/>
          <w:sz w:val="24"/>
        </w:rPr>
        <w:t>财务顾问费</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sz w:val="24"/>
        </w:rPr>
        <w:t>4.1财务顾问</w:t>
      </w:r>
      <w:r>
        <w:rPr>
          <w:rFonts w:ascii="华文楷体" w:hAnsi="华文楷体" w:eastAsia="华文楷体"/>
          <w:sz w:val="24"/>
        </w:rPr>
        <w:t>费为</w:t>
      </w:r>
      <w:r>
        <w:rPr>
          <w:rFonts w:hint="eastAsia" w:ascii="华文楷体" w:hAnsi="华文楷体" w:eastAsia="华文楷体"/>
          <w:sz w:val="24"/>
        </w:rPr>
        <w:t>财务顾问机构收取的服务费用，</w:t>
      </w:r>
      <w:r>
        <w:rPr>
          <w:rFonts w:hint="eastAsia" w:ascii="华文楷体" w:hAnsi="华文楷体" w:eastAsia="华文楷体" w:cs="宋体"/>
          <w:sz w:val="24"/>
        </w:rPr>
        <w:t>本信托的财务顾问费按以本条款约定的方式收取。</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bCs/>
          <w:sz w:val="24"/>
        </w:rPr>
        <w:t>4.2计提日：</w:t>
      </w:r>
      <w:r>
        <w:rPr>
          <w:rFonts w:hint="eastAsia" w:ascii="华文楷体" w:hAnsi="华文楷体" w:eastAsia="华文楷体" w:cs="宋体"/>
          <w:sz w:val="24"/>
        </w:rPr>
        <w:t>每自然季度末月第二十日（非工作日顺延）、信托财产追加日、信托利益分配日以及信托终止日计提。在每个自然年度</w:t>
      </w:r>
      <w:r>
        <w:rPr>
          <w:rFonts w:ascii="华文楷体" w:hAnsi="华文楷体" w:eastAsia="华文楷体" w:cs="宋体"/>
          <w:sz w:val="24"/>
        </w:rPr>
        <w:t>12</w:t>
      </w:r>
      <w:r>
        <w:rPr>
          <w:rFonts w:hint="eastAsia" w:ascii="华文楷体" w:hAnsi="华文楷体" w:eastAsia="华文楷体" w:cs="宋体"/>
          <w:sz w:val="24"/>
        </w:rPr>
        <w:t>月</w:t>
      </w:r>
      <w:r>
        <w:rPr>
          <w:rFonts w:ascii="华文楷体" w:hAnsi="华文楷体" w:eastAsia="华文楷体" w:cs="宋体"/>
          <w:sz w:val="24"/>
        </w:rPr>
        <w:t>20</w:t>
      </w:r>
      <w:r>
        <w:rPr>
          <w:rFonts w:hint="eastAsia" w:ascii="华文楷体" w:hAnsi="华文楷体" w:eastAsia="华文楷体" w:cs="宋体"/>
          <w:sz w:val="24"/>
        </w:rPr>
        <w:t>日（若遇节假日，则自动顺延至下一个工作日）后的【10】个工作日内收取应付未付的财务顾问费。</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4.3计提标准：</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当期应支付财务顾问费＝上一计提日的信托财产净值×0.2</w:t>
      </w:r>
      <w:r>
        <w:rPr>
          <w:rFonts w:ascii="华文楷体" w:hAnsi="华文楷体" w:eastAsia="华文楷体" w:cs="宋体"/>
          <w:sz w:val="24"/>
        </w:rPr>
        <w:t>%×当期实际天数÷365</w:t>
      </w:r>
      <w:r>
        <w:rPr>
          <w:rFonts w:hint="eastAsia" w:ascii="华文楷体" w:hAnsi="华文楷体" w:eastAsia="华文楷体" w:cs="宋体"/>
          <w:sz w:val="24"/>
        </w:rPr>
        <w:t>。</w:t>
      </w:r>
    </w:p>
    <w:p>
      <w:pPr>
        <w:spacing w:line="360" w:lineRule="auto"/>
        <w:ind w:firstLine="480" w:firstLineChars="200"/>
        <w:rPr>
          <w:rFonts w:ascii="华文楷体" w:hAnsi="华文楷体" w:eastAsia="华文楷体" w:cs="宋体"/>
          <w:sz w:val="24"/>
        </w:rPr>
      </w:pPr>
      <w:r>
        <w:rPr>
          <w:rFonts w:hint="eastAsia" w:ascii="华文楷体" w:hAnsi="华文楷体" w:eastAsia="华文楷体" w:cs="宋体"/>
          <w:sz w:val="24"/>
        </w:rPr>
        <w:t>其中，第一个“上一计提日”为信托成立生效日，第一个“上一计提日信托财产净值为信托成立生效日委托人首期交付的信托财产总额。若“上一计提日信托财产净值小于500万时，则每次应支付财务顾问费</w:t>
      </w:r>
      <w:r>
        <w:rPr>
          <w:rFonts w:ascii="华文楷体" w:hAnsi="华文楷体" w:eastAsia="华文楷体" w:cs="宋体"/>
          <w:sz w:val="24"/>
        </w:rPr>
        <w:t>＝</w:t>
      </w:r>
      <w:r>
        <w:rPr>
          <w:rFonts w:hint="eastAsia" w:ascii="华文楷体" w:hAnsi="华文楷体" w:eastAsia="华文楷体" w:cs="宋体"/>
          <w:sz w:val="24"/>
        </w:rPr>
        <w:t>500万</w:t>
      </w:r>
      <w:r>
        <w:rPr>
          <w:rFonts w:ascii="华文楷体" w:hAnsi="华文楷体" w:eastAsia="华文楷体" w:cs="宋体"/>
          <w:sz w:val="24"/>
        </w:rPr>
        <w:t>×</w:t>
      </w:r>
      <w:r>
        <w:rPr>
          <w:rFonts w:hint="eastAsia" w:ascii="华文楷体" w:hAnsi="华文楷体" w:eastAsia="华文楷体" w:cs="宋体"/>
          <w:sz w:val="24"/>
        </w:rPr>
        <w:t>0.2</w:t>
      </w:r>
      <w:r>
        <w:rPr>
          <w:rFonts w:ascii="华文楷体" w:hAnsi="华文楷体" w:eastAsia="华文楷体" w:cs="宋体"/>
          <w:sz w:val="24"/>
        </w:rPr>
        <w:t>%×当期实际天数÷365</w:t>
      </w:r>
      <w:r>
        <w:rPr>
          <w:rFonts w:hint="eastAsia" w:ascii="华文楷体" w:hAnsi="华文楷体" w:eastAsia="华文楷体" w:cs="宋体"/>
          <w:sz w:val="24"/>
        </w:rPr>
        <w:t>。</w:t>
      </w:r>
    </w:p>
    <w:p>
      <w:pPr>
        <w:spacing w:line="360" w:lineRule="auto"/>
        <w:ind w:firstLine="480" w:firstLineChars="200"/>
        <w:rPr>
          <w:rFonts w:ascii="华文楷体" w:hAnsi="华文楷体" w:eastAsia="华文楷体"/>
          <w:bCs/>
          <w:sz w:val="24"/>
        </w:rPr>
      </w:pPr>
      <w:r>
        <w:rPr>
          <w:rFonts w:hint="eastAsia" w:ascii="华文楷体" w:hAnsi="华文楷体" w:eastAsia="华文楷体" w:cs="宋体"/>
          <w:sz w:val="24"/>
        </w:rPr>
        <w:t>4.4财务顾问费收款账户以《投资管理及财务顾问协议》的约定为准</w:t>
      </w:r>
      <w:r>
        <w:rPr>
          <w:rFonts w:hint="eastAsia" w:ascii="华文楷体" w:hAnsi="华文楷体" w:eastAsia="华文楷体"/>
          <w:bCs/>
          <w:sz w:val="24"/>
        </w:rPr>
        <w:t>。</w:t>
      </w:r>
      <w:r>
        <w:rPr>
          <w:rFonts w:hint="eastAsia" w:ascii="华文楷体" w:hAnsi="华文楷体" w:eastAsia="华文楷体" w:cs="宋体"/>
          <w:sz w:val="24"/>
        </w:rPr>
        <w:t>信托财产专户资金余额不足支付的，按照信托合同第9.4条款处理。</w:t>
      </w:r>
    </w:p>
    <w:p>
      <w:pPr>
        <w:spacing w:line="360" w:lineRule="auto"/>
        <w:ind w:firstLine="480" w:firstLineChars="200"/>
        <w:rPr>
          <w:rFonts w:ascii="华文楷体" w:hAnsi="华文楷体" w:eastAsia="华文楷体"/>
          <w:bCs/>
          <w:sz w:val="24"/>
        </w:rPr>
      </w:pPr>
      <w:r>
        <w:rPr>
          <w:rFonts w:hint="eastAsia" w:ascii="华文楷体" w:hAnsi="华文楷体" w:eastAsia="华文楷体"/>
          <w:bCs/>
          <w:sz w:val="24"/>
        </w:rPr>
        <w:t>4.5非因财务顾问的原因导致本合同项下的信托目的不能实现，或信托提前终止时，财务顾问对此不承担任何责任，财务顾问已收取的财务顾问费无需返还。</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5. </w:t>
      </w:r>
      <w:r>
        <w:rPr>
          <w:rFonts w:hint="eastAsia" w:ascii="华文楷体" w:hAnsi="华文楷体" w:eastAsia="华文楷体"/>
          <w:bCs/>
          <w:sz w:val="24"/>
        </w:rPr>
        <w:t>其他信托费用</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5.1 </w:t>
      </w:r>
      <w:r>
        <w:rPr>
          <w:rFonts w:ascii="华文楷体" w:hAnsi="华文楷体" w:eastAsia="华文楷体"/>
          <w:bCs/>
          <w:sz w:val="24"/>
        </w:rPr>
        <w:t>除受托人有故意或重大过失外，受托人因有关管理、运用或处分信托财产，对第三方为诉讼上或非诉讼上的请求，或遭受第三方的诉讼或非诉讼上的请求，由此所发生之一切费用。</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5.2 </w:t>
      </w:r>
      <w:r>
        <w:rPr>
          <w:rFonts w:ascii="华文楷体" w:hAnsi="华文楷体" w:eastAsia="华文楷体"/>
          <w:bCs/>
          <w:sz w:val="24"/>
        </w:rPr>
        <w:t>受托人因</w:t>
      </w:r>
      <w:r>
        <w:rPr>
          <w:rFonts w:ascii="华文楷体" w:hAnsi="华文楷体" w:eastAsia="华文楷体"/>
          <w:sz w:val="24"/>
        </w:rPr>
        <w:t>管理、运用或处分信托财产有关事项所应支付律师、会计师、或其他专门技术或职业人士之报酬或费用；及其他为处理信托事务所产生的相关费用或负担的债务。</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5.3受托人管理信托事务，管理、运用或处分信托财产所发生的其他费用。</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6. </w:t>
      </w:r>
      <w:r>
        <w:rPr>
          <w:rFonts w:ascii="华文楷体" w:hAnsi="华文楷体" w:eastAsia="华文楷体"/>
          <w:bCs/>
          <w:sz w:val="24"/>
        </w:rPr>
        <w:t>除非</w:t>
      </w:r>
      <w:r>
        <w:rPr>
          <w:rFonts w:ascii="华文楷体" w:hAnsi="华文楷体" w:eastAsia="华文楷体"/>
          <w:sz w:val="24"/>
        </w:rPr>
        <w:t>特别说明，上述所有信托费用均在发生时，由受托人以支付完毕信托合同</w:t>
      </w:r>
      <w:r>
        <w:fldChar w:fldCharType="begin"/>
      </w:r>
      <w:r>
        <w:instrText xml:space="preserve"> REF _Ref328227157 \r \h  \* MERGEFORMAT </w:instrText>
      </w:r>
      <w:r>
        <w:fldChar w:fldCharType="separate"/>
      </w:r>
      <w:r>
        <w:rPr>
          <w:rFonts w:ascii="华文楷体" w:hAnsi="华文楷体" w:eastAsia="华文楷体"/>
          <w:sz w:val="24"/>
        </w:rPr>
        <w:t>第9条</w:t>
      </w:r>
      <w:r>
        <w:rPr>
          <w:rFonts w:ascii="华文楷体" w:hAnsi="华文楷体" w:eastAsia="华文楷体"/>
          <w:sz w:val="24"/>
        </w:rPr>
        <w:fldChar w:fldCharType="end"/>
      </w:r>
      <w:r>
        <w:rPr>
          <w:rFonts w:ascii="华文楷体" w:hAnsi="华文楷体" w:eastAsia="华文楷体"/>
          <w:sz w:val="24"/>
        </w:rPr>
        <w:t>项下应付未付税赋（如有）后的现金类信托财产予以支付。</w:t>
      </w:r>
      <w:r>
        <w:rPr>
          <w:rFonts w:hint="eastAsia" w:ascii="华文楷体" w:hAnsi="华文楷体" w:eastAsia="华文楷体"/>
          <w:sz w:val="24"/>
        </w:rPr>
        <w:t>如信托费用、税赋支付时点的现金类信托财产不足支付而形成差额的，则委托人有义务予以补足，受益人对该补足支付义务承担连带责任</w:t>
      </w:r>
      <w:r>
        <w:rPr>
          <w:rFonts w:ascii="华文楷体" w:hAnsi="华文楷体" w:eastAsia="华文楷体"/>
          <w:sz w:val="24"/>
        </w:rPr>
        <w:t>。如委托人或受益人</w:t>
      </w:r>
      <w:r>
        <w:rPr>
          <w:rFonts w:hint="eastAsia" w:ascii="华文楷体" w:hAnsi="华文楷体" w:eastAsia="华文楷体"/>
          <w:sz w:val="24"/>
        </w:rPr>
        <w:t>未在受托人限定期限内履行</w:t>
      </w:r>
      <w:r>
        <w:rPr>
          <w:rFonts w:ascii="华文楷体" w:hAnsi="华文楷体" w:eastAsia="华文楷体"/>
          <w:sz w:val="24"/>
        </w:rPr>
        <w:t>补足</w:t>
      </w:r>
      <w:r>
        <w:rPr>
          <w:rFonts w:hint="eastAsia" w:ascii="华文楷体" w:hAnsi="华文楷体" w:eastAsia="华文楷体"/>
          <w:sz w:val="24"/>
        </w:rPr>
        <w:t>支付义务</w:t>
      </w:r>
      <w:r>
        <w:rPr>
          <w:rFonts w:ascii="华文楷体" w:hAnsi="华文楷体" w:eastAsia="华文楷体"/>
          <w:sz w:val="24"/>
        </w:rPr>
        <w:t>，则受托人有权</w:t>
      </w:r>
      <w:r>
        <w:rPr>
          <w:rFonts w:hint="eastAsia" w:ascii="华文楷体" w:hAnsi="华文楷体" w:eastAsia="华文楷体"/>
          <w:sz w:val="24"/>
        </w:rPr>
        <w:t>直接变现信托财产后对上述差额</w:t>
      </w:r>
      <w:r>
        <w:rPr>
          <w:rFonts w:ascii="华文楷体" w:hAnsi="华文楷体" w:eastAsia="华文楷体"/>
          <w:sz w:val="24"/>
        </w:rPr>
        <w:t>予以补足</w:t>
      </w:r>
      <w:r>
        <w:rPr>
          <w:rFonts w:hint="eastAsia" w:ascii="华文楷体" w:hAnsi="华文楷体" w:eastAsia="华文楷体"/>
          <w:sz w:val="24"/>
        </w:rPr>
        <w:t>。无论如何，受托人对上述信托费用的支付没有垫付义务，但如以固有财产先行垫付的，则针对该垫付资金及其资金成本形成信托财产对受托人固有财产的负债，受托人享有针对信托财产对应金额的优先受偿权。如因委托人、受益人或财务顾问的原因导致信托财产未能及时变现以补足差额，致使信托财产遭受损失的，受托人不承担任何责任。</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7. </w:t>
      </w:r>
      <w:r>
        <w:rPr>
          <w:rFonts w:ascii="华文楷体" w:hAnsi="华文楷体" w:eastAsia="华文楷体"/>
          <w:sz w:val="24"/>
        </w:rPr>
        <w:t>如无相反约定，本文件中的词语和简称与委托人与受托人签署的《长安信托</w:t>
      </w:r>
      <w:r>
        <w:rPr>
          <w:rFonts w:ascii="华文楷体" w:hAnsi="华文楷体" w:eastAsia="华文楷体" w:cs="MS Mincho"/>
          <w:sz w:val="24"/>
        </w:rPr>
        <w:t>▪</w:t>
      </w:r>
      <w:r>
        <w:rPr>
          <w:rFonts w:hint="eastAsia" w:ascii="华文楷体" w:hAnsi="华文楷体" w:eastAsia="华文楷体"/>
          <w:sz w:val="24"/>
        </w:rPr>
        <w:t>恒字 2019002号家族信托</w:t>
      </w:r>
      <w:r>
        <w:rPr>
          <w:rFonts w:ascii="华文楷体" w:hAnsi="华文楷体" w:eastAsia="华文楷体"/>
          <w:sz w:val="24"/>
        </w:rPr>
        <w:t>之信托合同》（合同编号</w:t>
      </w:r>
      <w:bookmarkStart w:id="188" w:name="Text19"/>
      <w:r>
        <w:rPr>
          <w:rFonts w:hint="eastAsia" w:ascii="华文楷体" w:hAnsi="华文楷体" w:eastAsia="华文楷体"/>
          <w:sz w:val="24"/>
        </w:rPr>
        <w:t>：</w:t>
      </w:r>
      <w:bookmarkEnd w:id="188"/>
      <w:r>
        <w:rPr>
          <w:rFonts w:hint="eastAsia" w:ascii="华文楷体" w:hAnsi="华文楷体" w:eastAsia="华文楷体"/>
          <w:snapToGrid w:val="0"/>
          <w:kern w:val="0"/>
          <w:sz w:val="24"/>
        </w:rPr>
        <w:t>长单恒字2019002号19661002-1</w:t>
      </w:r>
      <w:r>
        <w:rPr>
          <w:rFonts w:ascii="华文楷体" w:hAnsi="华文楷体" w:eastAsia="华文楷体"/>
          <w:sz w:val="24"/>
        </w:rPr>
        <w:t>）所定义的相同词语和简称，具有相同的含义。</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8. </w:t>
      </w:r>
      <w:r>
        <w:rPr>
          <w:rFonts w:ascii="华文楷体" w:hAnsi="华文楷体" w:eastAsia="华文楷体"/>
          <w:sz w:val="24"/>
        </w:rPr>
        <w:t>本《信托费用明细》自委托人签字且受托人法定代表人签字（或盖章）并加盖公章</w:t>
      </w:r>
      <w:r>
        <w:rPr>
          <w:rFonts w:hint="eastAsia" w:ascii="华文楷体" w:hAnsi="华文楷体" w:eastAsia="华文楷体"/>
          <w:sz w:val="24"/>
        </w:rPr>
        <w:t>或合同专用章之日</w:t>
      </w:r>
      <w:r>
        <w:rPr>
          <w:rFonts w:ascii="华文楷体" w:hAnsi="华文楷体" w:eastAsia="华文楷体"/>
          <w:sz w:val="24"/>
        </w:rPr>
        <w:t>起生效。本《信托费用明细》代替签字日之前委托人、受托人出具的相同文件及其项下内容，签字日之前同类文件内容与本《信托费用明细》内容不一致的，以本《信托费用明细》内容为准；本《信托税赋费用明细》未记载的，以签字日之前同类文件内容为准。</w:t>
      </w:r>
    </w:p>
    <w:p>
      <w:pPr>
        <w:spacing w:line="360" w:lineRule="auto"/>
        <w:ind w:firstLine="480" w:firstLineChars="200"/>
        <w:rPr>
          <w:rFonts w:ascii="华文楷体" w:hAnsi="华文楷体" w:eastAsia="华文楷体"/>
          <w:sz w:val="24"/>
        </w:rPr>
      </w:pPr>
      <w:r>
        <w:rPr>
          <w:rFonts w:hint="eastAsia" w:ascii="华文楷体" w:hAnsi="华文楷体" w:eastAsia="华文楷体"/>
          <w:sz w:val="24"/>
        </w:rPr>
        <w:t xml:space="preserve">9. </w:t>
      </w:r>
      <w:r>
        <w:rPr>
          <w:rFonts w:ascii="华文楷体" w:hAnsi="华文楷体" w:eastAsia="华文楷体"/>
          <w:sz w:val="24"/>
        </w:rPr>
        <w:t>本《信托费用明细》</w:t>
      </w:r>
      <w:r>
        <w:rPr>
          <w:rFonts w:hint="eastAsia" w:ascii="华文楷体" w:hAnsi="华文楷体" w:eastAsia="华文楷体"/>
          <w:sz w:val="24"/>
        </w:rPr>
        <w:t>壹</w:t>
      </w:r>
      <w:r>
        <w:rPr>
          <w:rFonts w:ascii="华文楷体" w:hAnsi="华文楷体" w:eastAsia="华文楷体"/>
          <w:sz w:val="24"/>
        </w:rPr>
        <w:t>式</w:t>
      </w:r>
      <w:r>
        <w:rPr>
          <w:rFonts w:hint="eastAsia" w:ascii="华文楷体" w:hAnsi="华文楷体" w:eastAsia="华文楷体"/>
          <w:sz w:val="24"/>
        </w:rPr>
        <w:t>叁</w:t>
      </w:r>
      <w:r>
        <w:rPr>
          <w:rFonts w:ascii="华文楷体" w:hAnsi="华文楷体" w:eastAsia="华文楷体"/>
          <w:sz w:val="24"/>
        </w:rPr>
        <w:t>份，委托人持</w:t>
      </w:r>
      <w:r>
        <w:rPr>
          <w:rFonts w:hint="eastAsia" w:ascii="华文楷体" w:hAnsi="华文楷体" w:eastAsia="华文楷体"/>
          <w:sz w:val="24"/>
        </w:rPr>
        <w:t>贰</w:t>
      </w:r>
      <w:r>
        <w:rPr>
          <w:rFonts w:ascii="华文楷体" w:hAnsi="华文楷体" w:eastAsia="华文楷体"/>
          <w:sz w:val="24"/>
        </w:rPr>
        <w:t>份</w:t>
      </w:r>
      <w:r>
        <w:rPr>
          <w:rFonts w:hint="eastAsia" w:ascii="华文楷体" w:hAnsi="华文楷体" w:eastAsia="华文楷体"/>
          <w:sz w:val="24"/>
        </w:rPr>
        <w:t>（其中一份，委托人委托本信托财务顾问机构中国农业银行股份有限公司持有）</w:t>
      </w:r>
      <w:r>
        <w:rPr>
          <w:rFonts w:ascii="华文楷体" w:hAnsi="华文楷体" w:eastAsia="华文楷体"/>
          <w:sz w:val="24"/>
        </w:rPr>
        <w:t>，受托人持壹份，每份具有同等法律效力。</w:t>
      </w:r>
    </w:p>
    <w:p>
      <w:pPr>
        <w:adjustRightInd w:val="0"/>
        <w:snapToGrid w:val="0"/>
        <w:spacing w:line="360" w:lineRule="auto"/>
        <w:ind w:firstLine="480" w:firstLineChars="200"/>
        <w:rPr>
          <w:rFonts w:ascii="华文楷体" w:hAnsi="华文楷体" w:eastAsia="华文楷体"/>
          <w:b/>
          <w:bCs/>
          <w:sz w:val="24"/>
        </w:rPr>
      </w:pPr>
      <w:r>
        <w:rPr>
          <w:rFonts w:hint="eastAsia" w:ascii="华文楷体" w:hAnsi="华文楷体" w:eastAsia="华文楷体"/>
          <w:b/>
          <w:bCs/>
          <w:sz w:val="24"/>
        </w:rPr>
        <w:t>（以下无正文）</w:t>
      </w:r>
    </w:p>
    <w:p>
      <w:pPr>
        <w:spacing w:line="360" w:lineRule="auto"/>
        <w:jc w:val="left"/>
        <w:rPr>
          <w:rFonts w:ascii="华文楷体" w:hAnsi="华文楷体" w:eastAsia="华文楷体"/>
          <w:b/>
          <w:bCs/>
          <w:sz w:val="24"/>
        </w:rPr>
      </w:pPr>
      <w:r>
        <w:rPr>
          <w:rFonts w:ascii="华文楷体" w:hAnsi="华文楷体" w:eastAsia="华文楷体"/>
          <w:sz w:val="24"/>
        </w:rPr>
        <w:br w:type="page"/>
      </w:r>
      <w:bookmarkStart w:id="189" w:name="_Toc481149828"/>
      <w:bookmarkStart w:id="190" w:name="_Toc6166"/>
      <w:r>
        <w:rPr>
          <w:rFonts w:hint="eastAsia" w:ascii="华文楷体" w:hAnsi="华文楷体" w:eastAsia="华文楷体"/>
          <w:b/>
          <w:bCs/>
          <w:sz w:val="24"/>
        </w:rPr>
        <w:t>【本页为</w:t>
      </w:r>
      <w:r>
        <w:rPr>
          <w:rFonts w:hint="eastAsia" w:ascii="华文楷体" w:hAnsi="华文楷体" w:eastAsia="华文楷体" w:cs="宋体"/>
          <w:b/>
          <w:bCs/>
          <w:sz w:val="24"/>
        </w:rPr>
        <w:t>长安信托</w:t>
      </w:r>
      <w:r>
        <w:rPr>
          <w:rFonts w:ascii="华文楷体" w:hAnsi="华文楷体" w:eastAsia="华文楷体" w:cs="MS Mincho"/>
          <w:b/>
          <w:bCs/>
          <w:sz w:val="24"/>
        </w:rPr>
        <w:t>▪</w:t>
      </w:r>
      <w:r>
        <w:rPr>
          <w:rFonts w:hint="eastAsia" w:ascii="华文楷体" w:hAnsi="华文楷体" w:eastAsia="华文楷体" w:cs="宋体"/>
          <w:b/>
          <w:bCs/>
          <w:sz w:val="24"/>
        </w:rPr>
        <w:t>恒字2019002号</w:t>
      </w:r>
      <w:r>
        <w:rPr>
          <w:rFonts w:hint="eastAsia" w:ascii="华文楷体" w:hAnsi="华文楷体" w:eastAsia="华文楷体"/>
          <w:b/>
          <w:bCs/>
          <w:sz w:val="24"/>
        </w:rPr>
        <w:t>家族信托之《信托费用明细》的签署页，无正文】</w:t>
      </w:r>
      <w:bookmarkEnd w:id="189"/>
      <w:bookmarkEnd w:id="190"/>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r>
        <w:rPr>
          <w:rFonts w:ascii="华文楷体" w:hAnsi="华文楷体" w:eastAsia="华文楷体"/>
          <w:sz w:val="24"/>
        </w:rPr>
        <w:t>委托人（签字）：</w:t>
      </w: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r>
        <w:rPr>
          <w:rFonts w:ascii="华文楷体" w:hAnsi="华文楷体" w:eastAsia="华文楷体"/>
          <w:sz w:val="24"/>
        </w:rPr>
        <w:t>受托人</w:t>
      </w:r>
      <w:r>
        <w:rPr>
          <w:rFonts w:hint="eastAsia" w:ascii="华文楷体" w:hAnsi="华文楷体" w:eastAsia="华文楷体"/>
          <w:sz w:val="24"/>
        </w:rPr>
        <w:t>：</w:t>
      </w:r>
      <w:r>
        <w:rPr>
          <w:rFonts w:ascii="华文楷体" w:hAnsi="华文楷体" w:eastAsia="华文楷体"/>
          <w:sz w:val="24"/>
        </w:rPr>
        <w:t>长安国际信托</w:t>
      </w:r>
      <w:r>
        <w:rPr>
          <w:rFonts w:hint="eastAsia" w:ascii="华文楷体" w:hAnsi="华文楷体" w:eastAsia="华文楷体"/>
          <w:sz w:val="24"/>
        </w:rPr>
        <w:t>股份</w:t>
      </w:r>
      <w:r>
        <w:rPr>
          <w:rFonts w:ascii="华文楷体" w:hAnsi="华文楷体" w:eastAsia="华文楷体"/>
          <w:sz w:val="24"/>
        </w:rPr>
        <w:t xml:space="preserve">有限公司 </w:t>
      </w:r>
      <w:r>
        <w:rPr>
          <w:rFonts w:hint="eastAsia" w:ascii="华文楷体" w:hAnsi="华文楷体" w:eastAsia="华文楷体"/>
          <w:sz w:val="24"/>
        </w:rPr>
        <w:t>（公章或合同专用章）</w:t>
      </w: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u w:val="single"/>
        </w:rPr>
      </w:pPr>
      <w:r>
        <w:rPr>
          <w:rFonts w:ascii="华文楷体" w:hAnsi="华文楷体" w:eastAsia="华文楷体"/>
          <w:sz w:val="24"/>
        </w:rPr>
        <w:t>法定代表人</w:t>
      </w:r>
      <w:r>
        <w:rPr>
          <w:rFonts w:hint="eastAsia" w:ascii="华文楷体" w:hAnsi="华文楷体" w:eastAsia="华文楷体"/>
          <w:sz w:val="24"/>
        </w:rPr>
        <w:t>或授权代表</w:t>
      </w:r>
      <w:r>
        <w:rPr>
          <w:rFonts w:ascii="华文楷体" w:hAnsi="华文楷体" w:eastAsia="华文楷体"/>
          <w:sz w:val="24"/>
        </w:rPr>
        <w:t>（</w:t>
      </w:r>
      <w:r>
        <w:rPr>
          <w:rFonts w:hint="eastAsia" w:ascii="华文楷体" w:hAnsi="华文楷体" w:eastAsia="华文楷体"/>
          <w:sz w:val="24"/>
        </w:rPr>
        <w:t>签字</w:t>
      </w:r>
      <w:r>
        <w:rPr>
          <w:rFonts w:ascii="华文楷体" w:hAnsi="华文楷体" w:eastAsia="华文楷体"/>
          <w:sz w:val="24"/>
        </w:rPr>
        <w:t>或盖章）：</w:t>
      </w: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p>
    <w:p>
      <w:pPr>
        <w:spacing w:line="360" w:lineRule="auto"/>
        <w:jc w:val="left"/>
        <w:rPr>
          <w:rFonts w:ascii="华文楷体" w:hAnsi="华文楷体" w:eastAsia="华文楷体"/>
          <w:sz w:val="24"/>
        </w:rPr>
      </w:pPr>
      <w:r>
        <w:rPr>
          <w:rFonts w:hint="eastAsia" w:ascii="华文楷体" w:hAnsi="华文楷体" w:eastAsia="华文楷体"/>
          <w:sz w:val="24"/>
        </w:rPr>
        <w:t>签订及履行地点：陕西省西安市</w:t>
      </w:r>
    </w:p>
    <w:p>
      <w:pPr>
        <w:spacing w:line="360" w:lineRule="auto"/>
        <w:jc w:val="left"/>
        <w:rPr>
          <w:rFonts w:ascii="华文楷体" w:hAnsi="华文楷体" w:eastAsia="华文楷体"/>
          <w:sz w:val="24"/>
        </w:rPr>
      </w:pPr>
    </w:p>
    <w:p>
      <w:pPr>
        <w:pStyle w:val="57"/>
        <w:ind w:left="0" w:firstLine="0"/>
        <w:rPr>
          <w:rFonts w:ascii="华文楷体" w:hAnsi="华文楷体" w:eastAsia="华文楷体"/>
          <w:b w:val="0"/>
        </w:rPr>
      </w:pPr>
      <w:r>
        <w:rPr>
          <w:rFonts w:ascii="华文楷体" w:hAnsi="华文楷体" w:eastAsia="华文楷体"/>
          <w:b w:val="0"/>
        </w:rPr>
        <w:t>签署时间：</w:t>
      </w:r>
      <w:r>
        <w:rPr>
          <w:rFonts w:hint="eastAsia" w:ascii="华文楷体" w:hAnsi="华文楷体" w:eastAsia="华文楷体"/>
          <w:b w:val="0"/>
        </w:rPr>
        <w:t xml:space="preserve">     </w:t>
      </w:r>
      <w:r>
        <w:rPr>
          <w:rFonts w:ascii="华文楷体" w:hAnsi="华文楷体" w:eastAsia="华文楷体"/>
          <w:b w:val="0"/>
        </w:rPr>
        <w:t>年</w:t>
      </w:r>
      <w:r>
        <w:rPr>
          <w:rFonts w:hint="eastAsia" w:ascii="华文楷体" w:hAnsi="华文楷体" w:eastAsia="华文楷体"/>
          <w:b w:val="0"/>
        </w:rPr>
        <w:t xml:space="preserve">    </w:t>
      </w:r>
      <w:r>
        <w:rPr>
          <w:rFonts w:ascii="华文楷体" w:hAnsi="华文楷体" w:eastAsia="华文楷体"/>
          <w:b w:val="0"/>
        </w:rPr>
        <w:t>月</w:t>
      </w:r>
      <w:r>
        <w:rPr>
          <w:rFonts w:hint="eastAsia" w:ascii="华文楷体" w:hAnsi="华文楷体" w:eastAsia="华文楷体"/>
          <w:b w:val="0"/>
        </w:rPr>
        <w:t xml:space="preserve">   日</w:t>
      </w:r>
      <w:bookmarkEnd w:id="183"/>
      <w:bookmarkEnd w:id="184"/>
    </w:p>
    <w:p>
      <w:pPr>
        <w:pStyle w:val="57"/>
        <w:rPr>
          <w:rFonts w:ascii="华文楷体" w:hAnsi="华文楷体" w:eastAsia="华文楷体"/>
        </w:rPr>
      </w:pPr>
    </w:p>
    <w:p>
      <w:pPr>
        <w:pStyle w:val="57"/>
        <w:rPr>
          <w:rFonts w:ascii="华文楷体" w:hAnsi="华文楷体" w:eastAsia="华文楷体"/>
        </w:rPr>
      </w:pPr>
    </w:p>
    <w:p>
      <w:pPr>
        <w:pStyle w:val="57"/>
        <w:rPr>
          <w:rFonts w:ascii="华文楷体" w:hAnsi="华文楷体" w:eastAsia="华文楷体"/>
        </w:rPr>
      </w:pPr>
    </w:p>
    <w:p>
      <w:pPr>
        <w:pStyle w:val="2"/>
        <w:keepNext w:val="0"/>
        <w:spacing w:line="360" w:lineRule="auto"/>
        <w:jc w:val="left"/>
        <w:rPr>
          <w:rFonts w:ascii="华文楷体" w:hAnsi="华文楷体" w:eastAsia="华文楷体"/>
          <w:color w:val="auto"/>
          <w:sz w:val="24"/>
          <w:szCs w:val="24"/>
        </w:rPr>
      </w:pPr>
      <w:bookmarkStart w:id="191" w:name="_Toc6397534"/>
      <w:r>
        <w:rPr>
          <w:rFonts w:hint="eastAsia" w:ascii="华文楷体" w:hAnsi="华文楷体" w:eastAsia="华文楷体"/>
          <w:color w:val="auto"/>
          <w:sz w:val="24"/>
          <w:szCs w:val="24"/>
        </w:rPr>
        <w:t>附件4《信托财产投资管理约定函》</w:t>
      </w:r>
      <w:bookmarkEnd w:id="191"/>
    </w:p>
    <w:p>
      <w:pPr>
        <w:rPr>
          <w:rFonts w:ascii="华文楷体" w:hAnsi="华文楷体" w:eastAsia="华文楷体"/>
        </w:rPr>
      </w:pPr>
    </w:p>
    <w:p>
      <w:pPr>
        <w:spacing w:line="360" w:lineRule="auto"/>
        <w:jc w:val="center"/>
        <w:rPr>
          <w:rFonts w:ascii="华文楷体" w:hAnsi="华文楷体" w:eastAsia="华文楷体"/>
          <w:color w:val="000000"/>
          <w:sz w:val="24"/>
        </w:rPr>
      </w:pPr>
      <w:r>
        <w:fldChar w:fldCharType="begin"/>
      </w:r>
      <w:r>
        <w:instrText xml:space="preserve"> HYPERLINK \l "_Toc332615996" </w:instrText>
      </w:r>
      <w:r>
        <w:fldChar w:fldCharType="separate"/>
      </w:r>
      <w:r>
        <w:rPr>
          <w:rFonts w:hint="eastAsia" w:ascii="华文楷体" w:hAnsi="华文楷体" w:eastAsia="华文楷体"/>
          <w:b/>
          <w:color w:val="000000"/>
          <w:sz w:val="24"/>
        </w:rPr>
        <w:t>信托财产</w:t>
      </w:r>
      <w:r>
        <w:rPr>
          <w:rFonts w:hint="eastAsia" w:ascii="华文楷体" w:hAnsi="华文楷体" w:eastAsia="华文楷体"/>
          <w:b/>
          <w:color w:val="000000"/>
          <w:sz w:val="24"/>
        </w:rPr>
        <w:fldChar w:fldCharType="end"/>
      </w:r>
      <w:r>
        <w:rPr>
          <w:rFonts w:hint="eastAsia" w:ascii="华文楷体" w:hAnsi="华文楷体" w:eastAsia="华文楷体"/>
          <w:b/>
          <w:color w:val="000000"/>
          <w:sz w:val="24"/>
        </w:rPr>
        <w:t>投资管理约定函</w:t>
      </w:r>
    </w:p>
    <w:p>
      <w:pPr>
        <w:spacing w:line="360" w:lineRule="auto"/>
        <w:ind w:left="485" w:hanging="484" w:hangingChars="202"/>
        <w:rPr>
          <w:rFonts w:ascii="华文楷体" w:hAnsi="华文楷体" w:eastAsia="华文楷体" w:cs="Tahoma"/>
          <w:color w:val="000000"/>
          <w:sz w:val="24"/>
        </w:rPr>
      </w:pPr>
    </w:p>
    <w:p>
      <w:pPr>
        <w:spacing w:line="360" w:lineRule="auto"/>
        <w:ind w:firstLine="484" w:firstLineChars="202"/>
        <w:rPr>
          <w:rFonts w:ascii="华文楷体" w:hAnsi="华文楷体" w:eastAsia="华文楷体" w:cs="Tahoma"/>
          <w:color w:val="000000"/>
          <w:sz w:val="24"/>
        </w:rPr>
      </w:pPr>
      <w:r>
        <w:rPr>
          <w:rFonts w:hint="eastAsia" w:ascii="华文楷体" w:hAnsi="华文楷体" w:eastAsia="华文楷体" w:cs="Tahoma"/>
          <w:color w:val="000000"/>
          <w:sz w:val="24"/>
        </w:rPr>
        <w:t>经委托人和受托人协商，委托人与受托人确定本信托合同项下信托财产投资管理事项如下：</w:t>
      </w:r>
    </w:p>
    <w:p>
      <w:pPr>
        <w:numPr>
          <w:ilvl w:val="0"/>
          <w:numId w:val="15"/>
        </w:numPr>
        <w:spacing w:before="100" w:beforeAutospacing="1" w:after="100" w:afterAutospacing="1" w:line="360" w:lineRule="auto"/>
        <w:rPr>
          <w:rFonts w:ascii="华文楷体" w:hAnsi="华文楷体" w:eastAsia="华文楷体" w:cs="Tahoma"/>
          <w:b/>
          <w:color w:val="000000"/>
          <w:sz w:val="24"/>
        </w:rPr>
      </w:pPr>
      <w:r>
        <w:rPr>
          <w:rFonts w:hint="eastAsia" w:ascii="华文楷体" w:hAnsi="华文楷体" w:eastAsia="华文楷体" w:cs="Tahoma"/>
          <w:b/>
          <w:color w:val="000000"/>
          <w:sz w:val="24"/>
        </w:rPr>
        <w:t>投资政策</w:t>
      </w:r>
    </w:p>
    <w:p>
      <w:pPr>
        <w:numPr>
          <w:ilvl w:val="1"/>
          <w:numId w:val="16"/>
        </w:numPr>
        <w:spacing w:before="100" w:beforeAutospacing="1" w:after="100" w:afterAutospacing="1" w:line="360" w:lineRule="auto"/>
        <w:rPr>
          <w:rFonts w:ascii="华文楷体" w:hAnsi="华文楷体" w:eastAsia="华文楷体" w:cs="Tahoma"/>
          <w:color w:val="000000"/>
          <w:sz w:val="24"/>
        </w:rPr>
      </w:pPr>
      <w:r>
        <w:rPr>
          <w:rFonts w:hint="eastAsia" w:ascii="华文楷体" w:hAnsi="华文楷体" w:eastAsia="华文楷体" w:cs="Tahoma"/>
          <w:color w:val="000000"/>
          <w:sz w:val="24"/>
        </w:rPr>
        <w:t>总体投资资产配置策略应满足财富传承资产性质要求。</w:t>
      </w:r>
    </w:p>
    <w:p>
      <w:pPr>
        <w:numPr>
          <w:ilvl w:val="1"/>
          <w:numId w:val="16"/>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根据</w:t>
      </w:r>
      <w:r>
        <w:rPr>
          <w:rFonts w:ascii="华文楷体" w:hAnsi="华文楷体" w:eastAsia="华文楷体" w:cs="Tahoma"/>
          <w:color w:val="000000"/>
          <w:sz w:val="24"/>
        </w:rPr>
        <w:t>委托人</w:t>
      </w:r>
      <w:r>
        <w:rPr>
          <w:rFonts w:hint="eastAsia" w:ascii="华文楷体" w:hAnsi="华文楷体" w:eastAsia="华文楷体" w:cs="Tahoma"/>
          <w:color w:val="000000"/>
          <w:sz w:val="24"/>
        </w:rPr>
        <w:t>意愿设置现金管理类产品、固定收益类产品和权益类产品及另类产品的投资比例。</w:t>
      </w:r>
    </w:p>
    <w:p>
      <w:pPr>
        <w:numPr>
          <w:ilvl w:val="1"/>
          <w:numId w:val="16"/>
        </w:numPr>
        <w:spacing w:before="100" w:beforeAutospacing="1" w:after="100" w:afterAutospacing="1" w:line="360" w:lineRule="auto"/>
        <w:ind w:left="851" w:hanging="426"/>
        <w:rPr>
          <w:rFonts w:ascii="华文楷体" w:hAnsi="华文楷体" w:eastAsia="华文楷体" w:cs="Tahoma"/>
          <w:color w:val="000000"/>
          <w:sz w:val="24"/>
        </w:rPr>
      </w:pPr>
      <w:r>
        <w:rPr>
          <w:rFonts w:hint="eastAsia" w:ascii="华文楷体" w:hAnsi="华文楷体" w:eastAsia="华文楷体" w:cs="Tahoma"/>
          <w:color w:val="000000"/>
          <w:sz w:val="24"/>
        </w:rPr>
        <w:t>授权受托人对信托财产投资实际实现的投资收益转增为信托财产，并继续进行循环投资，以提高资产增值效率。</w:t>
      </w:r>
    </w:p>
    <w:p>
      <w:pPr>
        <w:numPr>
          <w:ilvl w:val="0"/>
          <w:numId w:val="15"/>
        </w:numPr>
        <w:spacing w:before="100" w:beforeAutospacing="1" w:after="100" w:afterAutospacing="1" w:line="360" w:lineRule="auto"/>
        <w:rPr>
          <w:rFonts w:ascii="华文楷体" w:hAnsi="华文楷体" w:eastAsia="华文楷体" w:cs="Tahoma"/>
          <w:b/>
          <w:color w:val="000000"/>
          <w:sz w:val="24"/>
        </w:rPr>
      </w:pPr>
      <w:r>
        <w:rPr>
          <w:rFonts w:hint="eastAsia" w:ascii="华文楷体" w:hAnsi="华文楷体" w:eastAsia="华文楷体" w:cs="Tahoma"/>
          <w:b/>
          <w:color w:val="000000"/>
          <w:sz w:val="24"/>
        </w:rPr>
        <w:t>投资范围</w:t>
      </w:r>
    </w:p>
    <w:p>
      <w:pPr>
        <w:numPr>
          <w:ilvl w:val="1"/>
          <w:numId w:val="17"/>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现金管理类产品。</w:t>
      </w:r>
    </w:p>
    <w:p>
      <w:pPr>
        <w:numPr>
          <w:ilvl w:val="1"/>
          <w:numId w:val="17"/>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固定收益类产品。</w:t>
      </w:r>
    </w:p>
    <w:p>
      <w:pPr>
        <w:numPr>
          <w:ilvl w:val="1"/>
          <w:numId w:val="17"/>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权益类产品。</w:t>
      </w:r>
    </w:p>
    <w:p>
      <w:pPr>
        <w:numPr>
          <w:ilvl w:val="1"/>
          <w:numId w:val="17"/>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商品及金融衍生品类产品。</w:t>
      </w:r>
    </w:p>
    <w:p>
      <w:pPr>
        <w:numPr>
          <w:ilvl w:val="1"/>
          <w:numId w:val="17"/>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混合类产品。</w:t>
      </w:r>
    </w:p>
    <w:p>
      <w:pPr>
        <w:numPr>
          <w:ilvl w:val="1"/>
          <w:numId w:val="17"/>
        </w:numPr>
        <w:spacing w:before="100" w:beforeAutospacing="1" w:after="100" w:afterAutospacing="1" w:line="360" w:lineRule="auto"/>
        <w:ind w:left="851" w:hanging="425"/>
        <w:rPr>
          <w:rFonts w:ascii="华文楷体" w:hAnsi="华文楷体" w:eastAsia="华文楷体" w:cs="Tahoma"/>
          <w:color w:val="000000"/>
          <w:sz w:val="24"/>
        </w:rPr>
      </w:pPr>
      <w:r>
        <w:rPr>
          <w:rFonts w:hint="eastAsia" w:ascii="华文楷体" w:hAnsi="华文楷体" w:eastAsia="华文楷体" w:cs="Tahoma"/>
          <w:color w:val="000000"/>
          <w:sz w:val="24"/>
        </w:rPr>
        <w:t>上述产品投资比例均为0-100%，且需符合法律法规及监管要求的信托公司及信托财产可投资范围。</w:t>
      </w:r>
    </w:p>
    <w:p>
      <w:pPr>
        <w:numPr>
          <w:ilvl w:val="0"/>
          <w:numId w:val="15"/>
        </w:numPr>
        <w:spacing w:before="100" w:beforeAutospacing="1" w:after="100" w:afterAutospacing="1" w:line="360" w:lineRule="auto"/>
        <w:rPr>
          <w:rFonts w:ascii="华文楷体" w:hAnsi="华文楷体" w:eastAsia="华文楷体" w:cs="Tahoma"/>
          <w:b/>
          <w:color w:val="000000"/>
          <w:sz w:val="24"/>
        </w:rPr>
      </w:pPr>
      <w:r>
        <w:rPr>
          <w:rFonts w:hint="eastAsia" w:ascii="华文楷体" w:hAnsi="华文楷体" w:eastAsia="华文楷体" w:cs="Tahoma"/>
          <w:b/>
          <w:color w:val="000000"/>
          <w:sz w:val="24"/>
        </w:rPr>
        <w:t>投资授权</w:t>
      </w:r>
    </w:p>
    <w:p>
      <w:pPr>
        <w:numPr>
          <w:ilvl w:val="1"/>
          <w:numId w:val="18"/>
        </w:numPr>
        <w:spacing w:line="360" w:lineRule="auto"/>
        <w:rPr>
          <w:rFonts w:ascii="华文楷体" w:hAnsi="华文楷体" w:eastAsia="华文楷体" w:cs="Tahoma"/>
          <w:color w:val="000000"/>
          <w:sz w:val="24"/>
        </w:rPr>
      </w:pPr>
      <w:r>
        <w:rPr>
          <w:rFonts w:hint="eastAsia" w:ascii="华文楷体" w:hAnsi="华文楷体" w:eastAsia="华文楷体" w:cs="Tahoma"/>
          <w:color w:val="000000"/>
          <w:sz w:val="24"/>
        </w:rPr>
        <w:t>委托人授权受托人选择受托人自行发行的和选择第三方（指除受托人之外的第三方）金融机构发行的符合本约定函第二条确定的投资范围的金融产品。</w:t>
      </w:r>
    </w:p>
    <w:p>
      <w:pPr>
        <w:numPr>
          <w:ilvl w:val="1"/>
          <w:numId w:val="19"/>
        </w:numPr>
        <w:spacing w:line="360" w:lineRule="auto"/>
        <w:rPr>
          <w:rFonts w:ascii="华文楷体" w:hAnsi="华文楷体" w:eastAsia="华文楷体" w:cs="Tahoma"/>
          <w:color w:val="000000"/>
          <w:sz w:val="24"/>
        </w:rPr>
      </w:pPr>
      <w:r>
        <w:rPr>
          <w:rFonts w:hint="eastAsia" w:ascii="华文楷体" w:hAnsi="华文楷体" w:eastAsia="华文楷体" w:cs="Tahoma"/>
          <w:color w:val="000000"/>
          <w:sz w:val="24"/>
        </w:rPr>
        <w:t xml:space="preserve"> 财务顾问机构应依照投资管理及财务顾问合同的约定向受托人推荐符合本约定函第二条确定的投资范围的金融产品。</w:t>
      </w:r>
    </w:p>
    <w:p>
      <w:pPr>
        <w:numPr>
          <w:ilvl w:val="0"/>
          <w:numId w:val="15"/>
        </w:numPr>
        <w:spacing w:before="100" w:beforeAutospacing="1" w:after="100" w:afterAutospacing="1" w:line="360" w:lineRule="auto"/>
        <w:rPr>
          <w:rFonts w:ascii="华文楷体" w:hAnsi="华文楷体" w:eastAsia="华文楷体" w:cs="Tahoma"/>
          <w:b/>
          <w:color w:val="000000"/>
          <w:sz w:val="24"/>
        </w:rPr>
      </w:pPr>
      <w:r>
        <w:rPr>
          <w:rFonts w:hint="eastAsia" w:ascii="华文楷体" w:hAnsi="华文楷体" w:eastAsia="华文楷体" w:cs="Tahoma"/>
          <w:b/>
          <w:color w:val="000000"/>
          <w:sz w:val="24"/>
        </w:rPr>
        <w:t>生效及变更</w:t>
      </w:r>
    </w:p>
    <w:p>
      <w:pPr>
        <w:numPr>
          <w:ilvl w:val="1"/>
          <w:numId w:val="20"/>
        </w:numPr>
        <w:spacing w:before="100" w:beforeAutospacing="1" w:after="100" w:afterAutospacing="1" w:line="360" w:lineRule="auto"/>
        <w:rPr>
          <w:rFonts w:ascii="华文楷体" w:hAnsi="华文楷体" w:eastAsia="华文楷体" w:cs="Tahoma"/>
          <w:color w:val="000000"/>
          <w:sz w:val="24"/>
        </w:rPr>
      </w:pPr>
      <w:r>
        <w:rPr>
          <w:rFonts w:hint="eastAsia" w:ascii="华文楷体" w:hAnsi="华文楷体" w:eastAsia="华文楷体" w:cs="Tahoma"/>
          <w:color w:val="000000"/>
          <w:sz w:val="24"/>
        </w:rPr>
        <w:t>《信托财产投资管理约定函》自委托人签字、受托人法定代表人或授权代表签字或盖章并加盖单位公章或合同专用章后，于信托合同生效日起生效。</w:t>
      </w:r>
    </w:p>
    <w:p>
      <w:pPr>
        <w:numPr>
          <w:ilvl w:val="1"/>
          <w:numId w:val="20"/>
        </w:numPr>
        <w:spacing w:before="100" w:beforeAutospacing="1" w:after="100" w:afterAutospacing="1" w:line="360" w:lineRule="auto"/>
        <w:ind w:left="851" w:hanging="426"/>
        <w:rPr>
          <w:rFonts w:ascii="华文楷体" w:hAnsi="华文楷体" w:eastAsia="华文楷体" w:cs="Tahoma"/>
          <w:color w:val="000000"/>
          <w:sz w:val="24"/>
        </w:rPr>
      </w:pPr>
      <w:r>
        <w:rPr>
          <w:rFonts w:hint="eastAsia" w:ascii="华文楷体" w:hAnsi="华文楷体" w:eastAsia="华文楷体" w:cs="Tahoma"/>
          <w:color w:val="000000"/>
          <w:sz w:val="24"/>
        </w:rPr>
        <w:t>《信托财产投资管理约定函》经委托人和受托人协商一致可予以变更，变更后的《信托财产投资管理约定函》自委托人和受托人签署日起生效，书面通知财务顾问机构，并替代原《信托财产投资管理约定函》。</w:t>
      </w:r>
    </w:p>
    <w:p>
      <w:pPr>
        <w:spacing w:line="360" w:lineRule="auto"/>
        <w:ind w:left="485" w:hanging="484" w:hangingChars="202"/>
        <w:rPr>
          <w:rFonts w:ascii="华文楷体" w:hAnsi="华文楷体" w:eastAsia="华文楷体" w:cs="Tahoma"/>
          <w:color w:val="000000"/>
          <w:sz w:val="24"/>
        </w:rPr>
      </w:pPr>
      <w:r>
        <w:rPr>
          <w:rFonts w:hint="eastAsia" w:ascii="华文楷体" w:hAnsi="华文楷体" w:eastAsia="华文楷体" w:cs="Tahoma"/>
          <w:color w:val="000000"/>
          <w:sz w:val="24"/>
        </w:rPr>
        <w:t xml:space="preserve">委托人（签字）：  </w:t>
      </w:r>
      <w:r>
        <w:rPr>
          <w:rFonts w:hint="eastAsia" w:ascii="华文楷体" w:hAnsi="华文楷体" w:eastAsia="华文楷体" w:cs="Tahoma"/>
          <w:color w:val="000000"/>
          <w:sz w:val="24"/>
          <w:lang w:val="en-US" w:eastAsia="zh-CN"/>
        </w:rPr>
        <w:t>${clientName1}</w:t>
      </w:r>
      <w:r>
        <w:rPr>
          <w:rFonts w:hint="eastAsia" w:ascii="华文楷体" w:hAnsi="华文楷体" w:eastAsia="华文楷体" w:cs="Tahoma"/>
          <w:color w:val="000000"/>
          <w:sz w:val="24"/>
        </w:rPr>
        <w:t xml:space="preserve">             </w:t>
      </w:r>
    </w:p>
    <w:p>
      <w:pPr>
        <w:spacing w:line="360" w:lineRule="auto"/>
        <w:ind w:left="485" w:hanging="484" w:hangingChars="202"/>
        <w:rPr>
          <w:rFonts w:ascii="华文楷体" w:hAnsi="华文楷体" w:eastAsia="华文楷体" w:cs="Tahoma"/>
          <w:color w:val="000000"/>
          <w:sz w:val="24"/>
        </w:rPr>
      </w:pPr>
    </w:p>
    <w:p>
      <w:pPr>
        <w:spacing w:line="360" w:lineRule="auto"/>
        <w:ind w:left="485" w:hanging="484" w:hangingChars="202"/>
        <w:rPr>
          <w:rFonts w:ascii="华文楷体" w:hAnsi="华文楷体" w:eastAsia="华文楷体" w:cs="Tahoma"/>
          <w:color w:val="000000"/>
          <w:sz w:val="24"/>
        </w:rPr>
      </w:pPr>
      <w:r>
        <w:rPr>
          <w:rFonts w:hint="eastAsia" w:ascii="华文楷体" w:hAnsi="华文楷体" w:eastAsia="华文楷体" w:cs="Tahoma"/>
          <w:color w:val="000000"/>
          <w:sz w:val="24"/>
        </w:rPr>
        <w:t>受托人：长安国际信托股份有限公司（公章或合同专用章）</w:t>
      </w:r>
    </w:p>
    <w:p>
      <w:pPr>
        <w:spacing w:line="360" w:lineRule="auto"/>
        <w:ind w:left="485" w:hanging="484" w:hangingChars="202"/>
        <w:rPr>
          <w:rFonts w:ascii="华文楷体" w:hAnsi="华文楷体" w:eastAsia="华文楷体" w:cs="Tahoma"/>
          <w:color w:val="000000"/>
          <w:sz w:val="24"/>
        </w:rPr>
      </w:pPr>
    </w:p>
    <w:p>
      <w:pPr>
        <w:spacing w:line="360" w:lineRule="auto"/>
        <w:ind w:left="485" w:hanging="484" w:hangingChars="202"/>
        <w:rPr>
          <w:rFonts w:ascii="华文楷体" w:hAnsi="华文楷体" w:eastAsia="华文楷体"/>
          <w:sz w:val="24"/>
        </w:rPr>
      </w:pPr>
      <w:r>
        <w:rPr>
          <w:rFonts w:ascii="华文楷体" w:hAnsi="华文楷体" w:eastAsia="华文楷体"/>
          <w:sz w:val="24"/>
        </w:rPr>
        <w:t>法定代表人</w:t>
      </w:r>
      <w:r>
        <w:rPr>
          <w:rFonts w:hint="eastAsia" w:ascii="华文楷体" w:hAnsi="华文楷体" w:eastAsia="华文楷体"/>
          <w:sz w:val="24"/>
        </w:rPr>
        <w:t>或授权代表</w:t>
      </w:r>
      <w:r>
        <w:rPr>
          <w:rFonts w:ascii="华文楷体" w:hAnsi="华文楷体" w:eastAsia="华文楷体"/>
          <w:sz w:val="24"/>
        </w:rPr>
        <w:t>（</w:t>
      </w:r>
      <w:r>
        <w:rPr>
          <w:rFonts w:hint="eastAsia" w:ascii="华文楷体" w:hAnsi="华文楷体" w:eastAsia="华文楷体"/>
          <w:sz w:val="24"/>
        </w:rPr>
        <w:t>签字</w:t>
      </w:r>
      <w:r>
        <w:rPr>
          <w:rFonts w:ascii="华文楷体" w:hAnsi="华文楷体" w:eastAsia="华文楷体"/>
          <w:sz w:val="24"/>
        </w:rPr>
        <w:t>或盖章）</w:t>
      </w:r>
    </w:p>
    <w:p>
      <w:pPr>
        <w:spacing w:line="360" w:lineRule="auto"/>
        <w:ind w:left="485" w:hanging="484" w:hangingChars="202"/>
        <w:rPr>
          <w:rFonts w:ascii="华文楷体" w:hAnsi="华文楷体" w:eastAsia="华文楷体"/>
          <w:sz w:val="24"/>
        </w:rPr>
      </w:pPr>
    </w:p>
    <w:p>
      <w:pPr>
        <w:spacing w:line="360" w:lineRule="auto"/>
        <w:ind w:left="485" w:hanging="484" w:hangingChars="202"/>
        <w:rPr>
          <w:rFonts w:ascii="华文楷体" w:hAnsi="华文楷体" w:eastAsia="华文楷体" w:cs="Tahoma"/>
          <w:color w:val="000000"/>
          <w:sz w:val="24"/>
        </w:rPr>
      </w:pPr>
      <w:r>
        <w:rPr>
          <w:rFonts w:hint="eastAsia" w:ascii="华文楷体" w:hAnsi="华文楷体" w:eastAsia="华文楷体" w:cs="Tahoma"/>
          <w:color w:val="000000"/>
          <w:sz w:val="24"/>
        </w:rPr>
        <w:t xml:space="preserve">     </w:t>
      </w:r>
      <w:r>
        <w:rPr>
          <w:rFonts w:hint="eastAsia" w:ascii="华文楷体" w:hAnsi="华文楷体" w:eastAsia="华文楷体" w:cs="Tahoma"/>
          <w:color w:val="000000"/>
          <w:sz w:val="24"/>
          <w:lang w:val="en-US" w:eastAsia="zh-CN"/>
        </w:rPr>
        <w:t>${year1}</w:t>
      </w:r>
      <w:r>
        <w:rPr>
          <w:rFonts w:hint="eastAsia" w:ascii="华文楷体" w:hAnsi="华文楷体" w:eastAsia="华文楷体" w:cs="Tahoma"/>
          <w:color w:val="000000"/>
          <w:sz w:val="24"/>
        </w:rPr>
        <w:t xml:space="preserve">年  </w:t>
      </w:r>
      <w:r>
        <w:rPr>
          <w:rFonts w:hint="eastAsia" w:ascii="华文楷体" w:hAnsi="华文楷体" w:eastAsia="华文楷体" w:cs="Tahoma"/>
          <w:color w:val="000000"/>
          <w:sz w:val="24"/>
          <w:lang w:val="en-US" w:eastAsia="zh-CN"/>
        </w:rPr>
        <w:t>${month1}</w:t>
      </w:r>
      <w:r>
        <w:rPr>
          <w:rFonts w:hint="eastAsia" w:ascii="华文楷体" w:hAnsi="华文楷体" w:eastAsia="华文楷体" w:cs="Tahoma"/>
          <w:color w:val="000000"/>
          <w:sz w:val="24"/>
        </w:rPr>
        <w:t xml:space="preserve"> 月   </w:t>
      </w:r>
      <w:r>
        <w:rPr>
          <w:rFonts w:hint="eastAsia" w:ascii="华文楷体" w:hAnsi="华文楷体" w:eastAsia="华文楷体" w:cs="Tahoma"/>
          <w:color w:val="000000"/>
          <w:sz w:val="24"/>
          <w:lang w:val="en-US" w:eastAsia="zh-CN"/>
        </w:rPr>
        <w:t>${day1</w:t>
      </w:r>
      <w:bookmarkStart w:id="195" w:name="_GoBack"/>
      <w:bookmarkEnd w:id="195"/>
      <w:r>
        <w:rPr>
          <w:rFonts w:hint="eastAsia" w:ascii="华文楷体" w:hAnsi="华文楷体" w:eastAsia="华文楷体" w:cs="Tahoma"/>
          <w:color w:val="000000"/>
          <w:sz w:val="24"/>
          <w:lang w:val="en-US" w:eastAsia="zh-CN"/>
        </w:rPr>
        <w:t>}</w:t>
      </w:r>
      <w:r>
        <w:rPr>
          <w:rFonts w:hint="eastAsia" w:ascii="华文楷体" w:hAnsi="华文楷体" w:eastAsia="华文楷体" w:cs="Tahoma"/>
          <w:color w:val="000000"/>
          <w:sz w:val="24"/>
        </w:rPr>
        <w:t xml:space="preserve"> 日</w:t>
      </w:r>
    </w:p>
    <w:p>
      <w:pPr>
        <w:spacing w:line="360" w:lineRule="auto"/>
        <w:ind w:left="485" w:hanging="484" w:hangingChars="202"/>
        <w:jc w:val="center"/>
        <w:rPr>
          <w:rFonts w:ascii="华文楷体" w:hAnsi="华文楷体" w:eastAsia="华文楷体" w:cs="Tahoma"/>
          <w:color w:val="000000"/>
          <w:sz w:val="24"/>
        </w:rPr>
      </w:pPr>
    </w:p>
    <w:p>
      <w:pPr>
        <w:spacing w:line="360" w:lineRule="auto"/>
        <w:ind w:left="485" w:hanging="484" w:hangingChars="202"/>
        <w:jc w:val="center"/>
        <w:rPr>
          <w:rFonts w:ascii="华文楷体" w:hAnsi="华文楷体" w:eastAsia="华文楷体" w:cs="Tahoma"/>
          <w:color w:val="000000"/>
          <w:sz w:val="24"/>
        </w:rPr>
      </w:pPr>
    </w:p>
    <w:p>
      <w:pPr>
        <w:spacing w:line="360" w:lineRule="auto"/>
        <w:rPr>
          <w:rFonts w:ascii="华文楷体" w:hAnsi="华文楷体" w:eastAsia="华文楷体"/>
          <w:b/>
          <w:color w:val="000000"/>
          <w:sz w:val="24"/>
        </w:rPr>
      </w:pPr>
      <w:r>
        <w:rPr>
          <w:rFonts w:hint="eastAsia" w:ascii="华文楷体" w:hAnsi="华文楷体" w:eastAsia="华文楷体"/>
          <w:b/>
          <w:color w:val="000000"/>
          <w:sz w:val="24"/>
        </w:rPr>
        <w:t>备注：</w:t>
      </w:r>
    </w:p>
    <w:p>
      <w:pPr>
        <w:spacing w:line="360" w:lineRule="auto"/>
        <w:rPr>
          <w:rFonts w:ascii="华文楷体" w:hAnsi="华文楷体" w:eastAsia="华文楷体"/>
          <w:color w:val="000000"/>
          <w:sz w:val="24"/>
        </w:rPr>
      </w:pPr>
      <w:r>
        <w:rPr>
          <w:rFonts w:hint="eastAsia" w:ascii="华文楷体" w:hAnsi="华文楷体" w:eastAsia="华文楷体"/>
          <w:color w:val="000000"/>
          <w:sz w:val="24"/>
        </w:rPr>
        <w:t>现金管理类产品：主要包括开放式和超短期的银行理财产品、货币型基金、可随时申赎的信托计划等。该类产品主要投资于银行间市场和交易所各类货币市场工具，具有流动性好、风险低、收益稳定的特点。</w:t>
      </w:r>
    </w:p>
    <w:p>
      <w:pPr>
        <w:spacing w:line="360" w:lineRule="auto"/>
        <w:rPr>
          <w:rFonts w:ascii="华文楷体" w:hAnsi="华文楷体" w:eastAsia="华文楷体"/>
          <w:color w:val="000000"/>
          <w:sz w:val="24"/>
        </w:rPr>
      </w:pPr>
      <w:r>
        <w:rPr>
          <w:rFonts w:hint="eastAsia" w:ascii="华文楷体" w:hAnsi="华文楷体" w:eastAsia="华文楷体"/>
          <w:color w:val="000000"/>
          <w:sz w:val="24"/>
        </w:rPr>
        <w:t>固定收益类产品：主要包括储蓄国债（含凭证式、记账式国债）、固定收益类银行理财产品、债券型基金、保本型基金、固定收益类证券集合理财计划、固定收益类信托计划、固定收益类券商资管计划、固定收益类基金子公司资管计划、固定收益类保险产品等。该类产品主要投资于银行间市场、交易所各类固定收益类工具以及其它债权等，具有风险较低、收益较稳定的特点。</w:t>
      </w:r>
    </w:p>
    <w:p>
      <w:pPr>
        <w:spacing w:line="360" w:lineRule="auto"/>
        <w:rPr>
          <w:rFonts w:ascii="华文楷体" w:hAnsi="华文楷体" w:eastAsia="华文楷体"/>
          <w:color w:val="000000"/>
          <w:sz w:val="24"/>
        </w:rPr>
      </w:pPr>
      <w:r>
        <w:rPr>
          <w:rFonts w:hint="eastAsia" w:ascii="华文楷体" w:hAnsi="华文楷体" w:eastAsia="华文楷体"/>
          <w:color w:val="000000"/>
          <w:sz w:val="24"/>
        </w:rPr>
        <w:t>权益类产品：主要包括股票型基金（包括非公开募集基金）、混合型基金、股票指数基金、股票类证券集合理财计划、股票投资类银行理财产品、股票投资类信托计划、股票投资类券商资管计划、股票投资类基金子公司资管计划、股票投资类保险产品等。该类产品主要投资于股票和主要以股票为投资对象的证券类金融工具，具有风险较高、收益较高的特点。</w:t>
      </w:r>
    </w:p>
    <w:p>
      <w:pPr>
        <w:spacing w:line="360" w:lineRule="auto"/>
        <w:rPr>
          <w:rFonts w:ascii="华文楷体" w:hAnsi="华文楷体" w:eastAsia="华文楷体"/>
          <w:color w:val="000000"/>
          <w:sz w:val="24"/>
        </w:rPr>
      </w:pPr>
      <w:r>
        <w:rPr>
          <w:rFonts w:hint="eastAsia" w:ascii="华文楷体" w:hAnsi="华文楷体" w:eastAsia="华文楷体"/>
          <w:color w:val="000000"/>
          <w:sz w:val="24"/>
        </w:rPr>
        <w:t>另类产品：主要包括私募股权基金、外汇交易产品、对冲基金、REITs和实物投资等。该类产品主要投资于商品、私募股权等高风险投资领域，或者运用杠杆交易或套利交易等策略进行投资，具有风险高、收益高的特点。</w:t>
      </w:r>
    </w:p>
    <w:p>
      <w:pPr>
        <w:widowControl/>
        <w:jc w:val="left"/>
        <w:rPr>
          <w:rFonts w:ascii="华文楷体" w:hAnsi="华文楷体" w:eastAsia="华文楷体"/>
          <w:color w:val="000000"/>
          <w:sz w:val="24"/>
        </w:rPr>
      </w:pPr>
      <w:r>
        <w:rPr>
          <w:rFonts w:ascii="华文楷体" w:hAnsi="华文楷体" w:eastAsia="华文楷体"/>
          <w:color w:val="000000"/>
          <w:sz w:val="24"/>
        </w:rPr>
        <w:br w:type="page"/>
      </w:r>
    </w:p>
    <w:p>
      <w:pPr>
        <w:pStyle w:val="2"/>
        <w:keepNext w:val="0"/>
        <w:spacing w:line="360" w:lineRule="auto"/>
        <w:jc w:val="left"/>
        <w:rPr>
          <w:rFonts w:ascii="华文楷体" w:hAnsi="华文楷体" w:eastAsia="华文楷体"/>
          <w:color w:val="000000"/>
          <w:sz w:val="24"/>
        </w:rPr>
      </w:pPr>
      <w:bookmarkStart w:id="192" w:name="_Toc502241738"/>
      <w:bookmarkStart w:id="193" w:name="_Toc6397535"/>
      <w:bookmarkStart w:id="194" w:name="_Toc505849961"/>
      <w:r>
        <w:rPr>
          <w:rFonts w:hint="eastAsia" w:ascii="华文楷体" w:hAnsi="华文楷体" w:eastAsia="华文楷体"/>
          <w:color w:val="000000"/>
          <w:sz w:val="24"/>
        </w:rPr>
        <w:t>附件5《信托财产估值规则》</w:t>
      </w:r>
      <w:bookmarkEnd w:id="192"/>
      <w:bookmarkEnd w:id="193"/>
      <w:bookmarkEnd w:id="194"/>
    </w:p>
    <w:p>
      <w:pPr>
        <w:rPr>
          <w:rFonts w:ascii="华文楷体" w:hAnsi="华文楷体" w:eastAsia="华文楷体"/>
        </w:rPr>
      </w:pPr>
    </w:p>
    <w:p>
      <w:pPr>
        <w:jc w:val="center"/>
        <w:rPr>
          <w:rFonts w:ascii="华文楷体" w:hAnsi="华文楷体" w:eastAsia="华文楷体"/>
          <w:b/>
          <w:color w:val="000000"/>
          <w:sz w:val="24"/>
        </w:rPr>
      </w:pPr>
      <w:r>
        <w:rPr>
          <w:rFonts w:hint="eastAsia" w:ascii="华文楷体" w:hAnsi="华文楷体" w:eastAsia="华文楷体"/>
          <w:b/>
          <w:color w:val="000000"/>
          <w:sz w:val="24"/>
        </w:rPr>
        <w:t>信托财产估值规则</w:t>
      </w:r>
    </w:p>
    <w:p>
      <w:pPr>
        <w:spacing w:line="360" w:lineRule="auto"/>
        <w:jc w:val="left"/>
        <w:rPr>
          <w:rFonts w:ascii="华文楷体" w:hAnsi="华文楷体" w:eastAsia="华文楷体"/>
          <w:b/>
          <w:color w:val="000000"/>
          <w:sz w:val="24"/>
        </w:rPr>
      </w:pPr>
      <w:r>
        <w:rPr>
          <w:rFonts w:hint="eastAsia" w:ascii="华文楷体" w:hAnsi="华文楷体" w:eastAsia="华文楷体"/>
          <w:b/>
          <w:color w:val="000000"/>
          <w:sz w:val="24"/>
        </w:rPr>
        <w:t>一、估值日</w:t>
      </w:r>
    </w:p>
    <w:p>
      <w:pPr>
        <w:spacing w:line="360" w:lineRule="auto"/>
        <w:ind w:firstLine="480"/>
        <w:jc w:val="left"/>
        <w:rPr>
          <w:rFonts w:ascii="华文楷体" w:hAnsi="华文楷体" w:eastAsia="华文楷体"/>
          <w:color w:val="000000"/>
          <w:sz w:val="24"/>
        </w:rPr>
      </w:pPr>
      <w:r>
        <w:rPr>
          <w:rFonts w:hint="eastAsia" w:ascii="华文楷体" w:hAnsi="华文楷体" w:eastAsia="华文楷体"/>
          <w:color w:val="000000"/>
          <w:sz w:val="24"/>
        </w:rPr>
        <w:t>本信托于存续期内</w:t>
      </w:r>
      <w:r>
        <w:rPr>
          <w:rFonts w:hint="eastAsia" w:ascii="华文楷体" w:hAnsi="华文楷体" w:eastAsia="华文楷体" w:cs="宋体"/>
          <w:sz w:val="24"/>
        </w:rPr>
        <w:t>每自然季度末月第二十日（非工作日顺延）、信托财产追加日、信托利益分配日以及信托终止日</w:t>
      </w:r>
      <w:r>
        <w:rPr>
          <w:rFonts w:hint="eastAsia" w:ascii="华文楷体" w:hAnsi="华文楷体" w:eastAsia="华文楷体"/>
          <w:color w:val="000000"/>
          <w:sz w:val="24"/>
        </w:rPr>
        <w:t>。</w:t>
      </w:r>
    </w:p>
    <w:p>
      <w:pPr>
        <w:spacing w:line="360" w:lineRule="auto"/>
        <w:ind w:firstLine="480"/>
        <w:jc w:val="left"/>
        <w:rPr>
          <w:rFonts w:ascii="华文楷体" w:hAnsi="华文楷体" w:eastAsia="华文楷体"/>
          <w:b/>
          <w:color w:val="000000"/>
          <w:sz w:val="24"/>
        </w:rPr>
      </w:pPr>
      <w:r>
        <w:rPr>
          <w:rFonts w:hint="eastAsia" w:ascii="华文楷体" w:hAnsi="华文楷体" w:eastAsia="华文楷体"/>
          <w:b/>
          <w:color w:val="000000"/>
          <w:sz w:val="24"/>
        </w:rPr>
        <w:t>二、估值方法</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本信托持有的资产的数量和单位价值按照公允市场价值计算，无公允市场价值的按取得该资产时的单位价值计算，具体估值方法如下：</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（1）银行活期存款以本金列示，存款利息按实际结息金额计算，不做计提；</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2）固定收益类银行理财产品、基金专户、专项资产管理计划、阳光私募产品、信托计划及资产管理计划等固定收益类产品，按成本估值，并按照固定收益率每日计提收益，每日计提收益计算公式为：投资产品本金*固定收益率*1/投资产品合同关于利益核算和分配条款中约定的年度天数，若有收益收回，则冲减相关计提收益；定期公布单位净值的产品，按最近一期公布的该产品单位净值进行估值；既无固定收益率，又不定期公布计划单位净值的产品，按成本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（3）交易所上市、交易品种的估值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交易所上市股票、基金和权证以估值交易日证券交易所挂牌的该证券收盘价估值，上市债券以估值交易日证券交易所挂牌的该债券收盘净价估值，期货合约以估值交易日结算价格估值，该日无交易的，以最近交易日收盘价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（4）交易所发行未上市品种的估值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首次发行未上市的股票、债券、基金和权证，按估值日的账面成本估值；送股、转增股、配股和公开增发新股等发行未上市股票，按交易所上市的同一股票的市价估值；首次公开发行有明确锁定期的股票，同一股票在交易所上市后，按交易所上市的同一股票的市价估值；非公开发行有明确锁定期的股票，按证监会计字[2007]21号《关于证券投资基金执行&lt;企业会计准则&gt;估值业务及份额净值计价有关事项的通知》中附件所约定的“非公开发行有明确锁定期股票的公允价值的确定方法”来确定公允价值。交易所认购的未上市基金，以场外公布的该基金最近一个交易日基金份额净值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（5）银行间市场交易金融工具（包括债券等）按照中央国债登记结算公司发布的公允价值信息进行估值。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6）场外非货币开放式基金以估值日前一交易日基金份额净值估值，估值日前一交易日开放式基金份额净值未公布的，以此前最近一个交易日基金份额净值估值。货币基金不计提收益，每月依据基金公司提供的份额结转单直接确认红利收入。</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（7）同一开放式基金同时在两个或两个以上市场交易的，按开放式基金所处的市场分别估值；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（8）投资保障基金的估值：由于保障基金收益的不确定性，对信托财产投资的保障基金将以成本列示，自本信托实际收到保障基金支付的投资收益或</w:t>
      </w:r>
      <w:r>
        <w:rPr>
          <w:rFonts w:ascii="华文楷体" w:hAnsi="华文楷体" w:eastAsia="华文楷体"/>
          <w:sz w:val="24"/>
        </w:rPr>
        <w:t>/</w:t>
      </w:r>
      <w:r>
        <w:rPr>
          <w:rFonts w:hint="eastAsia" w:ascii="华文楷体" w:hAnsi="华文楷体" w:eastAsia="华文楷体"/>
          <w:sz w:val="24"/>
        </w:rPr>
        <w:t>和投资本金之日计入信托计划财产。</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9）本信托项下的保险金请求权的估值：可装入本信托的保单类型包括终身寿险和年金保险，对于本信托项下的以被保险人生存状况为给付条件的保险金请求权，在信托专户收到给付的保险金后以实际收到的金额入账，作为委托人追加信托财产处理。若出现上述未包含的保险金类型，则以届时受托人与托管机构协商并披露的处理方法为准。</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10）对于信托成立时客户交付的理财产品按照其交付时该理财产品的当前剩余本金来确认价值。金融理财产品若为非净值型产品，“金融理财产品的当前剩余本金”为委托人交付时该金融理财产品的剩余本金；金融理财产品若为净值型产品，“金融理财产品的当前剩余本金”为委托人交付时该金融理财产品的剩余份额×交付时的单位净值；若非因受托人的原因导致受托人无法获取交付时该金融理财产品净值的，“金融理财产品的当前剩余本金”为委托人交付时该金融理财产品的剩余份额×初始认购/申购时的单位净值。信托存续期间的估值原则参照本条（1）-（7）条操作。</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（11）如存在上述估值约定未覆盖的投资品种，受托人可根据具体情况，在与资金保管机构商议后，按最能反映该投资品种公允价值的方法估值。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（12）如有确凿证据表明按上述规定不能客观反映信托财产公允价值的，受托人可根据具体情况，在与资金保管机构商议后，按最能反映信托财产公允价值的方法估值。</w:t>
      </w:r>
    </w:p>
    <w:p>
      <w:pPr>
        <w:spacing w:beforeLines="25" w:line="360" w:lineRule="auto"/>
        <w:ind w:firstLine="480" w:firstLineChars="200"/>
        <w:rPr>
          <w:rFonts w:ascii="华文楷体" w:hAnsi="华文楷体" w:eastAsia="华文楷体"/>
          <w:sz w:val="24"/>
        </w:rPr>
      </w:pPr>
      <w:r>
        <w:rPr>
          <w:rFonts w:hint="eastAsia" w:ascii="华文楷体" w:hAnsi="华文楷体" w:eastAsia="华文楷体"/>
          <w:sz w:val="24"/>
        </w:rPr>
        <w:t>（13）在任何情况下，受托人和资金保管机构如采用上述方法对信托资产进行估值，均被认为采用了适当的估值方法。</w:t>
      </w:r>
    </w:p>
    <w:p>
      <w:pPr>
        <w:spacing w:line="360" w:lineRule="auto"/>
        <w:ind w:firstLine="480" w:firstLineChars="200"/>
        <w:jc w:val="left"/>
        <w:rPr>
          <w:rFonts w:ascii="华文楷体" w:hAnsi="华文楷体" w:eastAsia="华文楷体"/>
          <w:color w:val="000000"/>
          <w:sz w:val="24"/>
        </w:rPr>
      </w:pPr>
      <w:r>
        <w:rPr>
          <w:rFonts w:hint="eastAsia" w:ascii="华文楷体" w:hAnsi="华文楷体" w:eastAsia="华文楷体"/>
          <w:sz w:val="24"/>
        </w:rPr>
        <w:t>（14）如有新增事项或变更事项，受托人和资金保管机构</w:t>
      </w:r>
      <w:r>
        <w:rPr>
          <w:rFonts w:ascii="华文楷体" w:hAnsi="华文楷体" w:eastAsia="华文楷体"/>
          <w:sz w:val="24"/>
        </w:rPr>
        <w:t>将另行协商确定估值方法</w:t>
      </w:r>
      <w:r>
        <w:rPr>
          <w:rFonts w:hint="eastAsia" w:ascii="华文楷体" w:hAnsi="华文楷体" w:eastAsia="华文楷体"/>
          <w:sz w:val="24"/>
        </w:rPr>
        <w:t>并以书面形式</w:t>
      </w:r>
      <w:r>
        <w:rPr>
          <w:rFonts w:ascii="华文楷体" w:hAnsi="华文楷体" w:eastAsia="华文楷体"/>
          <w:sz w:val="24"/>
        </w:rPr>
        <w:t>确认</w:t>
      </w:r>
      <w:r>
        <w:rPr>
          <w:rFonts w:hint="eastAsia" w:ascii="华文楷体" w:hAnsi="华文楷体" w:eastAsia="华文楷体"/>
          <w:sz w:val="24"/>
        </w:rPr>
        <w:t>。</w:t>
      </w:r>
    </w:p>
    <w:p>
      <w:pPr>
        <w:spacing w:line="360" w:lineRule="auto"/>
        <w:jc w:val="left"/>
        <w:rPr>
          <w:rFonts w:ascii="华文楷体" w:hAnsi="华文楷体" w:eastAsia="华文楷体"/>
          <w:b/>
          <w:color w:val="000000"/>
          <w:sz w:val="24"/>
        </w:rPr>
      </w:pPr>
      <w:r>
        <w:rPr>
          <w:rFonts w:hint="eastAsia" w:ascii="华文楷体" w:hAnsi="华文楷体" w:eastAsia="华文楷体"/>
          <w:b/>
          <w:color w:val="000000"/>
          <w:sz w:val="24"/>
        </w:rPr>
        <w:t>三、信托财产估值</w:t>
      </w:r>
    </w:p>
    <w:p>
      <w:pPr>
        <w:spacing w:line="360" w:lineRule="auto"/>
        <w:jc w:val="left"/>
        <w:rPr>
          <w:rFonts w:ascii="华文楷体" w:hAnsi="华文楷体" w:eastAsia="华文楷体"/>
          <w:color w:val="000000"/>
          <w:sz w:val="24"/>
        </w:rPr>
      </w:pPr>
      <w:r>
        <w:rPr>
          <w:rFonts w:hint="eastAsia" w:ascii="华文楷体" w:hAnsi="华文楷体" w:eastAsia="华文楷体"/>
          <w:color w:val="000000"/>
          <w:sz w:val="24"/>
        </w:rPr>
        <w:t>信托财产总值是信托财产投资的各类资产按照以上估值方法计算的估值的总和。出现以下情形之一时，可暂停估值：</w:t>
      </w:r>
    </w:p>
    <w:p>
      <w:pPr>
        <w:spacing w:line="360" w:lineRule="auto"/>
        <w:ind w:firstLine="360" w:firstLineChars="150"/>
        <w:jc w:val="left"/>
        <w:rPr>
          <w:rFonts w:ascii="华文楷体" w:hAnsi="华文楷体" w:eastAsia="华文楷体"/>
          <w:sz w:val="24"/>
        </w:rPr>
      </w:pPr>
      <w:r>
        <w:rPr>
          <w:rFonts w:hint="eastAsia" w:ascii="华文楷体" w:hAnsi="华文楷体" w:eastAsia="华文楷体"/>
          <w:color w:val="000000"/>
          <w:sz w:val="24"/>
        </w:rPr>
        <w:t>（1）</w:t>
      </w:r>
      <w:r>
        <w:rPr>
          <w:rFonts w:hint="eastAsia" w:ascii="华文楷体" w:hAnsi="华文楷体" w:eastAsia="华文楷体"/>
          <w:sz w:val="24"/>
        </w:rPr>
        <w:t>投资品种所涉及的证券/期货交易所遇法定节假日或其他原因暂停营业时；</w:t>
      </w:r>
    </w:p>
    <w:p>
      <w:pPr>
        <w:spacing w:line="360" w:lineRule="auto"/>
        <w:ind w:firstLine="360" w:firstLineChars="150"/>
        <w:jc w:val="left"/>
        <w:rPr>
          <w:rFonts w:ascii="华文楷体" w:hAnsi="华文楷体" w:eastAsia="华文楷体"/>
          <w:sz w:val="24"/>
        </w:rPr>
      </w:pPr>
      <w:r>
        <w:rPr>
          <w:rFonts w:hint="eastAsia" w:ascii="华文楷体" w:hAnsi="华文楷体" w:eastAsia="华文楷体"/>
          <w:sz w:val="24"/>
        </w:rPr>
        <w:t>（2）因不可抗力或交割清算制度变化等政策原因造成受托人不能按上述规定日期估值，则根据相应政策调整；</w:t>
      </w:r>
    </w:p>
    <w:p>
      <w:pPr>
        <w:spacing w:line="360" w:lineRule="auto"/>
        <w:ind w:firstLine="360" w:firstLineChars="150"/>
        <w:jc w:val="left"/>
        <w:rPr>
          <w:rFonts w:ascii="华文楷体" w:hAnsi="华文楷体" w:eastAsia="华文楷体"/>
          <w:sz w:val="24"/>
        </w:rPr>
      </w:pPr>
      <w:r>
        <w:rPr>
          <w:rFonts w:hint="eastAsia" w:ascii="华文楷体" w:hAnsi="华文楷体" w:eastAsia="华文楷体"/>
          <w:sz w:val="24"/>
        </w:rPr>
        <w:t>（3）监管部门认定的其他情形。</w:t>
      </w:r>
    </w:p>
    <w:p>
      <w:pPr>
        <w:spacing w:line="360" w:lineRule="auto"/>
        <w:jc w:val="left"/>
        <w:rPr>
          <w:rFonts w:ascii="华文楷体" w:hAnsi="华文楷体" w:eastAsia="华文楷体"/>
          <w:b/>
          <w:color w:val="000000"/>
          <w:sz w:val="24"/>
        </w:rPr>
      </w:pPr>
      <w:r>
        <w:rPr>
          <w:rFonts w:hint="eastAsia" w:ascii="华文楷体" w:hAnsi="华文楷体" w:eastAsia="华文楷体"/>
          <w:b/>
          <w:color w:val="000000"/>
          <w:sz w:val="24"/>
        </w:rPr>
        <w:t>四、信托财产净值</w:t>
      </w:r>
    </w:p>
    <w:p>
      <w:pPr>
        <w:spacing w:line="360" w:lineRule="auto"/>
        <w:jc w:val="left"/>
        <w:rPr>
          <w:rFonts w:ascii="华文楷体" w:hAnsi="华文楷体" w:eastAsia="华文楷体"/>
          <w:color w:val="000000"/>
          <w:sz w:val="24"/>
        </w:rPr>
      </w:pPr>
      <w:r>
        <w:rPr>
          <w:rFonts w:hint="eastAsia" w:ascii="华文楷体" w:hAnsi="华文楷体" w:eastAsia="华文楷体"/>
          <w:color w:val="000000"/>
          <w:sz w:val="24"/>
        </w:rPr>
        <w:t xml:space="preserve">    信托财产净值是信托财产总值减去负债后的余额，信托负债包括但不限于应付未付的受托人报酬、财务顾问机构服务报酬、保管费、以及其他应付未付信托费用、税赋。</w:t>
      </w:r>
    </w:p>
    <w:p>
      <w:pPr>
        <w:spacing w:line="360" w:lineRule="auto"/>
        <w:jc w:val="left"/>
        <w:rPr>
          <w:rFonts w:ascii="华文楷体" w:hAnsi="华文楷体" w:eastAsia="华文楷体"/>
          <w:b/>
          <w:color w:val="000000"/>
          <w:sz w:val="24"/>
        </w:rPr>
      </w:pPr>
      <w:r>
        <w:rPr>
          <w:rFonts w:hint="eastAsia" w:ascii="华文楷体" w:hAnsi="华文楷体" w:eastAsia="华文楷体"/>
          <w:b/>
          <w:color w:val="000000"/>
          <w:sz w:val="24"/>
        </w:rPr>
        <w:t>五、信托单位与信托单位净值</w:t>
      </w:r>
    </w:p>
    <w:p>
      <w:pPr>
        <w:tabs>
          <w:tab w:val="left" w:pos="1276"/>
        </w:tabs>
        <w:adjustRightInd w:val="0"/>
        <w:snapToGrid w:val="0"/>
        <w:spacing w:line="360" w:lineRule="auto"/>
        <w:ind w:firstLine="480" w:firstLineChars="200"/>
        <w:jc w:val="left"/>
        <w:rPr>
          <w:rFonts w:ascii="华文楷体" w:hAnsi="华文楷体" w:eastAsia="华文楷体" w:cs="宋体"/>
          <w:sz w:val="24"/>
        </w:rPr>
      </w:pPr>
      <w:r>
        <w:rPr>
          <w:rFonts w:hint="eastAsia" w:ascii="华文楷体" w:hAnsi="华文楷体" w:eastAsia="华文楷体" w:cs="宋体"/>
          <w:sz w:val="24"/>
        </w:rPr>
        <w:t>信托单位：用于计算、衡量信托财产价值以及委托人认购的计量单位，在信托生效日，每一信托单位对应信托资金人民币1元。</w:t>
      </w:r>
    </w:p>
    <w:p>
      <w:pPr>
        <w:spacing w:line="360" w:lineRule="auto"/>
        <w:ind w:firstLine="480" w:firstLineChars="200"/>
        <w:jc w:val="left"/>
        <w:rPr>
          <w:rFonts w:ascii="华文楷体" w:hAnsi="华文楷体" w:eastAsia="华文楷体"/>
          <w:color w:val="000000"/>
          <w:sz w:val="24"/>
        </w:rPr>
      </w:pPr>
      <w:r>
        <w:rPr>
          <w:rFonts w:hint="eastAsia" w:ascii="华文楷体" w:hAnsi="华文楷体" w:eastAsia="华文楷体" w:cs="宋体"/>
          <w:sz w:val="24"/>
        </w:rPr>
        <w:t>信托单位总份数：指信托项下信托单位的总数，计算结果精确到个位，小数点后第1位四舍五入，由此产生的损益归入信托财产</w:t>
      </w:r>
      <w:r>
        <w:rPr>
          <w:rFonts w:hint="eastAsia" w:ascii="华文楷体" w:hAnsi="华文楷体" w:eastAsia="华文楷体"/>
          <w:color w:val="000000"/>
          <w:sz w:val="24"/>
        </w:rPr>
        <w:t>。</w:t>
      </w:r>
    </w:p>
    <w:p>
      <w:pPr>
        <w:spacing w:line="360" w:lineRule="auto"/>
        <w:ind w:firstLine="480" w:firstLineChars="200"/>
        <w:jc w:val="left"/>
        <w:rPr>
          <w:rFonts w:ascii="华文楷体" w:hAnsi="华文楷体" w:eastAsia="华文楷体"/>
          <w:color w:val="000000"/>
          <w:sz w:val="24"/>
        </w:rPr>
      </w:pPr>
      <w:r>
        <w:rPr>
          <w:rFonts w:hint="eastAsia" w:ascii="华文楷体" w:hAnsi="华文楷体" w:eastAsia="华文楷体"/>
          <w:color w:val="000000"/>
          <w:sz w:val="24"/>
        </w:rPr>
        <w:t>信托单位净值：指信托财产净值与信托单位总份数之比，计算结果精确到小数点后四位，小数点四位以后的部分四舍五入，由此产生的损益归入信托财产。</w:t>
      </w:r>
    </w:p>
    <w:p>
      <w:pPr>
        <w:spacing w:line="360" w:lineRule="auto"/>
        <w:ind w:firstLine="480" w:firstLineChars="200"/>
        <w:jc w:val="left"/>
        <w:rPr>
          <w:rFonts w:ascii="华文楷体" w:hAnsi="华文楷体" w:eastAsia="华文楷体"/>
          <w:color w:val="000000"/>
          <w:sz w:val="24"/>
        </w:rPr>
      </w:pPr>
      <w:r>
        <w:rPr>
          <w:rFonts w:hint="eastAsia" w:ascii="华文楷体" w:hAnsi="华文楷体" w:eastAsia="华文楷体"/>
          <w:color w:val="000000"/>
          <w:sz w:val="24"/>
        </w:rPr>
        <w:t>信托财产分配或追加时，信托单位总份数相应减少或增加。主要计算方式：追加交付信托财产时，增加的信托单位总份数=交付的信托资产规模/上一估值日信托单位净值；分配信托利益时，减少的信托单位总份数=该日分配金额/上一估值日信托单位净值。</w:t>
      </w:r>
    </w:p>
    <w:p>
      <w:pPr>
        <w:spacing w:line="360" w:lineRule="auto"/>
        <w:jc w:val="left"/>
        <w:rPr>
          <w:rFonts w:ascii="华文楷体" w:hAnsi="华文楷体" w:eastAsia="华文楷体"/>
          <w:b/>
          <w:color w:val="000000"/>
          <w:sz w:val="24"/>
        </w:rPr>
      </w:pPr>
      <w:r>
        <w:rPr>
          <w:rFonts w:hint="eastAsia" w:ascii="华文楷体" w:hAnsi="华文楷体" w:eastAsia="华文楷体"/>
          <w:b/>
          <w:color w:val="000000"/>
          <w:sz w:val="24"/>
        </w:rPr>
        <w:t>六、免责声明</w:t>
      </w:r>
    </w:p>
    <w:p>
      <w:pPr>
        <w:spacing w:line="360" w:lineRule="auto"/>
        <w:jc w:val="left"/>
        <w:rPr>
          <w:rFonts w:ascii="华文楷体" w:hAnsi="华文楷体" w:eastAsia="华文楷体"/>
          <w:b/>
          <w:color w:val="000000"/>
          <w:sz w:val="24"/>
        </w:rPr>
      </w:pPr>
      <w:r>
        <w:rPr>
          <w:rFonts w:hint="eastAsia" w:ascii="华文楷体" w:hAnsi="华文楷体" w:eastAsia="华文楷体"/>
          <w:b/>
          <w:color w:val="000000"/>
          <w:sz w:val="24"/>
        </w:rPr>
        <w:t xml:space="preserve"> 受托人按照本函约定的估值方法进行估值，估值仅是受托人为更准确、真实地反映本信托项下信托财产的公允价值，让委托人/受益人更好的了解本信托的运作情况而提供的服务，并非受托人对本信托的信托财产投资收益的承诺，信托财产投资的所有产品的投资损益以实际到账金额为准。本信托投资的净值类产品的净值由第三方提供，若因第三方提供净值有误等非受托人原因导致估值不准确或有误差的，受托人免责，因此给委托人或信托财产带来的损失，由信托财产承担，与受托人无关。委托人同意，受托人可根据具体情况与资金保管机构自行商定，调整估值方法。</w:t>
      </w:r>
    </w:p>
    <w:p>
      <w:pPr>
        <w:spacing w:line="360" w:lineRule="auto"/>
        <w:jc w:val="left"/>
        <w:rPr>
          <w:rFonts w:ascii="华文楷体" w:hAnsi="华文楷体" w:eastAsia="华文楷体"/>
          <w:color w:val="000000"/>
          <w:sz w:val="24"/>
        </w:rPr>
      </w:pPr>
    </w:p>
    <w:p>
      <w:pPr>
        <w:spacing w:line="360" w:lineRule="auto"/>
        <w:ind w:left="485" w:hanging="484" w:hangingChars="202"/>
        <w:rPr>
          <w:rFonts w:ascii="华文楷体" w:hAnsi="华文楷体" w:eastAsia="华文楷体" w:cs="Tahoma"/>
          <w:color w:val="000000"/>
          <w:sz w:val="24"/>
        </w:rPr>
      </w:pPr>
      <w:r>
        <w:rPr>
          <w:rFonts w:hint="eastAsia" w:ascii="华文楷体" w:hAnsi="华文楷体" w:eastAsia="华文楷体" w:cs="Tahoma"/>
          <w:color w:val="000000"/>
          <w:sz w:val="24"/>
        </w:rPr>
        <w:t>委托人（签字）：</w:t>
      </w:r>
      <w:r>
        <w:rPr>
          <w:rFonts w:hint="eastAsia" w:ascii="华文楷体" w:hAnsi="华文楷体" w:eastAsia="华文楷体" w:cs="Tahoma"/>
          <w:color w:val="000000"/>
          <w:sz w:val="24"/>
          <w:lang w:val="en-US" w:eastAsia="zh-CN"/>
        </w:rPr>
        <w:t>${clientName}</w:t>
      </w:r>
      <w:r>
        <w:rPr>
          <w:rFonts w:hint="eastAsia" w:ascii="华文楷体" w:hAnsi="华文楷体" w:eastAsia="华文楷体" w:cs="Tahoma"/>
          <w:color w:val="000000"/>
          <w:sz w:val="24"/>
        </w:rPr>
        <w:t xml:space="preserve">           </w:t>
      </w:r>
    </w:p>
    <w:p>
      <w:pPr>
        <w:spacing w:line="360" w:lineRule="auto"/>
        <w:ind w:left="485" w:hanging="484" w:hangingChars="202"/>
        <w:rPr>
          <w:rFonts w:ascii="华文楷体" w:hAnsi="华文楷体" w:eastAsia="华文楷体" w:cs="Tahoma"/>
          <w:color w:val="000000"/>
          <w:sz w:val="24"/>
        </w:rPr>
      </w:pPr>
    </w:p>
    <w:p>
      <w:pPr>
        <w:spacing w:line="360" w:lineRule="auto"/>
        <w:ind w:left="485" w:hanging="484" w:hangingChars="202"/>
        <w:rPr>
          <w:rFonts w:ascii="华文楷体" w:hAnsi="华文楷体" w:eastAsia="华文楷体" w:cs="Tahoma"/>
          <w:color w:val="000000"/>
          <w:sz w:val="24"/>
        </w:rPr>
      </w:pPr>
    </w:p>
    <w:p>
      <w:pPr>
        <w:spacing w:line="360" w:lineRule="auto"/>
        <w:ind w:left="485" w:hanging="484" w:hangingChars="202"/>
        <w:rPr>
          <w:rFonts w:ascii="华文楷体" w:hAnsi="华文楷体" w:eastAsia="华文楷体" w:cs="Tahoma"/>
          <w:color w:val="000000"/>
          <w:sz w:val="24"/>
        </w:rPr>
      </w:pPr>
    </w:p>
    <w:p>
      <w:pPr>
        <w:spacing w:line="360" w:lineRule="auto"/>
        <w:ind w:left="485" w:hanging="484" w:hangingChars="202"/>
        <w:rPr>
          <w:rFonts w:ascii="华文楷体" w:hAnsi="华文楷体" w:eastAsia="华文楷体" w:cs="Tahoma"/>
          <w:color w:val="000000"/>
          <w:sz w:val="24"/>
        </w:rPr>
      </w:pPr>
    </w:p>
    <w:p>
      <w:pPr>
        <w:spacing w:line="360" w:lineRule="auto"/>
        <w:ind w:left="485" w:hanging="484" w:hangingChars="202"/>
        <w:rPr>
          <w:rFonts w:ascii="华文楷体" w:hAnsi="华文楷体" w:eastAsia="华文楷体" w:cs="Tahoma"/>
          <w:color w:val="000000"/>
          <w:sz w:val="24"/>
        </w:rPr>
      </w:pPr>
      <w:r>
        <w:rPr>
          <w:rFonts w:hint="eastAsia" w:ascii="华文楷体" w:hAnsi="华文楷体" w:eastAsia="华文楷体" w:cs="Tahoma"/>
          <w:color w:val="000000"/>
          <w:sz w:val="24"/>
        </w:rPr>
        <w:t>受托人：长安国际信托股份有限公司（公章或合同专用章）</w:t>
      </w:r>
    </w:p>
    <w:p>
      <w:pPr>
        <w:spacing w:line="360" w:lineRule="auto"/>
        <w:ind w:left="485" w:hanging="484" w:hangingChars="202"/>
        <w:rPr>
          <w:rFonts w:ascii="华文楷体" w:hAnsi="华文楷体" w:eastAsia="华文楷体"/>
          <w:sz w:val="24"/>
        </w:rPr>
      </w:pPr>
      <w:r>
        <w:rPr>
          <w:rFonts w:ascii="华文楷体" w:hAnsi="华文楷体" w:eastAsia="华文楷体"/>
          <w:sz w:val="24"/>
        </w:rPr>
        <w:t>法定代表人</w:t>
      </w:r>
      <w:r>
        <w:rPr>
          <w:rFonts w:hint="eastAsia" w:ascii="华文楷体" w:hAnsi="华文楷体" w:eastAsia="华文楷体"/>
          <w:sz w:val="24"/>
        </w:rPr>
        <w:t>或授权代表</w:t>
      </w:r>
      <w:r>
        <w:rPr>
          <w:rFonts w:ascii="华文楷体" w:hAnsi="华文楷体" w:eastAsia="华文楷体"/>
          <w:sz w:val="24"/>
        </w:rPr>
        <w:t>（</w:t>
      </w:r>
      <w:r>
        <w:rPr>
          <w:rFonts w:hint="eastAsia" w:ascii="华文楷体" w:hAnsi="华文楷体" w:eastAsia="华文楷体"/>
          <w:sz w:val="24"/>
        </w:rPr>
        <w:t>签字</w:t>
      </w:r>
      <w:r>
        <w:rPr>
          <w:rFonts w:ascii="华文楷体" w:hAnsi="华文楷体" w:eastAsia="华文楷体"/>
          <w:sz w:val="24"/>
        </w:rPr>
        <w:t>或盖章）</w:t>
      </w:r>
    </w:p>
    <w:p>
      <w:pPr>
        <w:spacing w:line="360" w:lineRule="auto"/>
        <w:ind w:left="485" w:hanging="484" w:hangingChars="202"/>
        <w:rPr>
          <w:rFonts w:ascii="华文楷体" w:hAnsi="华文楷体" w:eastAsia="华文楷体"/>
          <w:sz w:val="24"/>
        </w:rPr>
      </w:pPr>
    </w:p>
    <w:p>
      <w:pPr>
        <w:spacing w:line="360" w:lineRule="auto"/>
        <w:ind w:left="485" w:hanging="484" w:hangingChars="202"/>
        <w:rPr>
          <w:rFonts w:ascii="华文楷体" w:hAnsi="华文楷体" w:eastAsia="华文楷体"/>
          <w:sz w:val="24"/>
        </w:rPr>
      </w:pPr>
    </w:p>
    <w:p>
      <w:pPr>
        <w:spacing w:line="360" w:lineRule="auto"/>
        <w:ind w:left="485" w:hanging="484" w:hangingChars="202"/>
        <w:rPr>
          <w:rFonts w:ascii="华文楷体" w:hAnsi="华文楷体" w:eastAsia="华文楷体"/>
          <w:sz w:val="24"/>
        </w:rPr>
      </w:pPr>
    </w:p>
    <w:p>
      <w:pPr>
        <w:spacing w:line="360" w:lineRule="auto"/>
        <w:ind w:left="420" w:leftChars="200"/>
        <w:rPr>
          <w:rFonts w:ascii="华文楷体" w:hAnsi="华文楷体" w:eastAsia="华文楷体" w:cs="Tahoma"/>
          <w:color w:val="000000"/>
          <w:sz w:val="24"/>
        </w:rPr>
      </w:pPr>
      <w:r>
        <w:rPr>
          <w:rFonts w:hint="eastAsia" w:ascii="华文楷体" w:hAnsi="华文楷体" w:eastAsia="华文楷体" w:cs="Tahoma"/>
          <w:color w:val="000000"/>
          <w:sz w:val="24"/>
          <w:lang w:val="en-US" w:eastAsia="zh-CN"/>
        </w:rPr>
        <w:t>${year}</w:t>
      </w:r>
      <w:r>
        <w:rPr>
          <w:rFonts w:hint="eastAsia" w:ascii="华文楷体" w:hAnsi="华文楷体" w:eastAsia="华文楷体" w:cs="Tahoma"/>
          <w:color w:val="000000"/>
          <w:sz w:val="24"/>
        </w:rPr>
        <w:t xml:space="preserve">年 </w:t>
      </w:r>
      <w:r>
        <w:rPr>
          <w:rFonts w:hint="eastAsia" w:ascii="华文楷体" w:hAnsi="华文楷体" w:eastAsia="华文楷体" w:cs="Tahoma"/>
          <w:color w:val="000000"/>
          <w:sz w:val="24"/>
          <w:lang w:val="en-US" w:eastAsia="zh-CN"/>
        </w:rPr>
        <w:t>${moth}</w:t>
      </w:r>
      <w:r>
        <w:rPr>
          <w:rFonts w:hint="eastAsia" w:ascii="华文楷体" w:hAnsi="华文楷体" w:eastAsia="华文楷体" w:cs="Tahoma"/>
          <w:color w:val="000000"/>
          <w:sz w:val="24"/>
        </w:rPr>
        <w:t xml:space="preserve">月 </w:t>
      </w:r>
      <w:r>
        <w:rPr>
          <w:rFonts w:hint="eastAsia" w:ascii="华文楷体" w:hAnsi="华文楷体" w:eastAsia="华文楷体" w:cs="Tahoma"/>
          <w:color w:val="000000"/>
          <w:sz w:val="24"/>
          <w:lang w:val="en-US" w:eastAsia="zh-CN"/>
        </w:rPr>
        <w:t>${day}</w:t>
      </w:r>
      <w:r>
        <w:rPr>
          <w:rFonts w:hint="eastAsia" w:ascii="华文楷体" w:hAnsi="华文楷体" w:eastAsia="华文楷体" w:cs="Tahoma"/>
          <w:color w:val="000000"/>
          <w:sz w:val="24"/>
        </w:rPr>
        <w:t>日</w:t>
      </w:r>
    </w:p>
    <w:p>
      <w:pPr>
        <w:spacing w:line="360" w:lineRule="auto"/>
        <w:rPr>
          <w:rFonts w:ascii="华文楷体" w:hAnsi="华文楷体" w:eastAsia="华文楷体"/>
          <w:color w:val="000000"/>
          <w:sz w:val="24"/>
        </w:rPr>
      </w:pPr>
    </w:p>
    <w:sectPr>
      <w:footerReference r:id="rId9" w:type="first"/>
      <w:footerReference r:id="rId8" w:type="default"/>
      <w:pgSz w:w="11906" w:h="16838"/>
      <w:pgMar w:top="1440" w:right="1797" w:bottom="1135" w:left="2160" w:header="851" w:footer="85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modern"/>
    <w:pitch w:val="default"/>
    <w:sig w:usb0="800002BF" w:usb1="38CF7CFA" w:usb2="00000016" w:usb3="00000000" w:csb0="00040001" w:csb1="00000000"/>
  </w:font>
  <w:font w:name="oúì.">
    <w:altName w:val="微软雅黑"/>
    <w:panose1 w:val="00000000000000000000"/>
    <w:charset w:val="86"/>
    <w:family w:val="swiss"/>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roman"/>
    <w:pitch w:val="default"/>
    <w:sig w:usb0="00000000" w:usb1="00000000" w:usb2="00000010" w:usb3="00000000" w:csb0="00020000"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7"/>
      </w:rPr>
    </w:pPr>
    <w:r>
      <w:fldChar w:fldCharType="begin"/>
    </w:r>
    <w:r>
      <w:rPr>
        <w:rStyle w:val="27"/>
      </w:rPr>
      <w:instrText xml:space="preserve">PAGE  </w:instrTex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3</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 MERGEFORMAT </w:instrText>
    </w:r>
    <w:r>
      <w:fldChar w:fldCharType="separate"/>
    </w:r>
    <w:r>
      <w:rPr>
        <w:lang w:val="zh-CN"/>
      </w:rPr>
      <w:t>45</w:t>
    </w:r>
    <w:r>
      <w:rPr>
        <w:lang w:val="zh-CN"/>
      </w:rPr>
      <w:fldChar w:fldCharType="end"/>
    </w:r>
  </w:p>
  <w:p>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 PAGE   \* MERGEFORMAT </w:instrText>
    </w:r>
    <w:r>
      <w:fldChar w:fldCharType="separate"/>
    </w:r>
    <w:r>
      <w:rPr>
        <w:lang w:val="zh-CN"/>
      </w:rPr>
      <w:t>67</w:t>
    </w:r>
    <w:r>
      <w:rPr>
        <w:lang w:val="zh-C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1</w:t>
    </w:r>
    <w:r>
      <w:rPr>
        <w:lang w:val="zh-CN"/>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5D8F"/>
    <w:multiLevelType w:val="multilevel"/>
    <w:tmpl w:val="05DF5D8F"/>
    <w:lvl w:ilvl="0" w:tentative="0">
      <w:start w:val="1"/>
      <w:numFmt w:val="decimal"/>
      <w:lvlText w:val="%1"/>
      <w:lvlJc w:val="left"/>
      <w:pPr>
        <w:ind w:left="425" w:hanging="425"/>
      </w:pPr>
      <w:rPr>
        <w:rFonts w:hint="eastAsia"/>
        <w:sz w:val="21"/>
        <w:szCs w:val="21"/>
      </w:rPr>
    </w:lvl>
    <w:lvl w:ilvl="1" w:tentative="0">
      <w:start w:val="1"/>
      <w:numFmt w:val="none"/>
      <w:lvlText w:val="3.2"/>
      <w:lvlJc w:val="left"/>
      <w:pPr>
        <w:ind w:left="992" w:hanging="567"/>
      </w:pPr>
      <w:rPr>
        <w:rFonts w:hint="eastAsia" w:ascii="宋体" w:hAnsi="宋体" w:eastAsia="宋体"/>
        <w:sz w:val="24"/>
        <w:szCs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06813CBF"/>
    <w:multiLevelType w:val="multilevel"/>
    <w:tmpl w:val="06813CBF"/>
    <w:lvl w:ilvl="0" w:tentative="0">
      <w:start w:val="1"/>
      <w:numFmt w:val="decimal"/>
      <w:lvlText w:val="%1"/>
      <w:lvlJc w:val="left"/>
      <w:pPr>
        <w:ind w:left="425" w:hanging="425"/>
      </w:pPr>
      <w:rPr>
        <w:rFonts w:hint="eastAsia"/>
      </w:rPr>
    </w:lvl>
    <w:lvl w:ilvl="1" w:tentative="0">
      <w:start w:val="1"/>
      <w:numFmt w:val="decimal"/>
      <w:lvlText w:val="2.%2"/>
      <w:lvlJc w:val="left"/>
      <w:pPr>
        <w:ind w:left="992" w:hanging="567"/>
      </w:pPr>
      <w:rPr>
        <w:rFonts w:hint="eastAsia" w:ascii="华文楷体" w:hAnsi="华文楷体" w:eastAsia="华文楷体"/>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07962678"/>
    <w:multiLevelType w:val="multilevel"/>
    <w:tmpl w:val="07962678"/>
    <w:lvl w:ilvl="0" w:tentative="0">
      <w:start w:val="1"/>
      <w:numFmt w:val="decimal"/>
      <w:lvlText w:val="(%1)"/>
      <w:lvlJc w:val="left"/>
      <w:pPr>
        <w:ind w:left="846" w:hanging="420"/>
      </w:pPr>
      <w:rPr>
        <w:rFonts w:hint="default"/>
      </w:rPr>
    </w:lvl>
    <w:lvl w:ilvl="1" w:tentative="0">
      <w:start w:val="1"/>
      <w:numFmt w:val="decimal"/>
      <w:lvlText w:val="（%2）"/>
      <w:lvlJc w:val="left"/>
      <w:pPr>
        <w:ind w:left="1566" w:hanging="720"/>
      </w:pPr>
      <w:rPr>
        <w:rFonts w:hint="default"/>
        <w:lang w:val="en-US"/>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201F7EFC"/>
    <w:multiLevelType w:val="multilevel"/>
    <w:tmpl w:val="201F7EFC"/>
    <w:lvl w:ilvl="0" w:tentative="0">
      <w:start w:val="1"/>
      <w:numFmt w:val="decimal"/>
      <w:lvlText w:val="%1"/>
      <w:lvlJc w:val="left"/>
      <w:pPr>
        <w:ind w:left="425" w:hanging="425"/>
      </w:pPr>
      <w:rPr>
        <w:rFonts w:hint="eastAsia"/>
      </w:rPr>
    </w:lvl>
    <w:lvl w:ilvl="1" w:tentative="0">
      <w:start w:val="1"/>
      <w:numFmt w:val="decimal"/>
      <w:lvlText w:val="4.%2"/>
      <w:lvlJc w:val="left"/>
      <w:pPr>
        <w:ind w:left="992" w:hanging="567"/>
      </w:pPr>
      <w:rPr>
        <w:rFonts w:hint="default" w:ascii="华文楷体" w:hAnsi="华文楷体" w:eastAsia="华文楷体"/>
        <w:sz w:val="24"/>
        <w:szCs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3E348D6"/>
    <w:multiLevelType w:val="multilevel"/>
    <w:tmpl w:val="33E348D6"/>
    <w:lvl w:ilvl="0" w:tentative="0">
      <w:start w:val="1"/>
      <w:numFmt w:val="decimal"/>
      <w:lvlText w:val="(%1)"/>
      <w:lvlJc w:val="left"/>
      <w:pPr>
        <w:ind w:left="780" w:hanging="360"/>
      </w:pPr>
      <w:rPr>
        <w:rFonts w:hint="default"/>
      </w:rPr>
    </w:lvl>
    <w:lvl w:ilvl="1" w:tentative="0">
      <w:start w:val="4"/>
      <w:numFmt w:val="japaneseCounting"/>
      <w:lvlText w:val="%2、"/>
      <w:lvlJc w:val="left"/>
      <w:pPr>
        <w:ind w:left="1560" w:hanging="72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2D82B25"/>
    <w:multiLevelType w:val="multilevel"/>
    <w:tmpl w:val="42D82B25"/>
    <w:lvl w:ilvl="0" w:tentative="0">
      <w:start w:val="1"/>
      <w:numFmt w:val="decimal"/>
      <w:lvlText w:val="%1"/>
      <w:lvlJc w:val="left"/>
      <w:pPr>
        <w:ind w:left="425" w:hanging="425"/>
      </w:pPr>
      <w:rPr>
        <w:rFonts w:hint="eastAsia"/>
        <w:sz w:val="21"/>
        <w:szCs w:val="21"/>
      </w:rPr>
    </w:lvl>
    <w:lvl w:ilvl="1" w:tentative="0">
      <w:start w:val="1"/>
      <w:numFmt w:val="none"/>
      <w:lvlText w:val="3.1"/>
      <w:lvlJc w:val="left"/>
      <w:pPr>
        <w:ind w:left="992" w:hanging="567"/>
      </w:pPr>
      <w:rPr>
        <w:rFonts w:hint="eastAsia" w:ascii="华文楷体" w:hAnsi="华文楷体" w:eastAsia="华文楷体"/>
        <w:sz w:val="24"/>
        <w:szCs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45D07DEE"/>
    <w:multiLevelType w:val="multilevel"/>
    <w:tmpl w:val="45D07DEE"/>
    <w:lvl w:ilvl="0" w:tentative="0">
      <w:start w:val="1"/>
      <w:numFmt w:val="decimal"/>
      <w:suff w:val="nothing"/>
      <w:lvlText w:val="%1"/>
      <w:lvlJc w:val="left"/>
      <w:pPr>
        <w:ind w:left="283" w:firstLine="0"/>
      </w:pPr>
      <w:rPr>
        <w:rFonts w:hint="eastAsia"/>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7">
    <w:nsid w:val="4DF20085"/>
    <w:multiLevelType w:val="singleLevel"/>
    <w:tmpl w:val="4DF20085"/>
    <w:lvl w:ilvl="0" w:tentative="0">
      <w:start w:val="1"/>
      <w:numFmt w:val="decimal"/>
      <w:lvlText w:val="(%1)"/>
      <w:lvlJc w:val="left"/>
      <w:pPr>
        <w:tabs>
          <w:tab w:val="left" w:pos="425"/>
        </w:tabs>
        <w:ind w:left="425" w:hanging="425"/>
      </w:pPr>
      <w:rPr>
        <w:rFonts w:hint="default"/>
      </w:rPr>
    </w:lvl>
  </w:abstractNum>
  <w:abstractNum w:abstractNumId="8">
    <w:nsid w:val="4E4F6C17"/>
    <w:multiLevelType w:val="multilevel"/>
    <w:tmpl w:val="4E4F6C17"/>
    <w:lvl w:ilvl="0" w:tentative="0">
      <w:start w:val="1"/>
      <w:numFmt w:val="japaneseCounting"/>
      <w:lvlText w:val="第%1章"/>
      <w:lvlJc w:val="left"/>
      <w:pPr>
        <w:ind w:left="5401" w:hanging="1125"/>
      </w:pPr>
      <w:rPr>
        <w:rFonts w:hint="default"/>
        <w:b/>
        <w:color w:val="000000"/>
      </w:rPr>
    </w:lvl>
    <w:lvl w:ilvl="1" w:tentative="0">
      <w:start w:val="1"/>
      <w:numFmt w:val="upperLetter"/>
      <w:lvlText w:val="%2."/>
      <w:lvlJc w:val="left"/>
      <w:pPr>
        <w:ind w:left="5116" w:hanging="420"/>
      </w:pPr>
    </w:lvl>
    <w:lvl w:ilvl="2" w:tentative="0">
      <w:start w:val="1"/>
      <w:numFmt w:val="lowerRoman"/>
      <w:lvlText w:val="%3."/>
      <w:lvlJc w:val="right"/>
      <w:pPr>
        <w:ind w:left="5536" w:hanging="420"/>
      </w:pPr>
    </w:lvl>
    <w:lvl w:ilvl="3" w:tentative="0">
      <w:start w:val="1"/>
      <w:numFmt w:val="decimal"/>
      <w:lvlText w:val="%4."/>
      <w:lvlJc w:val="left"/>
      <w:pPr>
        <w:ind w:left="5956" w:hanging="420"/>
      </w:pPr>
    </w:lvl>
    <w:lvl w:ilvl="4" w:tentative="0">
      <w:start w:val="1"/>
      <w:numFmt w:val="lowerLetter"/>
      <w:lvlText w:val="%5)"/>
      <w:lvlJc w:val="left"/>
      <w:pPr>
        <w:ind w:left="6376" w:hanging="420"/>
      </w:pPr>
    </w:lvl>
    <w:lvl w:ilvl="5" w:tentative="0">
      <w:start w:val="1"/>
      <w:numFmt w:val="lowerRoman"/>
      <w:lvlText w:val="%6."/>
      <w:lvlJc w:val="right"/>
      <w:pPr>
        <w:ind w:left="6796" w:hanging="420"/>
      </w:pPr>
    </w:lvl>
    <w:lvl w:ilvl="6" w:tentative="0">
      <w:start w:val="1"/>
      <w:numFmt w:val="decimal"/>
      <w:lvlText w:val="%7."/>
      <w:lvlJc w:val="left"/>
      <w:pPr>
        <w:ind w:left="7216" w:hanging="420"/>
      </w:pPr>
    </w:lvl>
    <w:lvl w:ilvl="7" w:tentative="0">
      <w:start w:val="1"/>
      <w:numFmt w:val="lowerLetter"/>
      <w:lvlText w:val="%8)"/>
      <w:lvlJc w:val="left"/>
      <w:pPr>
        <w:ind w:left="7636" w:hanging="420"/>
      </w:pPr>
    </w:lvl>
    <w:lvl w:ilvl="8" w:tentative="0">
      <w:start w:val="1"/>
      <w:numFmt w:val="lowerRoman"/>
      <w:lvlText w:val="%9."/>
      <w:lvlJc w:val="right"/>
      <w:pPr>
        <w:ind w:left="8056" w:hanging="420"/>
      </w:pPr>
    </w:lvl>
  </w:abstractNum>
  <w:abstractNum w:abstractNumId="9">
    <w:nsid w:val="50D42CF9"/>
    <w:multiLevelType w:val="singleLevel"/>
    <w:tmpl w:val="50D42CF9"/>
    <w:lvl w:ilvl="0" w:tentative="0">
      <w:start w:val="1"/>
      <w:numFmt w:val="decimal"/>
      <w:lvlText w:val="(%1)"/>
      <w:lvlJc w:val="left"/>
      <w:pPr>
        <w:tabs>
          <w:tab w:val="left" w:pos="425"/>
        </w:tabs>
        <w:ind w:left="425" w:hanging="425"/>
      </w:pPr>
      <w:rPr>
        <w:rFonts w:hint="default"/>
      </w:rPr>
    </w:lvl>
  </w:abstractNum>
  <w:abstractNum w:abstractNumId="10">
    <w:nsid w:val="54D1C527"/>
    <w:multiLevelType w:val="singleLevel"/>
    <w:tmpl w:val="54D1C527"/>
    <w:lvl w:ilvl="0" w:tentative="0">
      <w:start w:val="1"/>
      <w:numFmt w:val="decimal"/>
      <w:lvlText w:val="(%1)"/>
      <w:lvlJc w:val="left"/>
      <w:pPr>
        <w:tabs>
          <w:tab w:val="left" w:pos="851"/>
        </w:tabs>
        <w:ind w:left="851" w:hanging="425"/>
      </w:pPr>
      <w:rPr>
        <w:rFonts w:hint="default"/>
      </w:rPr>
    </w:lvl>
  </w:abstractNum>
  <w:abstractNum w:abstractNumId="11">
    <w:nsid w:val="54D1C8A7"/>
    <w:multiLevelType w:val="singleLevel"/>
    <w:tmpl w:val="54D1C8A7"/>
    <w:lvl w:ilvl="0" w:tentative="0">
      <w:start w:val="1"/>
      <w:numFmt w:val="decimal"/>
      <w:lvlText w:val="(%1)"/>
      <w:lvlJc w:val="left"/>
      <w:pPr>
        <w:tabs>
          <w:tab w:val="left" w:pos="425"/>
        </w:tabs>
        <w:ind w:left="425" w:hanging="425"/>
      </w:pPr>
      <w:rPr>
        <w:rFonts w:hint="default"/>
        <w:b/>
        <w:sz w:val="24"/>
        <w:szCs w:val="24"/>
      </w:rPr>
    </w:lvl>
  </w:abstractNum>
  <w:abstractNum w:abstractNumId="12">
    <w:nsid w:val="54D1CE40"/>
    <w:multiLevelType w:val="singleLevel"/>
    <w:tmpl w:val="54D1CE40"/>
    <w:lvl w:ilvl="0" w:tentative="0">
      <w:start w:val="1"/>
      <w:numFmt w:val="decimal"/>
      <w:lvlText w:val="(%1)"/>
      <w:lvlJc w:val="left"/>
      <w:pPr>
        <w:ind w:left="420" w:hanging="420"/>
      </w:pPr>
      <w:rPr>
        <w:rFonts w:hint="default" w:ascii="华文楷体" w:hAnsi="华文楷体" w:eastAsia="华文楷体"/>
      </w:rPr>
    </w:lvl>
  </w:abstractNum>
  <w:abstractNum w:abstractNumId="13">
    <w:nsid w:val="55702069"/>
    <w:multiLevelType w:val="multilevel"/>
    <w:tmpl w:val="55702069"/>
    <w:lvl w:ilvl="0" w:tentative="0">
      <w:start w:val="1"/>
      <w:numFmt w:val="decimal"/>
      <w:lvlText w:val="第%1条"/>
      <w:lvlJc w:val="left"/>
      <w:pPr>
        <w:tabs>
          <w:tab w:val="left" w:pos="851"/>
        </w:tabs>
        <w:ind w:left="851" w:hanging="425"/>
      </w:pPr>
      <w:rPr>
        <w:rFonts w:hint="default" w:ascii="华文楷体" w:hAnsi="华文楷体" w:eastAsia="华文楷体" w:cs="宋体"/>
        <w:b/>
        <w:color w:val="000000"/>
      </w:rPr>
    </w:lvl>
    <w:lvl w:ilvl="1" w:tentative="0">
      <w:start w:val="1"/>
      <w:numFmt w:val="decimal"/>
      <w:lvlText w:val="%1.%2."/>
      <w:lvlJc w:val="left"/>
      <w:pPr>
        <w:tabs>
          <w:tab w:val="left" w:pos="992"/>
        </w:tabs>
        <w:ind w:left="992" w:hanging="425"/>
      </w:pPr>
      <w:rPr>
        <w:rFonts w:hint="default" w:ascii="华文楷体" w:hAnsi="华文楷体" w:eastAsia="华文楷体" w:cs="宋体"/>
        <w:b/>
        <w:bCs/>
      </w:rPr>
    </w:lvl>
    <w:lvl w:ilvl="2" w:tentative="0">
      <w:start w:val="1"/>
      <w:numFmt w:val="decimal"/>
      <w:lvlText w:val="%1.%2.%3."/>
      <w:lvlJc w:val="left"/>
      <w:pPr>
        <w:tabs>
          <w:tab w:val="left" w:pos="851"/>
        </w:tabs>
        <w:ind w:left="0" w:firstLine="426"/>
      </w:pPr>
      <w:rPr>
        <w:rFonts w:hint="default" w:ascii="华文楷体" w:hAnsi="华文楷体" w:eastAsia="华文楷体" w:cs="宋体"/>
        <w:b w:val="0"/>
        <w:bCs w:val="0"/>
        <w:color w:val="auto"/>
        <w:sz w:val="24"/>
        <w:szCs w:val="24"/>
      </w:rPr>
    </w:lvl>
    <w:lvl w:ilvl="3" w:tentative="0">
      <w:start w:val="1"/>
      <w:numFmt w:val="decimal"/>
      <w:lvlText w:val="%1.%2.%3.%4."/>
      <w:lvlJc w:val="left"/>
      <w:pPr>
        <w:tabs>
          <w:tab w:val="left" w:pos="851"/>
        </w:tabs>
        <w:ind w:left="0" w:firstLine="426"/>
      </w:pPr>
      <w:rPr>
        <w:rFonts w:hint="default" w:ascii="华文楷体" w:hAnsi="华文楷体" w:eastAsia="华文楷体" w:cs="宋体"/>
        <w:color w:val="auto"/>
      </w:rPr>
    </w:lvl>
    <w:lvl w:ilvl="4" w:tentative="0">
      <w:start w:val="1"/>
      <w:numFmt w:val="decimal"/>
      <w:lvlText w:val="%1.%2.%3.%4.%5."/>
      <w:lvlJc w:val="left"/>
      <w:pPr>
        <w:tabs>
          <w:tab w:val="left" w:pos="851"/>
        </w:tabs>
        <w:ind w:left="851" w:hanging="425"/>
      </w:pPr>
      <w:rPr>
        <w:rFonts w:hint="default" w:ascii="宋体" w:hAnsi="宋体" w:eastAsia="宋体" w:cs="宋体"/>
      </w:rPr>
    </w:lvl>
    <w:lvl w:ilvl="5" w:tentative="0">
      <w:start w:val="1"/>
      <w:numFmt w:val="decimal"/>
      <w:lvlText w:val="%1.%2.%3.%4.%5.%6."/>
      <w:lvlJc w:val="left"/>
      <w:pPr>
        <w:tabs>
          <w:tab w:val="left" w:pos="851"/>
        </w:tabs>
        <w:ind w:left="1560" w:hanging="1134"/>
      </w:pPr>
      <w:rPr>
        <w:rFonts w:hint="default" w:ascii="宋体" w:hAnsi="宋体" w:eastAsia="宋体" w:cs="宋体"/>
      </w:rPr>
    </w:lvl>
    <w:lvl w:ilvl="6" w:tentative="0">
      <w:start w:val="1"/>
      <w:numFmt w:val="decimal"/>
      <w:lvlText w:val="%1.%2.%3.%4.%5.%6.%7."/>
      <w:lvlJc w:val="left"/>
      <w:pPr>
        <w:tabs>
          <w:tab w:val="left" w:pos="1701"/>
        </w:tabs>
        <w:ind w:left="1701" w:hanging="1275"/>
      </w:pPr>
      <w:rPr>
        <w:rFonts w:hint="default"/>
      </w:rPr>
    </w:lvl>
    <w:lvl w:ilvl="7" w:tentative="0">
      <w:start w:val="1"/>
      <w:numFmt w:val="decimal"/>
      <w:lvlText w:val="%1.%2.%3.%4.%5.%6.%7.%8."/>
      <w:lvlJc w:val="left"/>
      <w:pPr>
        <w:tabs>
          <w:tab w:val="left" w:pos="1844"/>
        </w:tabs>
        <w:ind w:left="1844" w:hanging="1418"/>
      </w:pPr>
      <w:rPr>
        <w:rFonts w:hint="default"/>
      </w:rPr>
    </w:lvl>
    <w:lvl w:ilvl="8" w:tentative="0">
      <w:start w:val="1"/>
      <w:numFmt w:val="decimal"/>
      <w:lvlText w:val="%1.%2.%3.%4.%5.%6.%7.%8.%9."/>
      <w:lvlJc w:val="left"/>
      <w:pPr>
        <w:tabs>
          <w:tab w:val="left" w:pos="1984"/>
        </w:tabs>
        <w:ind w:left="1984" w:hanging="1558"/>
      </w:pPr>
      <w:rPr>
        <w:rFonts w:hint="default"/>
      </w:rPr>
    </w:lvl>
  </w:abstractNum>
  <w:abstractNum w:abstractNumId="14">
    <w:nsid w:val="62534548"/>
    <w:multiLevelType w:val="multilevel"/>
    <w:tmpl w:val="62534548"/>
    <w:lvl w:ilvl="0" w:tentative="0">
      <w:start w:val="1"/>
      <w:numFmt w:val="japaneseCounting"/>
      <w:lvlText w:val="%1、"/>
      <w:lvlJc w:val="left"/>
      <w:pPr>
        <w:ind w:left="720" w:hanging="720"/>
      </w:pPr>
      <w:rPr>
        <w:rFonts w:hint="default" w:ascii="华文楷体" w:hAnsi="华文楷体" w:eastAsia="华文楷体"/>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7D80755"/>
    <w:multiLevelType w:val="multilevel"/>
    <w:tmpl w:val="67D80755"/>
    <w:lvl w:ilvl="0" w:tentative="0">
      <w:start w:val="1"/>
      <w:numFmt w:val="bullet"/>
      <w:pStyle w:val="73"/>
      <w:lvlText w:val=""/>
      <w:lvlJc w:val="left"/>
      <w:pPr>
        <w:tabs>
          <w:tab w:val="left" w:pos="0"/>
        </w:tabs>
        <w:ind w:left="284" w:hanging="284"/>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6E8D57D3"/>
    <w:multiLevelType w:val="multilevel"/>
    <w:tmpl w:val="6E8D57D3"/>
    <w:lvl w:ilvl="0" w:tentative="0">
      <w:start w:val="1"/>
      <w:numFmt w:val="decimal"/>
      <w:lvlText w:val="（%1）"/>
      <w:lvlJc w:val="left"/>
      <w:pPr>
        <w:ind w:left="720" w:hanging="72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FEC7D4C"/>
    <w:multiLevelType w:val="multilevel"/>
    <w:tmpl w:val="6FEC7D4C"/>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ascii="华文楷体" w:hAnsi="华文楷体" w:eastAsia="华文楷体"/>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8">
    <w:nsid w:val="782C7F50"/>
    <w:multiLevelType w:val="multilevel"/>
    <w:tmpl w:val="782C7F50"/>
    <w:lvl w:ilvl="0" w:tentative="0">
      <w:start w:val="1"/>
      <w:numFmt w:val="japaneseCounting"/>
      <w:lvlText w:val="%1、"/>
      <w:lvlJc w:val="left"/>
      <w:pPr>
        <w:ind w:left="1410" w:hanging="93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5"/>
  </w:num>
  <w:num w:numId="2">
    <w:abstractNumId w:val="18"/>
  </w:num>
  <w:num w:numId="3">
    <w:abstractNumId w:val="13"/>
  </w:num>
  <w:num w:numId="4">
    <w:abstractNumId w:val="8"/>
  </w:num>
  <w:num w:numId="5">
    <w:abstractNumId w:val="4"/>
  </w:num>
  <w:num w:numId="6">
    <w:abstractNumId w:val="2"/>
  </w:num>
  <w:num w:numId="7">
    <w:abstractNumId w:val="16"/>
  </w:num>
  <w:num w:numId="8">
    <w:abstractNumId w:val="12"/>
  </w:num>
  <w:num w:numId="9">
    <w:abstractNumId w:val="11"/>
  </w:num>
  <w:num w:numId="10">
    <w:abstractNumId w:val="10"/>
  </w:num>
  <w:num w:numId="11">
    <w:abstractNumId w:val="7"/>
    <w:lvlOverride w:ilvl="0">
      <w:startOverride w:val="1"/>
    </w:lvlOverride>
  </w:num>
  <w:num w:numId="12">
    <w:abstractNumId w:val="7"/>
  </w:num>
  <w:num w:numId="13">
    <w:abstractNumId w:val="9"/>
  </w:num>
  <w:num w:numId="14">
    <w:abstractNumId w:val="6"/>
  </w:num>
  <w:num w:numId="15">
    <w:abstractNumId w:val="14"/>
  </w:num>
  <w:num w:numId="16">
    <w:abstractNumId w:val="17"/>
  </w:num>
  <w:num w:numId="17">
    <w:abstractNumId w:val="1"/>
  </w:num>
  <w:num w:numId="18">
    <w:abstractNumId w:val="5"/>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31C"/>
    <w:rsid w:val="00000434"/>
    <w:rsid w:val="000005F0"/>
    <w:rsid w:val="000009AB"/>
    <w:rsid w:val="000009D4"/>
    <w:rsid w:val="000009E5"/>
    <w:rsid w:val="00000DA8"/>
    <w:rsid w:val="0000129A"/>
    <w:rsid w:val="00001AAB"/>
    <w:rsid w:val="00001C6E"/>
    <w:rsid w:val="00001CF2"/>
    <w:rsid w:val="00001E3F"/>
    <w:rsid w:val="000021C7"/>
    <w:rsid w:val="000027AC"/>
    <w:rsid w:val="000032B0"/>
    <w:rsid w:val="000036A3"/>
    <w:rsid w:val="00003A18"/>
    <w:rsid w:val="00003C17"/>
    <w:rsid w:val="00003D14"/>
    <w:rsid w:val="00004054"/>
    <w:rsid w:val="0000445C"/>
    <w:rsid w:val="00004542"/>
    <w:rsid w:val="000047A8"/>
    <w:rsid w:val="00004821"/>
    <w:rsid w:val="00004965"/>
    <w:rsid w:val="00004AC5"/>
    <w:rsid w:val="00005502"/>
    <w:rsid w:val="00005D60"/>
    <w:rsid w:val="00005E8E"/>
    <w:rsid w:val="00006374"/>
    <w:rsid w:val="00006E3E"/>
    <w:rsid w:val="0000723E"/>
    <w:rsid w:val="000076C0"/>
    <w:rsid w:val="000079A8"/>
    <w:rsid w:val="00007D64"/>
    <w:rsid w:val="00007E60"/>
    <w:rsid w:val="00010449"/>
    <w:rsid w:val="0001045C"/>
    <w:rsid w:val="0001073E"/>
    <w:rsid w:val="00010B73"/>
    <w:rsid w:val="00011762"/>
    <w:rsid w:val="00011DAF"/>
    <w:rsid w:val="0001248B"/>
    <w:rsid w:val="00012B47"/>
    <w:rsid w:val="00012BFA"/>
    <w:rsid w:val="0001340D"/>
    <w:rsid w:val="00014DB1"/>
    <w:rsid w:val="00014FB6"/>
    <w:rsid w:val="000151CD"/>
    <w:rsid w:val="0001538D"/>
    <w:rsid w:val="00015E69"/>
    <w:rsid w:val="00015F2B"/>
    <w:rsid w:val="000162DF"/>
    <w:rsid w:val="0001685D"/>
    <w:rsid w:val="000172BE"/>
    <w:rsid w:val="00017CBE"/>
    <w:rsid w:val="00017FE0"/>
    <w:rsid w:val="000211B5"/>
    <w:rsid w:val="00021298"/>
    <w:rsid w:val="000215A6"/>
    <w:rsid w:val="00021789"/>
    <w:rsid w:val="00021E46"/>
    <w:rsid w:val="0002257C"/>
    <w:rsid w:val="000225C6"/>
    <w:rsid w:val="000226F1"/>
    <w:rsid w:val="00022847"/>
    <w:rsid w:val="00022FB6"/>
    <w:rsid w:val="0002315C"/>
    <w:rsid w:val="00023C64"/>
    <w:rsid w:val="0002443D"/>
    <w:rsid w:val="000245AB"/>
    <w:rsid w:val="000246D1"/>
    <w:rsid w:val="00024B23"/>
    <w:rsid w:val="00024CD4"/>
    <w:rsid w:val="00024ECC"/>
    <w:rsid w:val="00025787"/>
    <w:rsid w:val="00025930"/>
    <w:rsid w:val="00025AE5"/>
    <w:rsid w:val="00025C73"/>
    <w:rsid w:val="00025E7E"/>
    <w:rsid w:val="00026981"/>
    <w:rsid w:val="00026CC2"/>
    <w:rsid w:val="00026D34"/>
    <w:rsid w:val="0002733C"/>
    <w:rsid w:val="00027853"/>
    <w:rsid w:val="00027E73"/>
    <w:rsid w:val="000302A9"/>
    <w:rsid w:val="000303BD"/>
    <w:rsid w:val="000305BE"/>
    <w:rsid w:val="00030A78"/>
    <w:rsid w:val="00030ECE"/>
    <w:rsid w:val="0003135A"/>
    <w:rsid w:val="0003170C"/>
    <w:rsid w:val="0003181D"/>
    <w:rsid w:val="000318FA"/>
    <w:rsid w:val="00031D93"/>
    <w:rsid w:val="00032002"/>
    <w:rsid w:val="00032057"/>
    <w:rsid w:val="00032524"/>
    <w:rsid w:val="000328DE"/>
    <w:rsid w:val="000338DF"/>
    <w:rsid w:val="000339DF"/>
    <w:rsid w:val="00033D6F"/>
    <w:rsid w:val="0003418B"/>
    <w:rsid w:val="00035060"/>
    <w:rsid w:val="000353FE"/>
    <w:rsid w:val="00035625"/>
    <w:rsid w:val="0003569D"/>
    <w:rsid w:val="0003594F"/>
    <w:rsid w:val="00035D76"/>
    <w:rsid w:val="00035DCF"/>
    <w:rsid w:val="0003630F"/>
    <w:rsid w:val="000372AD"/>
    <w:rsid w:val="00037867"/>
    <w:rsid w:val="0004146B"/>
    <w:rsid w:val="000414E1"/>
    <w:rsid w:val="00041782"/>
    <w:rsid w:val="0004181D"/>
    <w:rsid w:val="00041879"/>
    <w:rsid w:val="00041A52"/>
    <w:rsid w:val="00041B0B"/>
    <w:rsid w:val="00041E23"/>
    <w:rsid w:val="00041EAD"/>
    <w:rsid w:val="00042373"/>
    <w:rsid w:val="00042527"/>
    <w:rsid w:val="000433EC"/>
    <w:rsid w:val="00043556"/>
    <w:rsid w:val="000435FC"/>
    <w:rsid w:val="00043AEE"/>
    <w:rsid w:val="00043C82"/>
    <w:rsid w:val="00043D5A"/>
    <w:rsid w:val="0004405C"/>
    <w:rsid w:val="00044DD3"/>
    <w:rsid w:val="00044FB3"/>
    <w:rsid w:val="00045485"/>
    <w:rsid w:val="000456EE"/>
    <w:rsid w:val="00046024"/>
    <w:rsid w:val="000465E4"/>
    <w:rsid w:val="000468FF"/>
    <w:rsid w:val="000470FD"/>
    <w:rsid w:val="0005004B"/>
    <w:rsid w:val="0005067C"/>
    <w:rsid w:val="0005092A"/>
    <w:rsid w:val="00050BDB"/>
    <w:rsid w:val="00050CB8"/>
    <w:rsid w:val="00050E9F"/>
    <w:rsid w:val="00051246"/>
    <w:rsid w:val="000515DD"/>
    <w:rsid w:val="000517F4"/>
    <w:rsid w:val="000519D8"/>
    <w:rsid w:val="00052455"/>
    <w:rsid w:val="00053E1B"/>
    <w:rsid w:val="00054371"/>
    <w:rsid w:val="00054438"/>
    <w:rsid w:val="000544A1"/>
    <w:rsid w:val="000548D9"/>
    <w:rsid w:val="00055021"/>
    <w:rsid w:val="00055418"/>
    <w:rsid w:val="00055632"/>
    <w:rsid w:val="00055954"/>
    <w:rsid w:val="00055B87"/>
    <w:rsid w:val="00055DFB"/>
    <w:rsid w:val="00055F9E"/>
    <w:rsid w:val="00056085"/>
    <w:rsid w:val="00056261"/>
    <w:rsid w:val="00056AA9"/>
    <w:rsid w:val="00056DD3"/>
    <w:rsid w:val="00056F92"/>
    <w:rsid w:val="000603D9"/>
    <w:rsid w:val="000615F1"/>
    <w:rsid w:val="0006166D"/>
    <w:rsid w:val="00061829"/>
    <w:rsid w:val="000619F8"/>
    <w:rsid w:val="00061CF0"/>
    <w:rsid w:val="00062024"/>
    <w:rsid w:val="00062245"/>
    <w:rsid w:val="000622B4"/>
    <w:rsid w:val="000624BD"/>
    <w:rsid w:val="000627F1"/>
    <w:rsid w:val="00062B47"/>
    <w:rsid w:val="000632A6"/>
    <w:rsid w:val="00063C9D"/>
    <w:rsid w:val="00064201"/>
    <w:rsid w:val="000643F3"/>
    <w:rsid w:val="000647A8"/>
    <w:rsid w:val="00064A1B"/>
    <w:rsid w:val="00064C2F"/>
    <w:rsid w:val="00064FCF"/>
    <w:rsid w:val="000652F1"/>
    <w:rsid w:val="000658A9"/>
    <w:rsid w:val="00065C0D"/>
    <w:rsid w:val="0006667D"/>
    <w:rsid w:val="0006683B"/>
    <w:rsid w:val="000669F6"/>
    <w:rsid w:val="00066B08"/>
    <w:rsid w:val="00066C78"/>
    <w:rsid w:val="00066EAF"/>
    <w:rsid w:val="00067709"/>
    <w:rsid w:val="0006771D"/>
    <w:rsid w:val="00067C18"/>
    <w:rsid w:val="0007071E"/>
    <w:rsid w:val="0007287D"/>
    <w:rsid w:val="00072D13"/>
    <w:rsid w:val="000730C7"/>
    <w:rsid w:val="000730E4"/>
    <w:rsid w:val="00073373"/>
    <w:rsid w:val="000738DB"/>
    <w:rsid w:val="00073BB6"/>
    <w:rsid w:val="0007410F"/>
    <w:rsid w:val="000747E6"/>
    <w:rsid w:val="00076136"/>
    <w:rsid w:val="00076754"/>
    <w:rsid w:val="0007719C"/>
    <w:rsid w:val="0007746F"/>
    <w:rsid w:val="000777E4"/>
    <w:rsid w:val="00077BF4"/>
    <w:rsid w:val="00077C77"/>
    <w:rsid w:val="00077CD9"/>
    <w:rsid w:val="00080455"/>
    <w:rsid w:val="00080DCE"/>
    <w:rsid w:val="000817DE"/>
    <w:rsid w:val="00081824"/>
    <w:rsid w:val="00081848"/>
    <w:rsid w:val="000819B9"/>
    <w:rsid w:val="00081AC0"/>
    <w:rsid w:val="00082075"/>
    <w:rsid w:val="00082309"/>
    <w:rsid w:val="0008299C"/>
    <w:rsid w:val="00082CB5"/>
    <w:rsid w:val="00083A4C"/>
    <w:rsid w:val="00083A85"/>
    <w:rsid w:val="00083B7E"/>
    <w:rsid w:val="00084343"/>
    <w:rsid w:val="0008449A"/>
    <w:rsid w:val="00084FD0"/>
    <w:rsid w:val="000850EE"/>
    <w:rsid w:val="0008587E"/>
    <w:rsid w:val="0008595B"/>
    <w:rsid w:val="00085B04"/>
    <w:rsid w:val="00086643"/>
    <w:rsid w:val="000866B6"/>
    <w:rsid w:val="00086AC5"/>
    <w:rsid w:val="00086C80"/>
    <w:rsid w:val="00086FBA"/>
    <w:rsid w:val="00087A31"/>
    <w:rsid w:val="00087D0F"/>
    <w:rsid w:val="0009011D"/>
    <w:rsid w:val="00090331"/>
    <w:rsid w:val="00090622"/>
    <w:rsid w:val="0009081F"/>
    <w:rsid w:val="0009094B"/>
    <w:rsid w:val="00090D68"/>
    <w:rsid w:val="000917B6"/>
    <w:rsid w:val="00091D8E"/>
    <w:rsid w:val="00091F43"/>
    <w:rsid w:val="000922E8"/>
    <w:rsid w:val="00092343"/>
    <w:rsid w:val="00092806"/>
    <w:rsid w:val="00092C99"/>
    <w:rsid w:val="00092CC2"/>
    <w:rsid w:val="00093902"/>
    <w:rsid w:val="00093984"/>
    <w:rsid w:val="00094013"/>
    <w:rsid w:val="00094238"/>
    <w:rsid w:val="000942BC"/>
    <w:rsid w:val="0009450C"/>
    <w:rsid w:val="0009467B"/>
    <w:rsid w:val="00094F76"/>
    <w:rsid w:val="00095F53"/>
    <w:rsid w:val="00096768"/>
    <w:rsid w:val="00096A1E"/>
    <w:rsid w:val="00096B09"/>
    <w:rsid w:val="00096B64"/>
    <w:rsid w:val="00096F28"/>
    <w:rsid w:val="00097469"/>
    <w:rsid w:val="0009753A"/>
    <w:rsid w:val="00097602"/>
    <w:rsid w:val="000977AF"/>
    <w:rsid w:val="00097B4B"/>
    <w:rsid w:val="00097CAD"/>
    <w:rsid w:val="00097D15"/>
    <w:rsid w:val="00097DAF"/>
    <w:rsid w:val="000A1026"/>
    <w:rsid w:val="000A1504"/>
    <w:rsid w:val="000A15AE"/>
    <w:rsid w:val="000A1F72"/>
    <w:rsid w:val="000A2013"/>
    <w:rsid w:val="000A217F"/>
    <w:rsid w:val="000A23AF"/>
    <w:rsid w:val="000A258B"/>
    <w:rsid w:val="000A27B5"/>
    <w:rsid w:val="000A2BBB"/>
    <w:rsid w:val="000A2C89"/>
    <w:rsid w:val="000A2C94"/>
    <w:rsid w:val="000A2CF6"/>
    <w:rsid w:val="000A2E41"/>
    <w:rsid w:val="000A33F4"/>
    <w:rsid w:val="000A3517"/>
    <w:rsid w:val="000A3E48"/>
    <w:rsid w:val="000A5D1D"/>
    <w:rsid w:val="000A5DF2"/>
    <w:rsid w:val="000A5EA1"/>
    <w:rsid w:val="000A60BD"/>
    <w:rsid w:val="000A6137"/>
    <w:rsid w:val="000A6416"/>
    <w:rsid w:val="000A6F88"/>
    <w:rsid w:val="000A7232"/>
    <w:rsid w:val="000A73FA"/>
    <w:rsid w:val="000A7559"/>
    <w:rsid w:val="000A77F1"/>
    <w:rsid w:val="000A7892"/>
    <w:rsid w:val="000A78BF"/>
    <w:rsid w:val="000A7957"/>
    <w:rsid w:val="000B0117"/>
    <w:rsid w:val="000B088C"/>
    <w:rsid w:val="000B0C55"/>
    <w:rsid w:val="000B1798"/>
    <w:rsid w:val="000B181F"/>
    <w:rsid w:val="000B1892"/>
    <w:rsid w:val="000B1B6C"/>
    <w:rsid w:val="000B1EF6"/>
    <w:rsid w:val="000B1F15"/>
    <w:rsid w:val="000B2646"/>
    <w:rsid w:val="000B3D13"/>
    <w:rsid w:val="000B3DEE"/>
    <w:rsid w:val="000B3E54"/>
    <w:rsid w:val="000B4D79"/>
    <w:rsid w:val="000B4F95"/>
    <w:rsid w:val="000B5082"/>
    <w:rsid w:val="000B58EF"/>
    <w:rsid w:val="000B59B3"/>
    <w:rsid w:val="000B5C1A"/>
    <w:rsid w:val="000B5D9F"/>
    <w:rsid w:val="000B6416"/>
    <w:rsid w:val="000B67D1"/>
    <w:rsid w:val="000B69C4"/>
    <w:rsid w:val="000B6B75"/>
    <w:rsid w:val="000B6C45"/>
    <w:rsid w:val="000B6C8A"/>
    <w:rsid w:val="000B6E1D"/>
    <w:rsid w:val="000B74CB"/>
    <w:rsid w:val="000B7779"/>
    <w:rsid w:val="000C084A"/>
    <w:rsid w:val="000C08D0"/>
    <w:rsid w:val="000C0B8A"/>
    <w:rsid w:val="000C0D3E"/>
    <w:rsid w:val="000C0DFE"/>
    <w:rsid w:val="000C1C84"/>
    <w:rsid w:val="000C1E6D"/>
    <w:rsid w:val="000C2D6D"/>
    <w:rsid w:val="000C3497"/>
    <w:rsid w:val="000C3587"/>
    <w:rsid w:val="000C3939"/>
    <w:rsid w:val="000C3F9F"/>
    <w:rsid w:val="000C4227"/>
    <w:rsid w:val="000C44E5"/>
    <w:rsid w:val="000C45C6"/>
    <w:rsid w:val="000C45F9"/>
    <w:rsid w:val="000C581D"/>
    <w:rsid w:val="000C59A2"/>
    <w:rsid w:val="000C5DF7"/>
    <w:rsid w:val="000C6310"/>
    <w:rsid w:val="000C6380"/>
    <w:rsid w:val="000C6495"/>
    <w:rsid w:val="000C66E1"/>
    <w:rsid w:val="000C6915"/>
    <w:rsid w:val="000C6951"/>
    <w:rsid w:val="000C6D89"/>
    <w:rsid w:val="000C6E31"/>
    <w:rsid w:val="000C71D2"/>
    <w:rsid w:val="000C71D8"/>
    <w:rsid w:val="000C7267"/>
    <w:rsid w:val="000C75C8"/>
    <w:rsid w:val="000C7855"/>
    <w:rsid w:val="000D02EF"/>
    <w:rsid w:val="000D0671"/>
    <w:rsid w:val="000D07F7"/>
    <w:rsid w:val="000D08CC"/>
    <w:rsid w:val="000D0BA2"/>
    <w:rsid w:val="000D0BE7"/>
    <w:rsid w:val="000D0DCC"/>
    <w:rsid w:val="000D1374"/>
    <w:rsid w:val="000D1C3A"/>
    <w:rsid w:val="000D1CE4"/>
    <w:rsid w:val="000D1DDF"/>
    <w:rsid w:val="000D251F"/>
    <w:rsid w:val="000D2CB7"/>
    <w:rsid w:val="000D326D"/>
    <w:rsid w:val="000D3535"/>
    <w:rsid w:val="000D3AE9"/>
    <w:rsid w:val="000D4568"/>
    <w:rsid w:val="000D45A0"/>
    <w:rsid w:val="000D4828"/>
    <w:rsid w:val="000D48A3"/>
    <w:rsid w:val="000D529E"/>
    <w:rsid w:val="000D55DF"/>
    <w:rsid w:val="000D61AE"/>
    <w:rsid w:val="000D64E1"/>
    <w:rsid w:val="000D65D9"/>
    <w:rsid w:val="000D65E5"/>
    <w:rsid w:val="000D6B21"/>
    <w:rsid w:val="000D6C1F"/>
    <w:rsid w:val="000D6E55"/>
    <w:rsid w:val="000D6FD6"/>
    <w:rsid w:val="000D7AEB"/>
    <w:rsid w:val="000E0005"/>
    <w:rsid w:val="000E0A00"/>
    <w:rsid w:val="000E0FAD"/>
    <w:rsid w:val="000E1B80"/>
    <w:rsid w:val="000E21C4"/>
    <w:rsid w:val="000E2ED4"/>
    <w:rsid w:val="000E2F49"/>
    <w:rsid w:val="000E328B"/>
    <w:rsid w:val="000E3397"/>
    <w:rsid w:val="000E33C0"/>
    <w:rsid w:val="000E3435"/>
    <w:rsid w:val="000E3691"/>
    <w:rsid w:val="000E382D"/>
    <w:rsid w:val="000E38DA"/>
    <w:rsid w:val="000E42D3"/>
    <w:rsid w:val="000E4928"/>
    <w:rsid w:val="000E4977"/>
    <w:rsid w:val="000E58EB"/>
    <w:rsid w:val="000E5CE2"/>
    <w:rsid w:val="000E5CEF"/>
    <w:rsid w:val="000E5EFB"/>
    <w:rsid w:val="000E60C7"/>
    <w:rsid w:val="000E61BD"/>
    <w:rsid w:val="000E6297"/>
    <w:rsid w:val="000E76B1"/>
    <w:rsid w:val="000F00B4"/>
    <w:rsid w:val="000F04EF"/>
    <w:rsid w:val="000F0685"/>
    <w:rsid w:val="000F0800"/>
    <w:rsid w:val="000F091A"/>
    <w:rsid w:val="000F0925"/>
    <w:rsid w:val="000F0C68"/>
    <w:rsid w:val="000F0DE6"/>
    <w:rsid w:val="000F0E53"/>
    <w:rsid w:val="000F163D"/>
    <w:rsid w:val="000F18F9"/>
    <w:rsid w:val="000F1B67"/>
    <w:rsid w:val="000F1FB6"/>
    <w:rsid w:val="000F254B"/>
    <w:rsid w:val="000F2658"/>
    <w:rsid w:val="000F2941"/>
    <w:rsid w:val="000F29A6"/>
    <w:rsid w:val="000F2DBF"/>
    <w:rsid w:val="000F37C3"/>
    <w:rsid w:val="000F42B5"/>
    <w:rsid w:val="000F47C9"/>
    <w:rsid w:val="000F486F"/>
    <w:rsid w:val="000F4EE0"/>
    <w:rsid w:val="000F5388"/>
    <w:rsid w:val="000F5A8F"/>
    <w:rsid w:val="000F5D97"/>
    <w:rsid w:val="000F5FBD"/>
    <w:rsid w:val="000F60D1"/>
    <w:rsid w:val="000F654B"/>
    <w:rsid w:val="000F6DA5"/>
    <w:rsid w:val="000F6E56"/>
    <w:rsid w:val="000F758E"/>
    <w:rsid w:val="0010018D"/>
    <w:rsid w:val="00100763"/>
    <w:rsid w:val="00100BAF"/>
    <w:rsid w:val="00101273"/>
    <w:rsid w:val="001012BB"/>
    <w:rsid w:val="00101D3B"/>
    <w:rsid w:val="001021B1"/>
    <w:rsid w:val="001022EE"/>
    <w:rsid w:val="00102484"/>
    <w:rsid w:val="001024A5"/>
    <w:rsid w:val="00102774"/>
    <w:rsid w:val="00102E36"/>
    <w:rsid w:val="00104031"/>
    <w:rsid w:val="00104574"/>
    <w:rsid w:val="00104880"/>
    <w:rsid w:val="00104E16"/>
    <w:rsid w:val="00104E8C"/>
    <w:rsid w:val="00104EFB"/>
    <w:rsid w:val="00104F58"/>
    <w:rsid w:val="001054E4"/>
    <w:rsid w:val="0010560A"/>
    <w:rsid w:val="00105A88"/>
    <w:rsid w:val="00105F44"/>
    <w:rsid w:val="001064A0"/>
    <w:rsid w:val="00106570"/>
    <w:rsid w:val="00106EC4"/>
    <w:rsid w:val="00106F7B"/>
    <w:rsid w:val="00107496"/>
    <w:rsid w:val="00107557"/>
    <w:rsid w:val="00107588"/>
    <w:rsid w:val="00107A71"/>
    <w:rsid w:val="00107BAE"/>
    <w:rsid w:val="00107BC8"/>
    <w:rsid w:val="00107DF8"/>
    <w:rsid w:val="00110255"/>
    <w:rsid w:val="00110954"/>
    <w:rsid w:val="00110A0A"/>
    <w:rsid w:val="00110A76"/>
    <w:rsid w:val="00110A80"/>
    <w:rsid w:val="00111998"/>
    <w:rsid w:val="00111A2D"/>
    <w:rsid w:val="00112A33"/>
    <w:rsid w:val="00112AEE"/>
    <w:rsid w:val="00112F42"/>
    <w:rsid w:val="00113005"/>
    <w:rsid w:val="001133D1"/>
    <w:rsid w:val="00113738"/>
    <w:rsid w:val="001137A3"/>
    <w:rsid w:val="00113F51"/>
    <w:rsid w:val="00113F92"/>
    <w:rsid w:val="001142DB"/>
    <w:rsid w:val="001145B7"/>
    <w:rsid w:val="001148CA"/>
    <w:rsid w:val="00114911"/>
    <w:rsid w:val="00114B62"/>
    <w:rsid w:val="00114D62"/>
    <w:rsid w:val="00115A04"/>
    <w:rsid w:val="001161E2"/>
    <w:rsid w:val="001163CB"/>
    <w:rsid w:val="00116B03"/>
    <w:rsid w:val="00116E24"/>
    <w:rsid w:val="00116F16"/>
    <w:rsid w:val="0011757B"/>
    <w:rsid w:val="0011763B"/>
    <w:rsid w:val="0012021B"/>
    <w:rsid w:val="001213D8"/>
    <w:rsid w:val="001214C3"/>
    <w:rsid w:val="0012180F"/>
    <w:rsid w:val="00121B37"/>
    <w:rsid w:val="00121BEB"/>
    <w:rsid w:val="00122030"/>
    <w:rsid w:val="00122290"/>
    <w:rsid w:val="001226D7"/>
    <w:rsid w:val="00123705"/>
    <w:rsid w:val="00123826"/>
    <w:rsid w:val="00123A43"/>
    <w:rsid w:val="00123ACC"/>
    <w:rsid w:val="00123EEF"/>
    <w:rsid w:val="001243D0"/>
    <w:rsid w:val="00125B99"/>
    <w:rsid w:val="001267CF"/>
    <w:rsid w:val="00126988"/>
    <w:rsid w:val="00126D88"/>
    <w:rsid w:val="00126F2F"/>
    <w:rsid w:val="00126F76"/>
    <w:rsid w:val="00127710"/>
    <w:rsid w:val="00127724"/>
    <w:rsid w:val="00127994"/>
    <w:rsid w:val="001279DB"/>
    <w:rsid w:val="00127C3F"/>
    <w:rsid w:val="00127C50"/>
    <w:rsid w:val="001300DC"/>
    <w:rsid w:val="00130364"/>
    <w:rsid w:val="00130E3D"/>
    <w:rsid w:val="001314B4"/>
    <w:rsid w:val="0013187D"/>
    <w:rsid w:val="00132419"/>
    <w:rsid w:val="00132985"/>
    <w:rsid w:val="00132FE5"/>
    <w:rsid w:val="001332AB"/>
    <w:rsid w:val="00133641"/>
    <w:rsid w:val="001337A1"/>
    <w:rsid w:val="001337A8"/>
    <w:rsid w:val="0013398C"/>
    <w:rsid w:val="00133AAB"/>
    <w:rsid w:val="00133CDF"/>
    <w:rsid w:val="00134605"/>
    <w:rsid w:val="0013551B"/>
    <w:rsid w:val="001356E4"/>
    <w:rsid w:val="00135855"/>
    <w:rsid w:val="00135E2C"/>
    <w:rsid w:val="00136631"/>
    <w:rsid w:val="0013688E"/>
    <w:rsid w:val="00136B83"/>
    <w:rsid w:val="00137499"/>
    <w:rsid w:val="00137883"/>
    <w:rsid w:val="00137887"/>
    <w:rsid w:val="00137D89"/>
    <w:rsid w:val="00140183"/>
    <w:rsid w:val="00140D84"/>
    <w:rsid w:val="0014142B"/>
    <w:rsid w:val="00141511"/>
    <w:rsid w:val="0014169D"/>
    <w:rsid w:val="00141D9F"/>
    <w:rsid w:val="0014222B"/>
    <w:rsid w:val="0014222D"/>
    <w:rsid w:val="0014385D"/>
    <w:rsid w:val="00143A96"/>
    <w:rsid w:val="00143D94"/>
    <w:rsid w:val="00144176"/>
    <w:rsid w:val="0014437C"/>
    <w:rsid w:val="00144A69"/>
    <w:rsid w:val="00144B63"/>
    <w:rsid w:val="00144F50"/>
    <w:rsid w:val="0014501D"/>
    <w:rsid w:val="0014517E"/>
    <w:rsid w:val="00145B4A"/>
    <w:rsid w:val="00145DAE"/>
    <w:rsid w:val="00145E7A"/>
    <w:rsid w:val="00145F7F"/>
    <w:rsid w:val="0014625C"/>
    <w:rsid w:val="00146721"/>
    <w:rsid w:val="00146781"/>
    <w:rsid w:val="001468C7"/>
    <w:rsid w:val="00146D38"/>
    <w:rsid w:val="00147739"/>
    <w:rsid w:val="0015062E"/>
    <w:rsid w:val="00150873"/>
    <w:rsid w:val="00150D99"/>
    <w:rsid w:val="00151000"/>
    <w:rsid w:val="001511E2"/>
    <w:rsid w:val="00151545"/>
    <w:rsid w:val="00151E8F"/>
    <w:rsid w:val="00151E96"/>
    <w:rsid w:val="00151F19"/>
    <w:rsid w:val="001523A7"/>
    <w:rsid w:val="00152DAB"/>
    <w:rsid w:val="0015354E"/>
    <w:rsid w:val="001542A9"/>
    <w:rsid w:val="0015449F"/>
    <w:rsid w:val="00154712"/>
    <w:rsid w:val="001547AC"/>
    <w:rsid w:val="00154E12"/>
    <w:rsid w:val="001550EB"/>
    <w:rsid w:val="001551F2"/>
    <w:rsid w:val="00155330"/>
    <w:rsid w:val="00155377"/>
    <w:rsid w:val="00155EAA"/>
    <w:rsid w:val="001563EF"/>
    <w:rsid w:val="00156927"/>
    <w:rsid w:val="001569C4"/>
    <w:rsid w:val="0015729A"/>
    <w:rsid w:val="00157419"/>
    <w:rsid w:val="00157966"/>
    <w:rsid w:val="00157C6A"/>
    <w:rsid w:val="001611A2"/>
    <w:rsid w:val="0016128F"/>
    <w:rsid w:val="001612D8"/>
    <w:rsid w:val="00161376"/>
    <w:rsid w:val="00161B2A"/>
    <w:rsid w:val="00162030"/>
    <w:rsid w:val="001620CA"/>
    <w:rsid w:val="00163109"/>
    <w:rsid w:val="0016329E"/>
    <w:rsid w:val="00163383"/>
    <w:rsid w:val="0016363B"/>
    <w:rsid w:val="00163677"/>
    <w:rsid w:val="001638FC"/>
    <w:rsid w:val="0016452D"/>
    <w:rsid w:val="00164DCA"/>
    <w:rsid w:val="0016517B"/>
    <w:rsid w:val="00165627"/>
    <w:rsid w:val="001660EA"/>
    <w:rsid w:val="001663ED"/>
    <w:rsid w:val="0016678A"/>
    <w:rsid w:val="001708A9"/>
    <w:rsid w:val="00171322"/>
    <w:rsid w:val="0017170D"/>
    <w:rsid w:val="00171EED"/>
    <w:rsid w:val="00172862"/>
    <w:rsid w:val="00172A27"/>
    <w:rsid w:val="00172EB6"/>
    <w:rsid w:val="00173901"/>
    <w:rsid w:val="00173996"/>
    <w:rsid w:val="0017450C"/>
    <w:rsid w:val="00175AB6"/>
    <w:rsid w:val="00176078"/>
    <w:rsid w:val="00176E9C"/>
    <w:rsid w:val="00177109"/>
    <w:rsid w:val="00177691"/>
    <w:rsid w:val="0017789B"/>
    <w:rsid w:val="00177AF3"/>
    <w:rsid w:val="00177B1E"/>
    <w:rsid w:val="00177E2C"/>
    <w:rsid w:val="0018001B"/>
    <w:rsid w:val="00180D10"/>
    <w:rsid w:val="00180F29"/>
    <w:rsid w:val="0018130A"/>
    <w:rsid w:val="00181401"/>
    <w:rsid w:val="00181405"/>
    <w:rsid w:val="0018161F"/>
    <w:rsid w:val="001818DC"/>
    <w:rsid w:val="00181A88"/>
    <w:rsid w:val="00181B4C"/>
    <w:rsid w:val="00182033"/>
    <w:rsid w:val="00182439"/>
    <w:rsid w:val="001825E2"/>
    <w:rsid w:val="00183263"/>
    <w:rsid w:val="00183A93"/>
    <w:rsid w:val="00183BBC"/>
    <w:rsid w:val="00184558"/>
    <w:rsid w:val="0018495D"/>
    <w:rsid w:val="001849D0"/>
    <w:rsid w:val="00184A0D"/>
    <w:rsid w:val="00185D16"/>
    <w:rsid w:val="00185F76"/>
    <w:rsid w:val="00186843"/>
    <w:rsid w:val="00186EB1"/>
    <w:rsid w:val="00187712"/>
    <w:rsid w:val="001878EC"/>
    <w:rsid w:val="00187E58"/>
    <w:rsid w:val="001901EE"/>
    <w:rsid w:val="0019053C"/>
    <w:rsid w:val="00190595"/>
    <w:rsid w:val="001906E8"/>
    <w:rsid w:val="00190EBA"/>
    <w:rsid w:val="00190FD4"/>
    <w:rsid w:val="00191599"/>
    <w:rsid w:val="001919E5"/>
    <w:rsid w:val="00191A8E"/>
    <w:rsid w:val="001929B5"/>
    <w:rsid w:val="00192C04"/>
    <w:rsid w:val="00193265"/>
    <w:rsid w:val="0019347C"/>
    <w:rsid w:val="00193B6F"/>
    <w:rsid w:val="001945F3"/>
    <w:rsid w:val="00194646"/>
    <w:rsid w:val="001948A7"/>
    <w:rsid w:val="0019525F"/>
    <w:rsid w:val="00195454"/>
    <w:rsid w:val="0019589C"/>
    <w:rsid w:val="001959BC"/>
    <w:rsid w:val="00195DB6"/>
    <w:rsid w:val="00196799"/>
    <w:rsid w:val="0019701B"/>
    <w:rsid w:val="0019720E"/>
    <w:rsid w:val="001973D9"/>
    <w:rsid w:val="0019750B"/>
    <w:rsid w:val="00197EAA"/>
    <w:rsid w:val="001A012E"/>
    <w:rsid w:val="001A01CC"/>
    <w:rsid w:val="001A040D"/>
    <w:rsid w:val="001A045F"/>
    <w:rsid w:val="001A06B5"/>
    <w:rsid w:val="001A0974"/>
    <w:rsid w:val="001A0B55"/>
    <w:rsid w:val="001A0BC4"/>
    <w:rsid w:val="001A1672"/>
    <w:rsid w:val="001A2136"/>
    <w:rsid w:val="001A217A"/>
    <w:rsid w:val="001A22EF"/>
    <w:rsid w:val="001A2703"/>
    <w:rsid w:val="001A2AA8"/>
    <w:rsid w:val="001A2EA6"/>
    <w:rsid w:val="001A33AE"/>
    <w:rsid w:val="001A3AB6"/>
    <w:rsid w:val="001A3DD0"/>
    <w:rsid w:val="001A458E"/>
    <w:rsid w:val="001A45CF"/>
    <w:rsid w:val="001A46D1"/>
    <w:rsid w:val="001A4D54"/>
    <w:rsid w:val="001A4E2D"/>
    <w:rsid w:val="001A53A9"/>
    <w:rsid w:val="001A547B"/>
    <w:rsid w:val="001A54A8"/>
    <w:rsid w:val="001A588F"/>
    <w:rsid w:val="001A5FBE"/>
    <w:rsid w:val="001A5FE3"/>
    <w:rsid w:val="001A63C1"/>
    <w:rsid w:val="001A6484"/>
    <w:rsid w:val="001A64C6"/>
    <w:rsid w:val="001A6CAE"/>
    <w:rsid w:val="001A74C8"/>
    <w:rsid w:val="001A7932"/>
    <w:rsid w:val="001A7AD8"/>
    <w:rsid w:val="001A7B58"/>
    <w:rsid w:val="001B0018"/>
    <w:rsid w:val="001B00EE"/>
    <w:rsid w:val="001B04EC"/>
    <w:rsid w:val="001B0F47"/>
    <w:rsid w:val="001B0F99"/>
    <w:rsid w:val="001B1858"/>
    <w:rsid w:val="001B18DC"/>
    <w:rsid w:val="001B1B1A"/>
    <w:rsid w:val="001B1B79"/>
    <w:rsid w:val="001B1DFE"/>
    <w:rsid w:val="001B20ED"/>
    <w:rsid w:val="001B2415"/>
    <w:rsid w:val="001B2874"/>
    <w:rsid w:val="001B29D8"/>
    <w:rsid w:val="001B30B7"/>
    <w:rsid w:val="001B34C1"/>
    <w:rsid w:val="001B34FD"/>
    <w:rsid w:val="001B4119"/>
    <w:rsid w:val="001B414E"/>
    <w:rsid w:val="001B4462"/>
    <w:rsid w:val="001B45E0"/>
    <w:rsid w:val="001B4C1B"/>
    <w:rsid w:val="001B5679"/>
    <w:rsid w:val="001B56C0"/>
    <w:rsid w:val="001B5BF5"/>
    <w:rsid w:val="001B621B"/>
    <w:rsid w:val="001B6407"/>
    <w:rsid w:val="001B660E"/>
    <w:rsid w:val="001B7815"/>
    <w:rsid w:val="001B7991"/>
    <w:rsid w:val="001B7F91"/>
    <w:rsid w:val="001C1048"/>
    <w:rsid w:val="001C1207"/>
    <w:rsid w:val="001C1A4A"/>
    <w:rsid w:val="001C1CC9"/>
    <w:rsid w:val="001C20DC"/>
    <w:rsid w:val="001C2249"/>
    <w:rsid w:val="001C2678"/>
    <w:rsid w:val="001C2E23"/>
    <w:rsid w:val="001C313F"/>
    <w:rsid w:val="001C336C"/>
    <w:rsid w:val="001C3BFD"/>
    <w:rsid w:val="001C4107"/>
    <w:rsid w:val="001C44B9"/>
    <w:rsid w:val="001C45F1"/>
    <w:rsid w:val="001C461C"/>
    <w:rsid w:val="001C4EB7"/>
    <w:rsid w:val="001C52D9"/>
    <w:rsid w:val="001C6121"/>
    <w:rsid w:val="001C6308"/>
    <w:rsid w:val="001C6487"/>
    <w:rsid w:val="001C64DB"/>
    <w:rsid w:val="001C6971"/>
    <w:rsid w:val="001C6CDB"/>
    <w:rsid w:val="001C74E4"/>
    <w:rsid w:val="001C7C45"/>
    <w:rsid w:val="001C7D07"/>
    <w:rsid w:val="001C7EA9"/>
    <w:rsid w:val="001D0077"/>
    <w:rsid w:val="001D03E4"/>
    <w:rsid w:val="001D0785"/>
    <w:rsid w:val="001D07BE"/>
    <w:rsid w:val="001D07FD"/>
    <w:rsid w:val="001D0DBF"/>
    <w:rsid w:val="001D0E69"/>
    <w:rsid w:val="001D1013"/>
    <w:rsid w:val="001D1024"/>
    <w:rsid w:val="001D10E6"/>
    <w:rsid w:val="001D1210"/>
    <w:rsid w:val="001D1741"/>
    <w:rsid w:val="001D268C"/>
    <w:rsid w:val="001D2C61"/>
    <w:rsid w:val="001D2DF9"/>
    <w:rsid w:val="001D3001"/>
    <w:rsid w:val="001D32D8"/>
    <w:rsid w:val="001D40A4"/>
    <w:rsid w:val="001D4505"/>
    <w:rsid w:val="001D47E2"/>
    <w:rsid w:val="001D503C"/>
    <w:rsid w:val="001D5162"/>
    <w:rsid w:val="001D51EB"/>
    <w:rsid w:val="001D552A"/>
    <w:rsid w:val="001D55AC"/>
    <w:rsid w:val="001D5FA0"/>
    <w:rsid w:val="001D5FA6"/>
    <w:rsid w:val="001D62C1"/>
    <w:rsid w:val="001D68E4"/>
    <w:rsid w:val="001D778D"/>
    <w:rsid w:val="001D7DBB"/>
    <w:rsid w:val="001D7E0B"/>
    <w:rsid w:val="001E07F4"/>
    <w:rsid w:val="001E08D2"/>
    <w:rsid w:val="001E0AEA"/>
    <w:rsid w:val="001E1153"/>
    <w:rsid w:val="001E21DF"/>
    <w:rsid w:val="001E2671"/>
    <w:rsid w:val="001E26AB"/>
    <w:rsid w:val="001E2CCB"/>
    <w:rsid w:val="001E32DD"/>
    <w:rsid w:val="001E3732"/>
    <w:rsid w:val="001E37FA"/>
    <w:rsid w:val="001E39D9"/>
    <w:rsid w:val="001E3D2D"/>
    <w:rsid w:val="001E3ED2"/>
    <w:rsid w:val="001E4C4D"/>
    <w:rsid w:val="001E5AD1"/>
    <w:rsid w:val="001E5DA9"/>
    <w:rsid w:val="001E5EB4"/>
    <w:rsid w:val="001E66A8"/>
    <w:rsid w:val="001E6C24"/>
    <w:rsid w:val="001E6D84"/>
    <w:rsid w:val="001F0551"/>
    <w:rsid w:val="001F0609"/>
    <w:rsid w:val="001F07C3"/>
    <w:rsid w:val="001F0B47"/>
    <w:rsid w:val="001F14FB"/>
    <w:rsid w:val="001F1AB7"/>
    <w:rsid w:val="001F1CD4"/>
    <w:rsid w:val="001F1FAB"/>
    <w:rsid w:val="001F2B2A"/>
    <w:rsid w:val="001F2C01"/>
    <w:rsid w:val="001F2F8E"/>
    <w:rsid w:val="001F30E5"/>
    <w:rsid w:val="001F3779"/>
    <w:rsid w:val="001F3F7C"/>
    <w:rsid w:val="001F3F99"/>
    <w:rsid w:val="001F41A0"/>
    <w:rsid w:val="001F4547"/>
    <w:rsid w:val="001F4B06"/>
    <w:rsid w:val="001F4E8E"/>
    <w:rsid w:val="001F4EEA"/>
    <w:rsid w:val="001F50A6"/>
    <w:rsid w:val="001F57EC"/>
    <w:rsid w:val="001F5BDA"/>
    <w:rsid w:val="001F62CE"/>
    <w:rsid w:val="001F6F62"/>
    <w:rsid w:val="001F71E9"/>
    <w:rsid w:val="001F72A0"/>
    <w:rsid w:val="001F73D4"/>
    <w:rsid w:val="001F757E"/>
    <w:rsid w:val="001F7879"/>
    <w:rsid w:val="00200325"/>
    <w:rsid w:val="00200382"/>
    <w:rsid w:val="002003BF"/>
    <w:rsid w:val="0020058D"/>
    <w:rsid w:val="002013CB"/>
    <w:rsid w:val="00201FBD"/>
    <w:rsid w:val="00202F4D"/>
    <w:rsid w:val="002030E8"/>
    <w:rsid w:val="00203ABD"/>
    <w:rsid w:val="00203B37"/>
    <w:rsid w:val="00204270"/>
    <w:rsid w:val="00204354"/>
    <w:rsid w:val="002046CD"/>
    <w:rsid w:val="0020470A"/>
    <w:rsid w:val="00204C7F"/>
    <w:rsid w:val="00205146"/>
    <w:rsid w:val="002052B5"/>
    <w:rsid w:val="0020549F"/>
    <w:rsid w:val="00205731"/>
    <w:rsid w:val="0020586E"/>
    <w:rsid w:val="00205D05"/>
    <w:rsid w:val="00205E56"/>
    <w:rsid w:val="00205FD4"/>
    <w:rsid w:val="002062C5"/>
    <w:rsid w:val="00206B0A"/>
    <w:rsid w:val="00206BF5"/>
    <w:rsid w:val="00206D94"/>
    <w:rsid w:val="00207009"/>
    <w:rsid w:val="002077C6"/>
    <w:rsid w:val="00207C4E"/>
    <w:rsid w:val="00207E60"/>
    <w:rsid w:val="002103C3"/>
    <w:rsid w:val="002109F0"/>
    <w:rsid w:val="00210F15"/>
    <w:rsid w:val="002110AD"/>
    <w:rsid w:val="002110C3"/>
    <w:rsid w:val="00211383"/>
    <w:rsid w:val="0021197D"/>
    <w:rsid w:val="00211C40"/>
    <w:rsid w:val="00211D93"/>
    <w:rsid w:val="00212095"/>
    <w:rsid w:val="00212181"/>
    <w:rsid w:val="002129DB"/>
    <w:rsid w:val="00212F79"/>
    <w:rsid w:val="00213953"/>
    <w:rsid w:val="00213B09"/>
    <w:rsid w:val="00213B7E"/>
    <w:rsid w:val="002141EF"/>
    <w:rsid w:val="0021475B"/>
    <w:rsid w:val="00214809"/>
    <w:rsid w:val="00214948"/>
    <w:rsid w:val="00215C08"/>
    <w:rsid w:val="00215EC7"/>
    <w:rsid w:val="00216D5C"/>
    <w:rsid w:val="0021718F"/>
    <w:rsid w:val="00217417"/>
    <w:rsid w:val="00217EAD"/>
    <w:rsid w:val="002204D1"/>
    <w:rsid w:val="00220A6B"/>
    <w:rsid w:val="00220D41"/>
    <w:rsid w:val="00220FCA"/>
    <w:rsid w:val="002214E1"/>
    <w:rsid w:val="00221788"/>
    <w:rsid w:val="00221945"/>
    <w:rsid w:val="0022235F"/>
    <w:rsid w:val="00222387"/>
    <w:rsid w:val="00222938"/>
    <w:rsid w:val="00222B2E"/>
    <w:rsid w:val="00222DAA"/>
    <w:rsid w:val="00223465"/>
    <w:rsid w:val="00223C15"/>
    <w:rsid w:val="00224256"/>
    <w:rsid w:val="00224AA9"/>
    <w:rsid w:val="00225342"/>
    <w:rsid w:val="00225546"/>
    <w:rsid w:val="002256EA"/>
    <w:rsid w:val="00225BC1"/>
    <w:rsid w:val="00225D4F"/>
    <w:rsid w:val="00225FE3"/>
    <w:rsid w:val="00226486"/>
    <w:rsid w:val="00226A91"/>
    <w:rsid w:val="00226C57"/>
    <w:rsid w:val="002277B9"/>
    <w:rsid w:val="00230072"/>
    <w:rsid w:val="0023032B"/>
    <w:rsid w:val="00230B71"/>
    <w:rsid w:val="00230E6A"/>
    <w:rsid w:val="00230F9B"/>
    <w:rsid w:val="0023147B"/>
    <w:rsid w:val="00231586"/>
    <w:rsid w:val="00231705"/>
    <w:rsid w:val="0023179C"/>
    <w:rsid w:val="002317C8"/>
    <w:rsid w:val="00231C33"/>
    <w:rsid w:val="00232251"/>
    <w:rsid w:val="00232B37"/>
    <w:rsid w:val="00233243"/>
    <w:rsid w:val="00233591"/>
    <w:rsid w:val="00233FD1"/>
    <w:rsid w:val="002341ED"/>
    <w:rsid w:val="0023438D"/>
    <w:rsid w:val="00234E09"/>
    <w:rsid w:val="002353FB"/>
    <w:rsid w:val="0023595E"/>
    <w:rsid w:val="00236394"/>
    <w:rsid w:val="00236435"/>
    <w:rsid w:val="00236A3D"/>
    <w:rsid w:val="00236E23"/>
    <w:rsid w:val="002370EB"/>
    <w:rsid w:val="00237500"/>
    <w:rsid w:val="00237910"/>
    <w:rsid w:val="00237BB0"/>
    <w:rsid w:val="00237E83"/>
    <w:rsid w:val="002403B2"/>
    <w:rsid w:val="002405CA"/>
    <w:rsid w:val="002405EF"/>
    <w:rsid w:val="0024079A"/>
    <w:rsid w:val="0024165C"/>
    <w:rsid w:val="00241981"/>
    <w:rsid w:val="00241AA7"/>
    <w:rsid w:val="00241E61"/>
    <w:rsid w:val="00241F8A"/>
    <w:rsid w:val="0024204A"/>
    <w:rsid w:val="00242215"/>
    <w:rsid w:val="002424A0"/>
    <w:rsid w:val="0024275C"/>
    <w:rsid w:val="00242E19"/>
    <w:rsid w:val="00243190"/>
    <w:rsid w:val="002432B3"/>
    <w:rsid w:val="002442B4"/>
    <w:rsid w:val="00245122"/>
    <w:rsid w:val="002451FF"/>
    <w:rsid w:val="00245561"/>
    <w:rsid w:val="00245BA8"/>
    <w:rsid w:val="002462B9"/>
    <w:rsid w:val="002462C5"/>
    <w:rsid w:val="0024713F"/>
    <w:rsid w:val="002478C1"/>
    <w:rsid w:val="00247A65"/>
    <w:rsid w:val="00247E74"/>
    <w:rsid w:val="00250220"/>
    <w:rsid w:val="00250634"/>
    <w:rsid w:val="002507FE"/>
    <w:rsid w:val="00252299"/>
    <w:rsid w:val="002526EB"/>
    <w:rsid w:val="002527DC"/>
    <w:rsid w:val="002535FA"/>
    <w:rsid w:val="00253686"/>
    <w:rsid w:val="00253BC9"/>
    <w:rsid w:val="00253D09"/>
    <w:rsid w:val="00254463"/>
    <w:rsid w:val="00254717"/>
    <w:rsid w:val="00254B58"/>
    <w:rsid w:val="00254D36"/>
    <w:rsid w:val="002552F5"/>
    <w:rsid w:val="00256045"/>
    <w:rsid w:val="00256900"/>
    <w:rsid w:val="00256E7F"/>
    <w:rsid w:val="002573D2"/>
    <w:rsid w:val="0026002E"/>
    <w:rsid w:val="002600D8"/>
    <w:rsid w:val="002603FB"/>
    <w:rsid w:val="002605C0"/>
    <w:rsid w:val="00260E41"/>
    <w:rsid w:val="00261717"/>
    <w:rsid w:val="00261818"/>
    <w:rsid w:val="00261837"/>
    <w:rsid w:val="002618FA"/>
    <w:rsid w:val="00261E0C"/>
    <w:rsid w:val="00262090"/>
    <w:rsid w:val="002625A7"/>
    <w:rsid w:val="00262BA3"/>
    <w:rsid w:val="00262BEB"/>
    <w:rsid w:val="00262C23"/>
    <w:rsid w:val="00263214"/>
    <w:rsid w:val="00263323"/>
    <w:rsid w:val="0026386B"/>
    <w:rsid w:val="00263CE6"/>
    <w:rsid w:val="00263E39"/>
    <w:rsid w:val="0026479F"/>
    <w:rsid w:val="0026497B"/>
    <w:rsid w:val="00264FEF"/>
    <w:rsid w:val="002668F2"/>
    <w:rsid w:val="00266EF9"/>
    <w:rsid w:val="0026714A"/>
    <w:rsid w:val="00267422"/>
    <w:rsid w:val="00267506"/>
    <w:rsid w:val="0026762C"/>
    <w:rsid w:val="0027088A"/>
    <w:rsid w:val="00271146"/>
    <w:rsid w:val="0027117F"/>
    <w:rsid w:val="00271532"/>
    <w:rsid w:val="002718C7"/>
    <w:rsid w:val="00271AEF"/>
    <w:rsid w:val="00272260"/>
    <w:rsid w:val="002722D0"/>
    <w:rsid w:val="00272878"/>
    <w:rsid w:val="00272C4C"/>
    <w:rsid w:val="00272DA7"/>
    <w:rsid w:val="00272DCC"/>
    <w:rsid w:val="00273617"/>
    <w:rsid w:val="00274371"/>
    <w:rsid w:val="00274447"/>
    <w:rsid w:val="00274A91"/>
    <w:rsid w:val="00274D5C"/>
    <w:rsid w:val="00274ED4"/>
    <w:rsid w:val="002751A4"/>
    <w:rsid w:val="00275AAA"/>
    <w:rsid w:val="0027631B"/>
    <w:rsid w:val="002805D8"/>
    <w:rsid w:val="00281312"/>
    <w:rsid w:val="002813FB"/>
    <w:rsid w:val="0028142E"/>
    <w:rsid w:val="002814B7"/>
    <w:rsid w:val="00281A67"/>
    <w:rsid w:val="00281BB1"/>
    <w:rsid w:val="00281F20"/>
    <w:rsid w:val="002822BE"/>
    <w:rsid w:val="00282883"/>
    <w:rsid w:val="00282905"/>
    <w:rsid w:val="00282E9D"/>
    <w:rsid w:val="002837E6"/>
    <w:rsid w:val="00283FCA"/>
    <w:rsid w:val="002852AE"/>
    <w:rsid w:val="002858A1"/>
    <w:rsid w:val="00285D8E"/>
    <w:rsid w:val="00285DD6"/>
    <w:rsid w:val="00285E3D"/>
    <w:rsid w:val="00285E6F"/>
    <w:rsid w:val="0028664C"/>
    <w:rsid w:val="0028681D"/>
    <w:rsid w:val="00287233"/>
    <w:rsid w:val="00287CC8"/>
    <w:rsid w:val="00287F5E"/>
    <w:rsid w:val="00290D59"/>
    <w:rsid w:val="00290FB7"/>
    <w:rsid w:val="00290FB8"/>
    <w:rsid w:val="00291514"/>
    <w:rsid w:val="00292384"/>
    <w:rsid w:val="002923EE"/>
    <w:rsid w:val="00292EC3"/>
    <w:rsid w:val="00293834"/>
    <w:rsid w:val="00293B39"/>
    <w:rsid w:val="00293BAE"/>
    <w:rsid w:val="00293EAE"/>
    <w:rsid w:val="00293EE4"/>
    <w:rsid w:val="00294069"/>
    <w:rsid w:val="002946E3"/>
    <w:rsid w:val="00294B14"/>
    <w:rsid w:val="00294C24"/>
    <w:rsid w:val="002955CF"/>
    <w:rsid w:val="002956DE"/>
    <w:rsid w:val="0029589C"/>
    <w:rsid w:val="002958CE"/>
    <w:rsid w:val="00295DF4"/>
    <w:rsid w:val="00296142"/>
    <w:rsid w:val="0029621A"/>
    <w:rsid w:val="0029739A"/>
    <w:rsid w:val="002977CD"/>
    <w:rsid w:val="002978C8"/>
    <w:rsid w:val="00297FA6"/>
    <w:rsid w:val="002A01CB"/>
    <w:rsid w:val="002A04DC"/>
    <w:rsid w:val="002A06D1"/>
    <w:rsid w:val="002A080B"/>
    <w:rsid w:val="002A0987"/>
    <w:rsid w:val="002A0C95"/>
    <w:rsid w:val="002A1A98"/>
    <w:rsid w:val="002A1B68"/>
    <w:rsid w:val="002A1C37"/>
    <w:rsid w:val="002A1C79"/>
    <w:rsid w:val="002A1DDE"/>
    <w:rsid w:val="002A1FD8"/>
    <w:rsid w:val="002A2025"/>
    <w:rsid w:val="002A233F"/>
    <w:rsid w:val="002A25AF"/>
    <w:rsid w:val="002A29BD"/>
    <w:rsid w:val="002A2BA4"/>
    <w:rsid w:val="002A2D76"/>
    <w:rsid w:val="002A324D"/>
    <w:rsid w:val="002A3A2B"/>
    <w:rsid w:val="002A3BC3"/>
    <w:rsid w:val="002A3E47"/>
    <w:rsid w:val="002A3F67"/>
    <w:rsid w:val="002A40BB"/>
    <w:rsid w:val="002A420B"/>
    <w:rsid w:val="002A46F0"/>
    <w:rsid w:val="002A4AB9"/>
    <w:rsid w:val="002A4CDE"/>
    <w:rsid w:val="002A4E59"/>
    <w:rsid w:val="002A5F57"/>
    <w:rsid w:val="002A5F98"/>
    <w:rsid w:val="002A6725"/>
    <w:rsid w:val="002A7280"/>
    <w:rsid w:val="002A7380"/>
    <w:rsid w:val="002A7D47"/>
    <w:rsid w:val="002B05B5"/>
    <w:rsid w:val="002B0811"/>
    <w:rsid w:val="002B0887"/>
    <w:rsid w:val="002B10DC"/>
    <w:rsid w:val="002B178A"/>
    <w:rsid w:val="002B19D2"/>
    <w:rsid w:val="002B1ABC"/>
    <w:rsid w:val="002B1ACC"/>
    <w:rsid w:val="002B2139"/>
    <w:rsid w:val="002B289F"/>
    <w:rsid w:val="002B2A5E"/>
    <w:rsid w:val="002B2ACC"/>
    <w:rsid w:val="002B2F1B"/>
    <w:rsid w:val="002B3320"/>
    <w:rsid w:val="002B49F5"/>
    <w:rsid w:val="002B4B9D"/>
    <w:rsid w:val="002B4CFD"/>
    <w:rsid w:val="002B5695"/>
    <w:rsid w:val="002B5A35"/>
    <w:rsid w:val="002B688C"/>
    <w:rsid w:val="002B6CC1"/>
    <w:rsid w:val="002B78F8"/>
    <w:rsid w:val="002B7EA9"/>
    <w:rsid w:val="002C02B5"/>
    <w:rsid w:val="002C15F5"/>
    <w:rsid w:val="002C1855"/>
    <w:rsid w:val="002C1C71"/>
    <w:rsid w:val="002C2AD0"/>
    <w:rsid w:val="002C3DE3"/>
    <w:rsid w:val="002C440E"/>
    <w:rsid w:val="002C44B0"/>
    <w:rsid w:val="002C4888"/>
    <w:rsid w:val="002C498B"/>
    <w:rsid w:val="002C4E7D"/>
    <w:rsid w:val="002C5C0E"/>
    <w:rsid w:val="002C61C4"/>
    <w:rsid w:val="002C6EFC"/>
    <w:rsid w:val="002C7745"/>
    <w:rsid w:val="002C7A06"/>
    <w:rsid w:val="002D01C7"/>
    <w:rsid w:val="002D08C0"/>
    <w:rsid w:val="002D0915"/>
    <w:rsid w:val="002D0B7B"/>
    <w:rsid w:val="002D0BDC"/>
    <w:rsid w:val="002D0D8B"/>
    <w:rsid w:val="002D0DB1"/>
    <w:rsid w:val="002D140D"/>
    <w:rsid w:val="002D150F"/>
    <w:rsid w:val="002D18B6"/>
    <w:rsid w:val="002D1AA9"/>
    <w:rsid w:val="002D1D0D"/>
    <w:rsid w:val="002D200F"/>
    <w:rsid w:val="002D2A87"/>
    <w:rsid w:val="002D2AA1"/>
    <w:rsid w:val="002D2E99"/>
    <w:rsid w:val="002D3117"/>
    <w:rsid w:val="002D3427"/>
    <w:rsid w:val="002D3702"/>
    <w:rsid w:val="002D39ED"/>
    <w:rsid w:val="002D3A70"/>
    <w:rsid w:val="002D3C1A"/>
    <w:rsid w:val="002D3EEA"/>
    <w:rsid w:val="002D441C"/>
    <w:rsid w:val="002D46A3"/>
    <w:rsid w:val="002D482C"/>
    <w:rsid w:val="002D495C"/>
    <w:rsid w:val="002D4D59"/>
    <w:rsid w:val="002D4D6D"/>
    <w:rsid w:val="002D4EB8"/>
    <w:rsid w:val="002D50F7"/>
    <w:rsid w:val="002D5198"/>
    <w:rsid w:val="002D5364"/>
    <w:rsid w:val="002D5982"/>
    <w:rsid w:val="002D5AB2"/>
    <w:rsid w:val="002D6256"/>
    <w:rsid w:val="002D66D0"/>
    <w:rsid w:val="002D6923"/>
    <w:rsid w:val="002D6C69"/>
    <w:rsid w:val="002D6CE6"/>
    <w:rsid w:val="002D6D9B"/>
    <w:rsid w:val="002D761C"/>
    <w:rsid w:val="002E0334"/>
    <w:rsid w:val="002E0386"/>
    <w:rsid w:val="002E0667"/>
    <w:rsid w:val="002E0B43"/>
    <w:rsid w:val="002E0C10"/>
    <w:rsid w:val="002E0FB2"/>
    <w:rsid w:val="002E1AD8"/>
    <w:rsid w:val="002E1B5C"/>
    <w:rsid w:val="002E1C51"/>
    <w:rsid w:val="002E1D2B"/>
    <w:rsid w:val="002E20F8"/>
    <w:rsid w:val="002E2719"/>
    <w:rsid w:val="002E2AF9"/>
    <w:rsid w:val="002E2CA4"/>
    <w:rsid w:val="002E2FCD"/>
    <w:rsid w:val="002E37CF"/>
    <w:rsid w:val="002E39D7"/>
    <w:rsid w:val="002E3F4C"/>
    <w:rsid w:val="002E4405"/>
    <w:rsid w:val="002E46E9"/>
    <w:rsid w:val="002E4C73"/>
    <w:rsid w:val="002E4CC1"/>
    <w:rsid w:val="002E4F4A"/>
    <w:rsid w:val="002E57CC"/>
    <w:rsid w:val="002E5B5E"/>
    <w:rsid w:val="002E5FCE"/>
    <w:rsid w:val="002E60E2"/>
    <w:rsid w:val="002E6C57"/>
    <w:rsid w:val="002E6EE0"/>
    <w:rsid w:val="002E74AE"/>
    <w:rsid w:val="002E775A"/>
    <w:rsid w:val="002E785E"/>
    <w:rsid w:val="002E7BBD"/>
    <w:rsid w:val="002E7C0E"/>
    <w:rsid w:val="002F01C4"/>
    <w:rsid w:val="002F064A"/>
    <w:rsid w:val="002F0E0B"/>
    <w:rsid w:val="002F10F0"/>
    <w:rsid w:val="002F1D55"/>
    <w:rsid w:val="002F2B06"/>
    <w:rsid w:val="002F2DBA"/>
    <w:rsid w:val="002F2F76"/>
    <w:rsid w:val="002F3180"/>
    <w:rsid w:val="002F323B"/>
    <w:rsid w:val="002F3A3A"/>
    <w:rsid w:val="002F4635"/>
    <w:rsid w:val="002F48AE"/>
    <w:rsid w:val="002F4A4C"/>
    <w:rsid w:val="002F4D73"/>
    <w:rsid w:val="002F4E23"/>
    <w:rsid w:val="002F501F"/>
    <w:rsid w:val="002F561E"/>
    <w:rsid w:val="002F588C"/>
    <w:rsid w:val="002F65B5"/>
    <w:rsid w:val="002F6D7F"/>
    <w:rsid w:val="002F7929"/>
    <w:rsid w:val="002F7B99"/>
    <w:rsid w:val="002F7FDD"/>
    <w:rsid w:val="0030000D"/>
    <w:rsid w:val="00300455"/>
    <w:rsid w:val="00300538"/>
    <w:rsid w:val="00300644"/>
    <w:rsid w:val="0030065D"/>
    <w:rsid w:val="003007C2"/>
    <w:rsid w:val="00300917"/>
    <w:rsid w:val="00301051"/>
    <w:rsid w:val="003015DE"/>
    <w:rsid w:val="00301EFE"/>
    <w:rsid w:val="00302258"/>
    <w:rsid w:val="0030259A"/>
    <w:rsid w:val="003025A0"/>
    <w:rsid w:val="00302A6E"/>
    <w:rsid w:val="00302B32"/>
    <w:rsid w:val="00302DE3"/>
    <w:rsid w:val="0030303A"/>
    <w:rsid w:val="00303234"/>
    <w:rsid w:val="00303423"/>
    <w:rsid w:val="00303934"/>
    <w:rsid w:val="0030445C"/>
    <w:rsid w:val="00304E80"/>
    <w:rsid w:val="00304F43"/>
    <w:rsid w:val="00305053"/>
    <w:rsid w:val="003059A3"/>
    <w:rsid w:val="00306163"/>
    <w:rsid w:val="00306250"/>
    <w:rsid w:val="0030688A"/>
    <w:rsid w:val="00306D3F"/>
    <w:rsid w:val="00307318"/>
    <w:rsid w:val="003074A1"/>
    <w:rsid w:val="00307643"/>
    <w:rsid w:val="00307689"/>
    <w:rsid w:val="003078E4"/>
    <w:rsid w:val="00307987"/>
    <w:rsid w:val="00307A3D"/>
    <w:rsid w:val="003103EF"/>
    <w:rsid w:val="003104AA"/>
    <w:rsid w:val="00310A71"/>
    <w:rsid w:val="00310D31"/>
    <w:rsid w:val="00311187"/>
    <w:rsid w:val="0031149D"/>
    <w:rsid w:val="00311A1F"/>
    <w:rsid w:val="00311B7E"/>
    <w:rsid w:val="00311D25"/>
    <w:rsid w:val="00311E04"/>
    <w:rsid w:val="00311FB0"/>
    <w:rsid w:val="0031241F"/>
    <w:rsid w:val="0031250E"/>
    <w:rsid w:val="003125A0"/>
    <w:rsid w:val="003127B9"/>
    <w:rsid w:val="003127E1"/>
    <w:rsid w:val="003127F5"/>
    <w:rsid w:val="00312976"/>
    <w:rsid w:val="00312AE0"/>
    <w:rsid w:val="00313B85"/>
    <w:rsid w:val="00314310"/>
    <w:rsid w:val="00314643"/>
    <w:rsid w:val="00315AF2"/>
    <w:rsid w:val="00315DD5"/>
    <w:rsid w:val="00315E64"/>
    <w:rsid w:val="00315F30"/>
    <w:rsid w:val="003160A6"/>
    <w:rsid w:val="0031649D"/>
    <w:rsid w:val="00316824"/>
    <w:rsid w:val="0031713D"/>
    <w:rsid w:val="003171C5"/>
    <w:rsid w:val="00317405"/>
    <w:rsid w:val="003207AC"/>
    <w:rsid w:val="00320FC8"/>
    <w:rsid w:val="00321579"/>
    <w:rsid w:val="00321A65"/>
    <w:rsid w:val="00321CD3"/>
    <w:rsid w:val="00321D95"/>
    <w:rsid w:val="00321F2D"/>
    <w:rsid w:val="00322581"/>
    <w:rsid w:val="003227DB"/>
    <w:rsid w:val="00322A36"/>
    <w:rsid w:val="003232FA"/>
    <w:rsid w:val="00323518"/>
    <w:rsid w:val="00323CCF"/>
    <w:rsid w:val="00323EB3"/>
    <w:rsid w:val="0032436A"/>
    <w:rsid w:val="00324A0D"/>
    <w:rsid w:val="00324BBF"/>
    <w:rsid w:val="00324DEF"/>
    <w:rsid w:val="00325295"/>
    <w:rsid w:val="0032557C"/>
    <w:rsid w:val="00325CDB"/>
    <w:rsid w:val="0032667A"/>
    <w:rsid w:val="003266EA"/>
    <w:rsid w:val="00326743"/>
    <w:rsid w:val="00326ED2"/>
    <w:rsid w:val="00326F00"/>
    <w:rsid w:val="0032740B"/>
    <w:rsid w:val="003275D6"/>
    <w:rsid w:val="003278D8"/>
    <w:rsid w:val="00327951"/>
    <w:rsid w:val="00327ED0"/>
    <w:rsid w:val="00330172"/>
    <w:rsid w:val="00330303"/>
    <w:rsid w:val="00330794"/>
    <w:rsid w:val="00330BD8"/>
    <w:rsid w:val="00331D12"/>
    <w:rsid w:val="003322D0"/>
    <w:rsid w:val="003324C7"/>
    <w:rsid w:val="0033315B"/>
    <w:rsid w:val="003337FF"/>
    <w:rsid w:val="00333A41"/>
    <w:rsid w:val="00333EA7"/>
    <w:rsid w:val="00334027"/>
    <w:rsid w:val="003342AD"/>
    <w:rsid w:val="0033442F"/>
    <w:rsid w:val="00334E51"/>
    <w:rsid w:val="00335144"/>
    <w:rsid w:val="00335550"/>
    <w:rsid w:val="003355BD"/>
    <w:rsid w:val="00335B36"/>
    <w:rsid w:val="003362B1"/>
    <w:rsid w:val="00336508"/>
    <w:rsid w:val="00336597"/>
    <w:rsid w:val="003369A9"/>
    <w:rsid w:val="00337076"/>
    <w:rsid w:val="00337237"/>
    <w:rsid w:val="0033779B"/>
    <w:rsid w:val="00337F9E"/>
    <w:rsid w:val="0034092F"/>
    <w:rsid w:val="003409A4"/>
    <w:rsid w:val="0034124A"/>
    <w:rsid w:val="003417F0"/>
    <w:rsid w:val="00341851"/>
    <w:rsid w:val="00341A72"/>
    <w:rsid w:val="00341B08"/>
    <w:rsid w:val="00341C29"/>
    <w:rsid w:val="00341F30"/>
    <w:rsid w:val="0034205E"/>
    <w:rsid w:val="0034206D"/>
    <w:rsid w:val="0034249A"/>
    <w:rsid w:val="0034253B"/>
    <w:rsid w:val="00342562"/>
    <w:rsid w:val="00342792"/>
    <w:rsid w:val="0034294B"/>
    <w:rsid w:val="003432B1"/>
    <w:rsid w:val="003436B5"/>
    <w:rsid w:val="00343D32"/>
    <w:rsid w:val="00344373"/>
    <w:rsid w:val="00345481"/>
    <w:rsid w:val="00345635"/>
    <w:rsid w:val="00345855"/>
    <w:rsid w:val="00345B0E"/>
    <w:rsid w:val="0034614C"/>
    <w:rsid w:val="003467DF"/>
    <w:rsid w:val="00346946"/>
    <w:rsid w:val="00346A73"/>
    <w:rsid w:val="00346C59"/>
    <w:rsid w:val="00346E04"/>
    <w:rsid w:val="0034785E"/>
    <w:rsid w:val="0035022C"/>
    <w:rsid w:val="00350B9D"/>
    <w:rsid w:val="00351021"/>
    <w:rsid w:val="00351341"/>
    <w:rsid w:val="0035179C"/>
    <w:rsid w:val="00351AD2"/>
    <w:rsid w:val="00351BAE"/>
    <w:rsid w:val="0035213A"/>
    <w:rsid w:val="00352384"/>
    <w:rsid w:val="0035270D"/>
    <w:rsid w:val="0035299B"/>
    <w:rsid w:val="003532DB"/>
    <w:rsid w:val="003538AE"/>
    <w:rsid w:val="00354340"/>
    <w:rsid w:val="00354547"/>
    <w:rsid w:val="00354698"/>
    <w:rsid w:val="003547DC"/>
    <w:rsid w:val="00354F64"/>
    <w:rsid w:val="003561D0"/>
    <w:rsid w:val="00356556"/>
    <w:rsid w:val="00356597"/>
    <w:rsid w:val="0035741B"/>
    <w:rsid w:val="003575D4"/>
    <w:rsid w:val="003575EA"/>
    <w:rsid w:val="0036040E"/>
    <w:rsid w:val="003605AD"/>
    <w:rsid w:val="00360759"/>
    <w:rsid w:val="003611BB"/>
    <w:rsid w:val="0036157C"/>
    <w:rsid w:val="00361AF3"/>
    <w:rsid w:val="003620D2"/>
    <w:rsid w:val="00362211"/>
    <w:rsid w:val="00362F16"/>
    <w:rsid w:val="00362F49"/>
    <w:rsid w:val="0036311F"/>
    <w:rsid w:val="003635D7"/>
    <w:rsid w:val="00364B56"/>
    <w:rsid w:val="00364E04"/>
    <w:rsid w:val="00365A1C"/>
    <w:rsid w:val="003661CA"/>
    <w:rsid w:val="00366251"/>
    <w:rsid w:val="00366556"/>
    <w:rsid w:val="0036680D"/>
    <w:rsid w:val="0036684D"/>
    <w:rsid w:val="003668C8"/>
    <w:rsid w:val="00366EE4"/>
    <w:rsid w:val="0036797F"/>
    <w:rsid w:val="00367ACD"/>
    <w:rsid w:val="00370147"/>
    <w:rsid w:val="00370198"/>
    <w:rsid w:val="00370392"/>
    <w:rsid w:val="003707E2"/>
    <w:rsid w:val="0037127D"/>
    <w:rsid w:val="00371712"/>
    <w:rsid w:val="00371DF5"/>
    <w:rsid w:val="00371EE8"/>
    <w:rsid w:val="00372031"/>
    <w:rsid w:val="003724EE"/>
    <w:rsid w:val="003728AE"/>
    <w:rsid w:val="00372FEE"/>
    <w:rsid w:val="003735CB"/>
    <w:rsid w:val="00373C59"/>
    <w:rsid w:val="003740F4"/>
    <w:rsid w:val="003746AB"/>
    <w:rsid w:val="0037493C"/>
    <w:rsid w:val="00374BE9"/>
    <w:rsid w:val="00375109"/>
    <w:rsid w:val="00375219"/>
    <w:rsid w:val="003753FC"/>
    <w:rsid w:val="00375EAF"/>
    <w:rsid w:val="0037621B"/>
    <w:rsid w:val="00376498"/>
    <w:rsid w:val="00376F6E"/>
    <w:rsid w:val="003772B5"/>
    <w:rsid w:val="00380364"/>
    <w:rsid w:val="0038043C"/>
    <w:rsid w:val="003806BE"/>
    <w:rsid w:val="003806DB"/>
    <w:rsid w:val="00380859"/>
    <w:rsid w:val="00380E8F"/>
    <w:rsid w:val="00380EED"/>
    <w:rsid w:val="0038141D"/>
    <w:rsid w:val="003817FF"/>
    <w:rsid w:val="00381B66"/>
    <w:rsid w:val="00381BCF"/>
    <w:rsid w:val="00381C68"/>
    <w:rsid w:val="00382038"/>
    <w:rsid w:val="00382143"/>
    <w:rsid w:val="00382A0E"/>
    <w:rsid w:val="00383A3F"/>
    <w:rsid w:val="00383CAA"/>
    <w:rsid w:val="00384156"/>
    <w:rsid w:val="003841FF"/>
    <w:rsid w:val="00384C91"/>
    <w:rsid w:val="003850A6"/>
    <w:rsid w:val="003850DB"/>
    <w:rsid w:val="003855DA"/>
    <w:rsid w:val="003859D0"/>
    <w:rsid w:val="00385CDF"/>
    <w:rsid w:val="003860D6"/>
    <w:rsid w:val="0038610D"/>
    <w:rsid w:val="003861F6"/>
    <w:rsid w:val="003862DC"/>
    <w:rsid w:val="003870E1"/>
    <w:rsid w:val="00387250"/>
    <w:rsid w:val="003879EE"/>
    <w:rsid w:val="00387C2E"/>
    <w:rsid w:val="003902B3"/>
    <w:rsid w:val="00390AF0"/>
    <w:rsid w:val="00390B1E"/>
    <w:rsid w:val="00391315"/>
    <w:rsid w:val="0039170B"/>
    <w:rsid w:val="00391718"/>
    <w:rsid w:val="00391905"/>
    <w:rsid w:val="003919E6"/>
    <w:rsid w:val="00391B79"/>
    <w:rsid w:val="00391E71"/>
    <w:rsid w:val="00391FD8"/>
    <w:rsid w:val="003921FA"/>
    <w:rsid w:val="00392387"/>
    <w:rsid w:val="003923FB"/>
    <w:rsid w:val="00392F05"/>
    <w:rsid w:val="0039319F"/>
    <w:rsid w:val="00393266"/>
    <w:rsid w:val="00393267"/>
    <w:rsid w:val="0039347E"/>
    <w:rsid w:val="003934DD"/>
    <w:rsid w:val="00393557"/>
    <w:rsid w:val="00393987"/>
    <w:rsid w:val="00394AA6"/>
    <w:rsid w:val="0039519D"/>
    <w:rsid w:val="00395738"/>
    <w:rsid w:val="00395844"/>
    <w:rsid w:val="00395A6D"/>
    <w:rsid w:val="00395C56"/>
    <w:rsid w:val="0039681A"/>
    <w:rsid w:val="00396D0C"/>
    <w:rsid w:val="00396D96"/>
    <w:rsid w:val="00396FF6"/>
    <w:rsid w:val="003979B1"/>
    <w:rsid w:val="003A0473"/>
    <w:rsid w:val="003A0536"/>
    <w:rsid w:val="003A09C6"/>
    <w:rsid w:val="003A0B70"/>
    <w:rsid w:val="003A0C32"/>
    <w:rsid w:val="003A11D0"/>
    <w:rsid w:val="003A1829"/>
    <w:rsid w:val="003A278D"/>
    <w:rsid w:val="003A2A82"/>
    <w:rsid w:val="003A2D03"/>
    <w:rsid w:val="003A31B9"/>
    <w:rsid w:val="003A3424"/>
    <w:rsid w:val="003A3665"/>
    <w:rsid w:val="003A3A35"/>
    <w:rsid w:val="003A4032"/>
    <w:rsid w:val="003A4097"/>
    <w:rsid w:val="003A40F8"/>
    <w:rsid w:val="003A495C"/>
    <w:rsid w:val="003A4A4D"/>
    <w:rsid w:val="003A4A88"/>
    <w:rsid w:val="003A50BA"/>
    <w:rsid w:val="003A5273"/>
    <w:rsid w:val="003A6289"/>
    <w:rsid w:val="003A6974"/>
    <w:rsid w:val="003A6983"/>
    <w:rsid w:val="003A7176"/>
    <w:rsid w:val="003A7504"/>
    <w:rsid w:val="003A7CE1"/>
    <w:rsid w:val="003B01D2"/>
    <w:rsid w:val="003B042B"/>
    <w:rsid w:val="003B0705"/>
    <w:rsid w:val="003B11B4"/>
    <w:rsid w:val="003B11F7"/>
    <w:rsid w:val="003B1C74"/>
    <w:rsid w:val="003B1FCA"/>
    <w:rsid w:val="003B2458"/>
    <w:rsid w:val="003B2E49"/>
    <w:rsid w:val="003B2E90"/>
    <w:rsid w:val="003B2EB0"/>
    <w:rsid w:val="003B339B"/>
    <w:rsid w:val="003B367B"/>
    <w:rsid w:val="003B37CD"/>
    <w:rsid w:val="003B3965"/>
    <w:rsid w:val="003B3AB0"/>
    <w:rsid w:val="003B40DD"/>
    <w:rsid w:val="003B47DB"/>
    <w:rsid w:val="003B4D21"/>
    <w:rsid w:val="003B4F47"/>
    <w:rsid w:val="003B5BF9"/>
    <w:rsid w:val="003B5F1F"/>
    <w:rsid w:val="003B63DD"/>
    <w:rsid w:val="003B7213"/>
    <w:rsid w:val="003B789A"/>
    <w:rsid w:val="003B7978"/>
    <w:rsid w:val="003B7AF2"/>
    <w:rsid w:val="003C0050"/>
    <w:rsid w:val="003C0687"/>
    <w:rsid w:val="003C0ED4"/>
    <w:rsid w:val="003C25BD"/>
    <w:rsid w:val="003C29A5"/>
    <w:rsid w:val="003C2C49"/>
    <w:rsid w:val="003C2E81"/>
    <w:rsid w:val="003C3D55"/>
    <w:rsid w:val="003C3DF2"/>
    <w:rsid w:val="003C4278"/>
    <w:rsid w:val="003C4810"/>
    <w:rsid w:val="003C4A97"/>
    <w:rsid w:val="003C4F2D"/>
    <w:rsid w:val="003C535B"/>
    <w:rsid w:val="003C586C"/>
    <w:rsid w:val="003C5A69"/>
    <w:rsid w:val="003C5DDC"/>
    <w:rsid w:val="003C60D4"/>
    <w:rsid w:val="003C6308"/>
    <w:rsid w:val="003C6445"/>
    <w:rsid w:val="003C64CB"/>
    <w:rsid w:val="003C6683"/>
    <w:rsid w:val="003C68DF"/>
    <w:rsid w:val="003C6E86"/>
    <w:rsid w:val="003C7439"/>
    <w:rsid w:val="003C75EE"/>
    <w:rsid w:val="003C79B0"/>
    <w:rsid w:val="003D1B0D"/>
    <w:rsid w:val="003D1CD8"/>
    <w:rsid w:val="003D1D22"/>
    <w:rsid w:val="003D26E8"/>
    <w:rsid w:val="003D2F74"/>
    <w:rsid w:val="003D3692"/>
    <w:rsid w:val="003D414C"/>
    <w:rsid w:val="003D45C0"/>
    <w:rsid w:val="003D4E4E"/>
    <w:rsid w:val="003D5AA7"/>
    <w:rsid w:val="003D5DA7"/>
    <w:rsid w:val="003D5EEA"/>
    <w:rsid w:val="003D5FB0"/>
    <w:rsid w:val="003D64CC"/>
    <w:rsid w:val="003D64EA"/>
    <w:rsid w:val="003D64EF"/>
    <w:rsid w:val="003D6887"/>
    <w:rsid w:val="003D6BD5"/>
    <w:rsid w:val="003D6D8D"/>
    <w:rsid w:val="003D725A"/>
    <w:rsid w:val="003E00CA"/>
    <w:rsid w:val="003E0422"/>
    <w:rsid w:val="003E100A"/>
    <w:rsid w:val="003E10DE"/>
    <w:rsid w:val="003E155D"/>
    <w:rsid w:val="003E171B"/>
    <w:rsid w:val="003E1722"/>
    <w:rsid w:val="003E2198"/>
    <w:rsid w:val="003E22F0"/>
    <w:rsid w:val="003E2C52"/>
    <w:rsid w:val="003E323D"/>
    <w:rsid w:val="003E3467"/>
    <w:rsid w:val="003E372B"/>
    <w:rsid w:val="003E3E1D"/>
    <w:rsid w:val="003E41B8"/>
    <w:rsid w:val="003E4EE4"/>
    <w:rsid w:val="003E51EE"/>
    <w:rsid w:val="003E52B5"/>
    <w:rsid w:val="003E5C9E"/>
    <w:rsid w:val="003E601D"/>
    <w:rsid w:val="003E6472"/>
    <w:rsid w:val="003E6535"/>
    <w:rsid w:val="003E6884"/>
    <w:rsid w:val="003E7423"/>
    <w:rsid w:val="003E742F"/>
    <w:rsid w:val="003E7777"/>
    <w:rsid w:val="003E7A1E"/>
    <w:rsid w:val="003E7F20"/>
    <w:rsid w:val="003F00FE"/>
    <w:rsid w:val="003F0406"/>
    <w:rsid w:val="003F0567"/>
    <w:rsid w:val="003F0568"/>
    <w:rsid w:val="003F0954"/>
    <w:rsid w:val="003F1195"/>
    <w:rsid w:val="003F1816"/>
    <w:rsid w:val="003F1E18"/>
    <w:rsid w:val="003F21EA"/>
    <w:rsid w:val="003F2225"/>
    <w:rsid w:val="003F2434"/>
    <w:rsid w:val="003F2448"/>
    <w:rsid w:val="003F2814"/>
    <w:rsid w:val="003F2AE8"/>
    <w:rsid w:val="003F329E"/>
    <w:rsid w:val="003F36B8"/>
    <w:rsid w:val="003F416E"/>
    <w:rsid w:val="003F42E6"/>
    <w:rsid w:val="003F45C2"/>
    <w:rsid w:val="003F4A9F"/>
    <w:rsid w:val="003F4B4A"/>
    <w:rsid w:val="003F4D0E"/>
    <w:rsid w:val="003F5D5D"/>
    <w:rsid w:val="003F631E"/>
    <w:rsid w:val="003F68D4"/>
    <w:rsid w:val="003F6E23"/>
    <w:rsid w:val="003F6F32"/>
    <w:rsid w:val="003F6F4E"/>
    <w:rsid w:val="003F7934"/>
    <w:rsid w:val="003F7EE8"/>
    <w:rsid w:val="003F7FCD"/>
    <w:rsid w:val="0040004D"/>
    <w:rsid w:val="00400095"/>
    <w:rsid w:val="00400290"/>
    <w:rsid w:val="00400418"/>
    <w:rsid w:val="00400B9D"/>
    <w:rsid w:val="004011BD"/>
    <w:rsid w:val="00402230"/>
    <w:rsid w:val="0040243A"/>
    <w:rsid w:val="004026B4"/>
    <w:rsid w:val="00402B65"/>
    <w:rsid w:val="00402BC8"/>
    <w:rsid w:val="004030B3"/>
    <w:rsid w:val="004044F7"/>
    <w:rsid w:val="00405C21"/>
    <w:rsid w:val="00405C55"/>
    <w:rsid w:val="0040629B"/>
    <w:rsid w:val="0040639E"/>
    <w:rsid w:val="00406ED1"/>
    <w:rsid w:val="0040711F"/>
    <w:rsid w:val="00407144"/>
    <w:rsid w:val="00407516"/>
    <w:rsid w:val="00407A4C"/>
    <w:rsid w:val="004100CC"/>
    <w:rsid w:val="00411264"/>
    <w:rsid w:val="00411714"/>
    <w:rsid w:val="00411DDF"/>
    <w:rsid w:val="004127CE"/>
    <w:rsid w:val="00412A16"/>
    <w:rsid w:val="00412AF7"/>
    <w:rsid w:val="00412C17"/>
    <w:rsid w:val="004132E4"/>
    <w:rsid w:val="0041334D"/>
    <w:rsid w:val="004133A8"/>
    <w:rsid w:val="004135DA"/>
    <w:rsid w:val="00413ABA"/>
    <w:rsid w:val="00413C17"/>
    <w:rsid w:val="004140C4"/>
    <w:rsid w:val="00414137"/>
    <w:rsid w:val="00414407"/>
    <w:rsid w:val="0041445C"/>
    <w:rsid w:val="004148F1"/>
    <w:rsid w:val="00414948"/>
    <w:rsid w:val="00415293"/>
    <w:rsid w:val="0041529C"/>
    <w:rsid w:val="00415324"/>
    <w:rsid w:val="004155FF"/>
    <w:rsid w:val="00415870"/>
    <w:rsid w:val="00415AAC"/>
    <w:rsid w:val="00415AEC"/>
    <w:rsid w:val="00415BBE"/>
    <w:rsid w:val="00416E8D"/>
    <w:rsid w:val="00417141"/>
    <w:rsid w:val="004172CD"/>
    <w:rsid w:val="0042005F"/>
    <w:rsid w:val="00420280"/>
    <w:rsid w:val="00420365"/>
    <w:rsid w:val="0042036C"/>
    <w:rsid w:val="0042046A"/>
    <w:rsid w:val="0042075F"/>
    <w:rsid w:val="00420C5E"/>
    <w:rsid w:val="004218AE"/>
    <w:rsid w:val="00421F29"/>
    <w:rsid w:val="0042285B"/>
    <w:rsid w:val="00422EEB"/>
    <w:rsid w:val="00423088"/>
    <w:rsid w:val="00423126"/>
    <w:rsid w:val="0042362F"/>
    <w:rsid w:val="0042378B"/>
    <w:rsid w:val="00423EB5"/>
    <w:rsid w:val="0042444C"/>
    <w:rsid w:val="00424AC1"/>
    <w:rsid w:val="00424B65"/>
    <w:rsid w:val="00425401"/>
    <w:rsid w:val="00425512"/>
    <w:rsid w:val="0042583A"/>
    <w:rsid w:val="004258BE"/>
    <w:rsid w:val="0042596A"/>
    <w:rsid w:val="00425BB5"/>
    <w:rsid w:val="00425CFC"/>
    <w:rsid w:val="004261E3"/>
    <w:rsid w:val="004262E7"/>
    <w:rsid w:val="004263EF"/>
    <w:rsid w:val="0042642B"/>
    <w:rsid w:val="00427271"/>
    <w:rsid w:val="00427681"/>
    <w:rsid w:val="0042779D"/>
    <w:rsid w:val="004277C4"/>
    <w:rsid w:val="00427935"/>
    <w:rsid w:val="00427CCE"/>
    <w:rsid w:val="00430504"/>
    <w:rsid w:val="0043053C"/>
    <w:rsid w:val="00431010"/>
    <w:rsid w:val="00431125"/>
    <w:rsid w:val="00431998"/>
    <w:rsid w:val="004319F4"/>
    <w:rsid w:val="00431ABB"/>
    <w:rsid w:val="00431C90"/>
    <w:rsid w:val="004321DD"/>
    <w:rsid w:val="004322AB"/>
    <w:rsid w:val="00432A20"/>
    <w:rsid w:val="00432C4A"/>
    <w:rsid w:val="00432F41"/>
    <w:rsid w:val="004331F4"/>
    <w:rsid w:val="004332A0"/>
    <w:rsid w:val="00433839"/>
    <w:rsid w:val="00433C32"/>
    <w:rsid w:val="00433ECA"/>
    <w:rsid w:val="00434385"/>
    <w:rsid w:val="00434672"/>
    <w:rsid w:val="004349E0"/>
    <w:rsid w:val="00434EDE"/>
    <w:rsid w:val="00435312"/>
    <w:rsid w:val="004353DE"/>
    <w:rsid w:val="004357E5"/>
    <w:rsid w:val="00435948"/>
    <w:rsid w:val="00435A06"/>
    <w:rsid w:val="00435E9C"/>
    <w:rsid w:val="00436146"/>
    <w:rsid w:val="00436187"/>
    <w:rsid w:val="00436CFD"/>
    <w:rsid w:val="00436F73"/>
    <w:rsid w:val="00437729"/>
    <w:rsid w:val="0043779B"/>
    <w:rsid w:val="004378F5"/>
    <w:rsid w:val="00437BEF"/>
    <w:rsid w:val="00440225"/>
    <w:rsid w:val="004402FF"/>
    <w:rsid w:val="004410D4"/>
    <w:rsid w:val="00441F1E"/>
    <w:rsid w:val="0044210B"/>
    <w:rsid w:val="004421A8"/>
    <w:rsid w:val="0044220E"/>
    <w:rsid w:val="0044289A"/>
    <w:rsid w:val="00442E76"/>
    <w:rsid w:val="00443233"/>
    <w:rsid w:val="004437AC"/>
    <w:rsid w:val="00443B72"/>
    <w:rsid w:val="004440E1"/>
    <w:rsid w:val="00444FC5"/>
    <w:rsid w:val="00445001"/>
    <w:rsid w:val="004450F6"/>
    <w:rsid w:val="004456FA"/>
    <w:rsid w:val="00445EC0"/>
    <w:rsid w:val="00446526"/>
    <w:rsid w:val="00446649"/>
    <w:rsid w:val="0044673B"/>
    <w:rsid w:val="00446DC0"/>
    <w:rsid w:val="00447999"/>
    <w:rsid w:val="00450419"/>
    <w:rsid w:val="0045062E"/>
    <w:rsid w:val="00450C0C"/>
    <w:rsid w:val="00450E30"/>
    <w:rsid w:val="00450EC1"/>
    <w:rsid w:val="004515C2"/>
    <w:rsid w:val="0045171D"/>
    <w:rsid w:val="004517B2"/>
    <w:rsid w:val="004517D6"/>
    <w:rsid w:val="00451AAF"/>
    <w:rsid w:val="004520D8"/>
    <w:rsid w:val="004525CC"/>
    <w:rsid w:val="004527C7"/>
    <w:rsid w:val="00454AA7"/>
    <w:rsid w:val="00454F5C"/>
    <w:rsid w:val="0045503D"/>
    <w:rsid w:val="00455404"/>
    <w:rsid w:val="004554F7"/>
    <w:rsid w:val="0045610F"/>
    <w:rsid w:val="0045681C"/>
    <w:rsid w:val="00456ADC"/>
    <w:rsid w:val="00456BAE"/>
    <w:rsid w:val="00457121"/>
    <w:rsid w:val="00457193"/>
    <w:rsid w:val="004572CC"/>
    <w:rsid w:val="0045750F"/>
    <w:rsid w:val="004576E1"/>
    <w:rsid w:val="004579C1"/>
    <w:rsid w:val="00457A22"/>
    <w:rsid w:val="00457BE3"/>
    <w:rsid w:val="00460538"/>
    <w:rsid w:val="004606D1"/>
    <w:rsid w:val="00461010"/>
    <w:rsid w:val="004611D6"/>
    <w:rsid w:val="004611DD"/>
    <w:rsid w:val="00461212"/>
    <w:rsid w:val="004615CF"/>
    <w:rsid w:val="0046185C"/>
    <w:rsid w:val="00462280"/>
    <w:rsid w:val="004626A1"/>
    <w:rsid w:val="00462862"/>
    <w:rsid w:val="00462F1A"/>
    <w:rsid w:val="00463974"/>
    <w:rsid w:val="00463BCC"/>
    <w:rsid w:val="0046413E"/>
    <w:rsid w:val="00464C39"/>
    <w:rsid w:val="00464E92"/>
    <w:rsid w:val="00464F36"/>
    <w:rsid w:val="0046589B"/>
    <w:rsid w:val="004664CF"/>
    <w:rsid w:val="00466828"/>
    <w:rsid w:val="00466931"/>
    <w:rsid w:val="00466EFE"/>
    <w:rsid w:val="00467271"/>
    <w:rsid w:val="00467D06"/>
    <w:rsid w:val="00467E35"/>
    <w:rsid w:val="0047010B"/>
    <w:rsid w:val="004702DA"/>
    <w:rsid w:val="00471172"/>
    <w:rsid w:val="004711E7"/>
    <w:rsid w:val="00471486"/>
    <w:rsid w:val="00471585"/>
    <w:rsid w:val="00471A11"/>
    <w:rsid w:val="00471FB4"/>
    <w:rsid w:val="00472297"/>
    <w:rsid w:val="0047275C"/>
    <w:rsid w:val="00472863"/>
    <w:rsid w:val="00472AE5"/>
    <w:rsid w:val="00472D32"/>
    <w:rsid w:val="00473128"/>
    <w:rsid w:val="00473540"/>
    <w:rsid w:val="00473A3E"/>
    <w:rsid w:val="00473CD4"/>
    <w:rsid w:val="00473E83"/>
    <w:rsid w:val="0047436E"/>
    <w:rsid w:val="0047479C"/>
    <w:rsid w:val="0047479E"/>
    <w:rsid w:val="00474DCD"/>
    <w:rsid w:val="004750BE"/>
    <w:rsid w:val="004753BD"/>
    <w:rsid w:val="004753EB"/>
    <w:rsid w:val="004754F6"/>
    <w:rsid w:val="004759B1"/>
    <w:rsid w:val="004759BF"/>
    <w:rsid w:val="00475BAE"/>
    <w:rsid w:val="00475C39"/>
    <w:rsid w:val="0047609A"/>
    <w:rsid w:val="004763D1"/>
    <w:rsid w:val="0047640B"/>
    <w:rsid w:val="004764A1"/>
    <w:rsid w:val="00476936"/>
    <w:rsid w:val="00476B7E"/>
    <w:rsid w:val="00476C2B"/>
    <w:rsid w:val="00477774"/>
    <w:rsid w:val="00477784"/>
    <w:rsid w:val="00477AAD"/>
    <w:rsid w:val="00477ADB"/>
    <w:rsid w:val="004807D5"/>
    <w:rsid w:val="00480B6A"/>
    <w:rsid w:val="00480C64"/>
    <w:rsid w:val="00480CC5"/>
    <w:rsid w:val="00480D8C"/>
    <w:rsid w:val="004813DA"/>
    <w:rsid w:val="00481865"/>
    <w:rsid w:val="00482114"/>
    <w:rsid w:val="004825CF"/>
    <w:rsid w:val="00483443"/>
    <w:rsid w:val="00484410"/>
    <w:rsid w:val="004847E4"/>
    <w:rsid w:val="00485108"/>
    <w:rsid w:val="004852ED"/>
    <w:rsid w:val="00487733"/>
    <w:rsid w:val="00487A1B"/>
    <w:rsid w:val="00487A7B"/>
    <w:rsid w:val="0049059F"/>
    <w:rsid w:val="00490B56"/>
    <w:rsid w:val="004921C4"/>
    <w:rsid w:val="00492C33"/>
    <w:rsid w:val="004936B2"/>
    <w:rsid w:val="00493798"/>
    <w:rsid w:val="004939CC"/>
    <w:rsid w:val="00493A00"/>
    <w:rsid w:val="00493B38"/>
    <w:rsid w:val="00493E49"/>
    <w:rsid w:val="0049413D"/>
    <w:rsid w:val="00494193"/>
    <w:rsid w:val="00494F03"/>
    <w:rsid w:val="0049548E"/>
    <w:rsid w:val="00495659"/>
    <w:rsid w:val="00495D1C"/>
    <w:rsid w:val="00496499"/>
    <w:rsid w:val="0049651A"/>
    <w:rsid w:val="00496D2A"/>
    <w:rsid w:val="00496F1D"/>
    <w:rsid w:val="00497036"/>
    <w:rsid w:val="00497AEC"/>
    <w:rsid w:val="00497DBB"/>
    <w:rsid w:val="004A00E3"/>
    <w:rsid w:val="004A124C"/>
    <w:rsid w:val="004A165F"/>
    <w:rsid w:val="004A255A"/>
    <w:rsid w:val="004A29C6"/>
    <w:rsid w:val="004A2E60"/>
    <w:rsid w:val="004A3888"/>
    <w:rsid w:val="004A589F"/>
    <w:rsid w:val="004A678E"/>
    <w:rsid w:val="004A7454"/>
    <w:rsid w:val="004A7C70"/>
    <w:rsid w:val="004A7C9F"/>
    <w:rsid w:val="004A7CF8"/>
    <w:rsid w:val="004B03D0"/>
    <w:rsid w:val="004B0479"/>
    <w:rsid w:val="004B04F9"/>
    <w:rsid w:val="004B051D"/>
    <w:rsid w:val="004B086A"/>
    <w:rsid w:val="004B10E5"/>
    <w:rsid w:val="004B1356"/>
    <w:rsid w:val="004B1A02"/>
    <w:rsid w:val="004B1C0D"/>
    <w:rsid w:val="004B1CEF"/>
    <w:rsid w:val="004B229F"/>
    <w:rsid w:val="004B268D"/>
    <w:rsid w:val="004B2B3A"/>
    <w:rsid w:val="004B2D96"/>
    <w:rsid w:val="004B31FE"/>
    <w:rsid w:val="004B3A44"/>
    <w:rsid w:val="004B4F49"/>
    <w:rsid w:val="004B4F6D"/>
    <w:rsid w:val="004B5182"/>
    <w:rsid w:val="004B57F3"/>
    <w:rsid w:val="004B69FA"/>
    <w:rsid w:val="004B6B83"/>
    <w:rsid w:val="004B6CF2"/>
    <w:rsid w:val="004B6F1D"/>
    <w:rsid w:val="004B6F68"/>
    <w:rsid w:val="004B704A"/>
    <w:rsid w:val="004B7545"/>
    <w:rsid w:val="004C0064"/>
    <w:rsid w:val="004C00D9"/>
    <w:rsid w:val="004C00ED"/>
    <w:rsid w:val="004C08CB"/>
    <w:rsid w:val="004C129D"/>
    <w:rsid w:val="004C12F3"/>
    <w:rsid w:val="004C282C"/>
    <w:rsid w:val="004C31E6"/>
    <w:rsid w:val="004C32C1"/>
    <w:rsid w:val="004C3309"/>
    <w:rsid w:val="004C3DF4"/>
    <w:rsid w:val="004C3F3C"/>
    <w:rsid w:val="004C41F2"/>
    <w:rsid w:val="004C44B0"/>
    <w:rsid w:val="004C4736"/>
    <w:rsid w:val="004C484B"/>
    <w:rsid w:val="004C4ADD"/>
    <w:rsid w:val="004C4B3D"/>
    <w:rsid w:val="004C539B"/>
    <w:rsid w:val="004C53EE"/>
    <w:rsid w:val="004C5842"/>
    <w:rsid w:val="004C5ACE"/>
    <w:rsid w:val="004C7537"/>
    <w:rsid w:val="004C7604"/>
    <w:rsid w:val="004C7F70"/>
    <w:rsid w:val="004D0904"/>
    <w:rsid w:val="004D0E3C"/>
    <w:rsid w:val="004D14F0"/>
    <w:rsid w:val="004D1734"/>
    <w:rsid w:val="004D1E62"/>
    <w:rsid w:val="004D2827"/>
    <w:rsid w:val="004D3028"/>
    <w:rsid w:val="004D3B97"/>
    <w:rsid w:val="004D3BAF"/>
    <w:rsid w:val="004D5856"/>
    <w:rsid w:val="004D5E5E"/>
    <w:rsid w:val="004D6308"/>
    <w:rsid w:val="004D6966"/>
    <w:rsid w:val="004D6ADA"/>
    <w:rsid w:val="004D725C"/>
    <w:rsid w:val="004D77F8"/>
    <w:rsid w:val="004D7FCB"/>
    <w:rsid w:val="004E038D"/>
    <w:rsid w:val="004E04FE"/>
    <w:rsid w:val="004E080A"/>
    <w:rsid w:val="004E081E"/>
    <w:rsid w:val="004E082E"/>
    <w:rsid w:val="004E0A66"/>
    <w:rsid w:val="004E1E55"/>
    <w:rsid w:val="004E20EE"/>
    <w:rsid w:val="004E2822"/>
    <w:rsid w:val="004E29C2"/>
    <w:rsid w:val="004E2A92"/>
    <w:rsid w:val="004E2C09"/>
    <w:rsid w:val="004E2E67"/>
    <w:rsid w:val="004E384E"/>
    <w:rsid w:val="004E421C"/>
    <w:rsid w:val="004E5342"/>
    <w:rsid w:val="004E5415"/>
    <w:rsid w:val="004E5BE0"/>
    <w:rsid w:val="004E5C09"/>
    <w:rsid w:val="004E63BB"/>
    <w:rsid w:val="004E662F"/>
    <w:rsid w:val="004E6DDD"/>
    <w:rsid w:val="004E6FAB"/>
    <w:rsid w:val="004F1525"/>
    <w:rsid w:val="004F15AD"/>
    <w:rsid w:val="004F162E"/>
    <w:rsid w:val="004F21A4"/>
    <w:rsid w:val="004F270C"/>
    <w:rsid w:val="004F2A27"/>
    <w:rsid w:val="004F3288"/>
    <w:rsid w:val="004F3A18"/>
    <w:rsid w:val="004F47E7"/>
    <w:rsid w:val="004F507D"/>
    <w:rsid w:val="004F516C"/>
    <w:rsid w:val="004F51FA"/>
    <w:rsid w:val="004F5B32"/>
    <w:rsid w:val="004F5DA0"/>
    <w:rsid w:val="004F61BB"/>
    <w:rsid w:val="004F689C"/>
    <w:rsid w:val="004F6AD6"/>
    <w:rsid w:val="004F6DC7"/>
    <w:rsid w:val="004F6FC5"/>
    <w:rsid w:val="004F7A18"/>
    <w:rsid w:val="00500008"/>
    <w:rsid w:val="00500020"/>
    <w:rsid w:val="0050050C"/>
    <w:rsid w:val="00500601"/>
    <w:rsid w:val="00500943"/>
    <w:rsid w:val="0050097D"/>
    <w:rsid w:val="00500F69"/>
    <w:rsid w:val="005015C8"/>
    <w:rsid w:val="00501D8D"/>
    <w:rsid w:val="0050235E"/>
    <w:rsid w:val="00502365"/>
    <w:rsid w:val="005023FF"/>
    <w:rsid w:val="005025B2"/>
    <w:rsid w:val="005026CD"/>
    <w:rsid w:val="00502BF2"/>
    <w:rsid w:val="00502CA0"/>
    <w:rsid w:val="00502F85"/>
    <w:rsid w:val="00503089"/>
    <w:rsid w:val="00503271"/>
    <w:rsid w:val="0050340F"/>
    <w:rsid w:val="0050429B"/>
    <w:rsid w:val="0050467F"/>
    <w:rsid w:val="00505FE2"/>
    <w:rsid w:val="00506555"/>
    <w:rsid w:val="00506E22"/>
    <w:rsid w:val="00506F6D"/>
    <w:rsid w:val="00507D7C"/>
    <w:rsid w:val="00510216"/>
    <w:rsid w:val="00510316"/>
    <w:rsid w:val="00510DC1"/>
    <w:rsid w:val="005113DA"/>
    <w:rsid w:val="005114D6"/>
    <w:rsid w:val="005117DE"/>
    <w:rsid w:val="00512634"/>
    <w:rsid w:val="005126D3"/>
    <w:rsid w:val="005129A6"/>
    <w:rsid w:val="005129ED"/>
    <w:rsid w:val="00512A60"/>
    <w:rsid w:val="0051346B"/>
    <w:rsid w:val="00513B3F"/>
    <w:rsid w:val="00513CAD"/>
    <w:rsid w:val="00514CB9"/>
    <w:rsid w:val="00514D28"/>
    <w:rsid w:val="005151D5"/>
    <w:rsid w:val="005153F3"/>
    <w:rsid w:val="00515478"/>
    <w:rsid w:val="0051582C"/>
    <w:rsid w:val="00516050"/>
    <w:rsid w:val="005160E5"/>
    <w:rsid w:val="00516463"/>
    <w:rsid w:val="005164FB"/>
    <w:rsid w:val="00516643"/>
    <w:rsid w:val="00516824"/>
    <w:rsid w:val="005178A3"/>
    <w:rsid w:val="005200DE"/>
    <w:rsid w:val="0052097F"/>
    <w:rsid w:val="00521A08"/>
    <w:rsid w:val="00522149"/>
    <w:rsid w:val="0052224D"/>
    <w:rsid w:val="005224BA"/>
    <w:rsid w:val="00522603"/>
    <w:rsid w:val="0052297D"/>
    <w:rsid w:val="00522A22"/>
    <w:rsid w:val="00522E13"/>
    <w:rsid w:val="00523294"/>
    <w:rsid w:val="00523511"/>
    <w:rsid w:val="005238E6"/>
    <w:rsid w:val="00525402"/>
    <w:rsid w:val="00525442"/>
    <w:rsid w:val="0052593E"/>
    <w:rsid w:val="00525EA9"/>
    <w:rsid w:val="00526012"/>
    <w:rsid w:val="0052671A"/>
    <w:rsid w:val="00526972"/>
    <w:rsid w:val="00526D83"/>
    <w:rsid w:val="005270F6"/>
    <w:rsid w:val="00527816"/>
    <w:rsid w:val="005304EB"/>
    <w:rsid w:val="0053133F"/>
    <w:rsid w:val="00531396"/>
    <w:rsid w:val="0053157C"/>
    <w:rsid w:val="005315D2"/>
    <w:rsid w:val="005316D0"/>
    <w:rsid w:val="00531742"/>
    <w:rsid w:val="00531BD6"/>
    <w:rsid w:val="00531BFC"/>
    <w:rsid w:val="00531FE1"/>
    <w:rsid w:val="00532012"/>
    <w:rsid w:val="00532279"/>
    <w:rsid w:val="00532452"/>
    <w:rsid w:val="005325C9"/>
    <w:rsid w:val="00532BF6"/>
    <w:rsid w:val="00533034"/>
    <w:rsid w:val="0053314C"/>
    <w:rsid w:val="00533181"/>
    <w:rsid w:val="005338F9"/>
    <w:rsid w:val="00533BEC"/>
    <w:rsid w:val="00533D62"/>
    <w:rsid w:val="00534F85"/>
    <w:rsid w:val="00535BFC"/>
    <w:rsid w:val="0053601E"/>
    <w:rsid w:val="005361D9"/>
    <w:rsid w:val="00536417"/>
    <w:rsid w:val="005364AA"/>
    <w:rsid w:val="00536BD5"/>
    <w:rsid w:val="005370EE"/>
    <w:rsid w:val="005373E2"/>
    <w:rsid w:val="00537B6D"/>
    <w:rsid w:val="00537C3F"/>
    <w:rsid w:val="00540389"/>
    <w:rsid w:val="00540474"/>
    <w:rsid w:val="005404E6"/>
    <w:rsid w:val="00540811"/>
    <w:rsid w:val="00541244"/>
    <w:rsid w:val="0054133A"/>
    <w:rsid w:val="00541407"/>
    <w:rsid w:val="005416FD"/>
    <w:rsid w:val="00541806"/>
    <w:rsid w:val="00541CCC"/>
    <w:rsid w:val="0054205D"/>
    <w:rsid w:val="0054265C"/>
    <w:rsid w:val="00542BE1"/>
    <w:rsid w:val="00542D23"/>
    <w:rsid w:val="00542EE6"/>
    <w:rsid w:val="005432B6"/>
    <w:rsid w:val="005446E3"/>
    <w:rsid w:val="00544B7D"/>
    <w:rsid w:val="00545362"/>
    <w:rsid w:val="00545378"/>
    <w:rsid w:val="005459E1"/>
    <w:rsid w:val="00545B00"/>
    <w:rsid w:val="00545EC5"/>
    <w:rsid w:val="00546181"/>
    <w:rsid w:val="005464FC"/>
    <w:rsid w:val="005469B0"/>
    <w:rsid w:val="005469B5"/>
    <w:rsid w:val="00546B43"/>
    <w:rsid w:val="00546B8F"/>
    <w:rsid w:val="0054704A"/>
    <w:rsid w:val="00547414"/>
    <w:rsid w:val="005474B2"/>
    <w:rsid w:val="005476B2"/>
    <w:rsid w:val="0054770A"/>
    <w:rsid w:val="0055008B"/>
    <w:rsid w:val="0055025C"/>
    <w:rsid w:val="005505A7"/>
    <w:rsid w:val="005507B0"/>
    <w:rsid w:val="00550CA6"/>
    <w:rsid w:val="00551107"/>
    <w:rsid w:val="005511EA"/>
    <w:rsid w:val="00551924"/>
    <w:rsid w:val="00551C7E"/>
    <w:rsid w:val="00551E5C"/>
    <w:rsid w:val="0055253C"/>
    <w:rsid w:val="00552EBD"/>
    <w:rsid w:val="0055356D"/>
    <w:rsid w:val="00553C53"/>
    <w:rsid w:val="00553CC1"/>
    <w:rsid w:val="00554239"/>
    <w:rsid w:val="00554421"/>
    <w:rsid w:val="00554615"/>
    <w:rsid w:val="005547EC"/>
    <w:rsid w:val="005549F6"/>
    <w:rsid w:val="00554D82"/>
    <w:rsid w:val="005555EC"/>
    <w:rsid w:val="005557E3"/>
    <w:rsid w:val="00555C17"/>
    <w:rsid w:val="00555DE8"/>
    <w:rsid w:val="00555E47"/>
    <w:rsid w:val="00555FA4"/>
    <w:rsid w:val="005561D4"/>
    <w:rsid w:val="00556368"/>
    <w:rsid w:val="0055688A"/>
    <w:rsid w:val="00556E69"/>
    <w:rsid w:val="00557601"/>
    <w:rsid w:val="005606BE"/>
    <w:rsid w:val="0056089F"/>
    <w:rsid w:val="00561D56"/>
    <w:rsid w:val="005628CC"/>
    <w:rsid w:val="00562BEC"/>
    <w:rsid w:val="00562E39"/>
    <w:rsid w:val="00563428"/>
    <w:rsid w:val="00563509"/>
    <w:rsid w:val="00563A0E"/>
    <w:rsid w:val="00563D34"/>
    <w:rsid w:val="00563E70"/>
    <w:rsid w:val="00564081"/>
    <w:rsid w:val="005647B0"/>
    <w:rsid w:val="00564DFF"/>
    <w:rsid w:val="00565392"/>
    <w:rsid w:val="005654A1"/>
    <w:rsid w:val="00565EDC"/>
    <w:rsid w:val="00565F37"/>
    <w:rsid w:val="0056636D"/>
    <w:rsid w:val="0056643B"/>
    <w:rsid w:val="0056675A"/>
    <w:rsid w:val="00566CD1"/>
    <w:rsid w:val="00566F1A"/>
    <w:rsid w:val="0056726E"/>
    <w:rsid w:val="005672E9"/>
    <w:rsid w:val="00567455"/>
    <w:rsid w:val="00567937"/>
    <w:rsid w:val="00567942"/>
    <w:rsid w:val="00567ACD"/>
    <w:rsid w:val="00570971"/>
    <w:rsid w:val="00570AA2"/>
    <w:rsid w:val="00570B45"/>
    <w:rsid w:val="00570BC9"/>
    <w:rsid w:val="00570BE3"/>
    <w:rsid w:val="00570C32"/>
    <w:rsid w:val="0057118F"/>
    <w:rsid w:val="00571197"/>
    <w:rsid w:val="0057125B"/>
    <w:rsid w:val="005718E5"/>
    <w:rsid w:val="00571954"/>
    <w:rsid w:val="00571F86"/>
    <w:rsid w:val="005721A2"/>
    <w:rsid w:val="00572C8E"/>
    <w:rsid w:val="00572FCA"/>
    <w:rsid w:val="0057310B"/>
    <w:rsid w:val="005732A6"/>
    <w:rsid w:val="005738DB"/>
    <w:rsid w:val="00574B36"/>
    <w:rsid w:val="00574CE3"/>
    <w:rsid w:val="0057501A"/>
    <w:rsid w:val="0057506D"/>
    <w:rsid w:val="0057549B"/>
    <w:rsid w:val="005755C4"/>
    <w:rsid w:val="0057591C"/>
    <w:rsid w:val="00576185"/>
    <w:rsid w:val="005766A7"/>
    <w:rsid w:val="00576A0E"/>
    <w:rsid w:val="00576DC1"/>
    <w:rsid w:val="00576FC2"/>
    <w:rsid w:val="0057717B"/>
    <w:rsid w:val="005772BF"/>
    <w:rsid w:val="0058012E"/>
    <w:rsid w:val="00580237"/>
    <w:rsid w:val="00580670"/>
    <w:rsid w:val="00580A0B"/>
    <w:rsid w:val="0058198D"/>
    <w:rsid w:val="00581A8B"/>
    <w:rsid w:val="00581ECB"/>
    <w:rsid w:val="00582456"/>
    <w:rsid w:val="0058296D"/>
    <w:rsid w:val="00582B29"/>
    <w:rsid w:val="00582F4B"/>
    <w:rsid w:val="005836A2"/>
    <w:rsid w:val="00583835"/>
    <w:rsid w:val="00583A92"/>
    <w:rsid w:val="00583C74"/>
    <w:rsid w:val="00583C97"/>
    <w:rsid w:val="0058426D"/>
    <w:rsid w:val="005842A1"/>
    <w:rsid w:val="00584638"/>
    <w:rsid w:val="00585274"/>
    <w:rsid w:val="0058550F"/>
    <w:rsid w:val="00585C88"/>
    <w:rsid w:val="00585EEE"/>
    <w:rsid w:val="005864C0"/>
    <w:rsid w:val="00586D72"/>
    <w:rsid w:val="00586E9B"/>
    <w:rsid w:val="00586EA4"/>
    <w:rsid w:val="00587055"/>
    <w:rsid w:val="005870F5"/>
    <w:rsid w:val="005871A7"/>
    <w:rsid w:val="0058792E"/>
    <w:rsid w:val="00587B58"/>
    <w:rsid w:val="00587C7D"/>
    <w:rsid w:val="00590632"/>
    <w:rsid w:val="005906BD"/>
    <w:rsid w:val="00590723"/>
    <w:rsid w:val="00590742"/>
    <w:rsid w:val="00590A9B"/>
    <w:rsid w:val="00590F76"/>
    <w:rsid w:val="00591303"/>
    <w:rsid w:val="005913BA"/>
    <w:rsid w:val="005918CA"/>
    <w:rsid w:val="00591952"/>
    <w:rsid w:val="00592005"/>
    <w:rsid w:val="00592311"/>
    <w:rsid w:val="005928FE"/>
    <w:rsid w:val="005931EE"/>
    <w:rsid w:val="0059338F"/>
    <w:rsid w:val="0059372E"/>
    <w:rsid w:val="005942FE"/>
    <w:rsid w:val="00594B2B"/>
    <w:rsid w:val="005958AA"/>
    <w:rsid w:val="00595959"/>
    <w:rsid w:val="00595F25"/>
    <w:rsid w:val="0059613A"/>
    <w:rsid w:val="00596905"/>
    <w:rsid w:val="00596A24"/>
    <w:rsid w:val="00596C3B"/>
    <w:rsid w:val="005974D7"/>
    <w:rsid w:val="005978B1"/>
    <w:rsid w:val="005A00DB"/>
    <w:rsid w:val="005A0590"/>
    <w:rsid w:val="005A06B1"/>
    <w:rsid w:val="005A099C"/>
    <w:rsid w:val="005A0ABF"/>
    <w:rsid w:val="005A13C3"/>
    <w:rsid w:val="005A17A4"/>
    <w:rsid w:val="005A1B04"/>
    <w:rsid w:val="005A219C"/>
    <w:rsid w:val="005A2A05"/>
    <w:rsid w:val="005A2C34"/>
    <w:rsid w:val="005A2FA0"/>
    <w:rsid w:val="005A39A7"/>
    <w:rsid w:val="005A4039"/>
    <w:rsid w:val="005A42E3"/>
    <w:rsid w:val="005A4CD4"/>
    <w:rsid w:val="005A58E7"/>
    <w:rsid w:val="005A6F6A"/>
    <w:rsid w:val="005A7352"/>
    <w:rsid w:val="005A7575"/>
    <w:rsid w:val="005B0026"/>
    <w:rsid w:val="005B01AA"/>
    <w:rsid w:val="005B01F0"/>
    <w:rsid w:val="005B09B7"/>
    <w:rsid w:val="005B0B2A"/>
    <w:rsid w:val="005B0C7F"/>
    <w:rsid w:val="005B1068"/>
    <w:rsid w:val="005B1EB8"/>
    <w:rsid w:val="005B231E"/>
    <w:rsid w:val="005B25B0"/>
    <w:rsid w:val="005B2929"/>
    <w:rsid w:val="005B2A00"/>
    <w:rsid w:val="005B2E89"/>
    <w:rsid w:val="005B3F0E"/>
    <w:rsid w:val="005B4C45"/>
    <w:rsid w:val="005B4EA2"/>
    <w:rsid w:val="005B4EC4"/>
    <w:rsid w:val="005B4F69"/>
    <w:rsid w:val="005B4F73"/>
    <w:rsid w:val="005B580F"/>
    <w:rsid w:val="005B58E1"/>
    <w:rsid w:val="005B629B"/>
    <w:rsid w:val="005B62AD"/>
    <w:rsid w:val="005B65CD"/>
    <w:rsid w:val="005B6C0C"/>
    <w:rsid w:val="005B713B"/>
    <w:rsid w:val="005B76E7"/>
    <w:rsid w:val="005B78EC"/>
    <w:rsid w:val="005B7C7C"/>
    <w:rsid w:val="005B7EC7"/>
    <w:rsid w:val="005C0012"/>
    <w:rsid w:val="005C0308"/>
    <w:rsid w:val="005C03AA"/>
    <w:rsid w:val="005C068E"/>
    <w:rsid w:val="005C0976"/>
    <w:rsid w:val="005C0B30"/>
    <w:rsid w:val="005C0E93"/>
    <w:rsid w:val="005C1D95"/>
    <w:rsid w:val="005C1F1F"/>
    <w:rsid w:val="005C2AC4"/>
    <w:rsid w:val="005C2DD9"/>
    <w:rsid w:val="005C2FEE"/>
    <w:rsid w:val="005C2FFD"/>
    <w:rsid w:val="005C315B"/>
    <w:rsid w:val="005C3472"/>
    <w:rsid w:val="005C35B7"/>
    <w:rsid w:val="005C361B"/>
    <w:rsid w:val="005C3703"/>
    <w:rsid w:val="005C3C9F"/>
    <w:rsid w:val="005C3FE8"/>
    <w:rsid w:val="005C481A"/>
    <w:rsid w:val="005C56D5"/>
    <w:rsid w:val="005C5BF7"/>
    <w:rsid w:val="005C6BC7"/>
    <w:rsid w:val="005C779C"/>
    <w:rsid w:val="005C7BB4"/>
    <w:rsid w:val="005C7C98"/>
    <w:rsid w:val="005D01FB"/>
    <w:rsid w:val="005D030E"/>
    <w:rsid w:val="005D0BCB"/>
    <w:rsid w:val="005D0E58"/>
    <w:rsid w:val="005D1255"/>
    <w:rsid w:val="005D178D"/>
    <w:rsid w:val="005D1F1B"/>
    <w:rsid w:val="005D216F"/>
    <w:rsid w:val="005D22E0"/>
    <w:rsid w:val="005D284A"/>
    <w:rsid w:val="005D29EF"/>
    <w:rsid w:val="005D2A96"/>
    <w:rsid w:val="005D2B6A"/>
    <w:rsid w:val="005D2D0C"/>
    <w:rsid w:val="005D2D4B"/>
    <w:rsid w:val="005D3639"/>
    <w:rsid w:val="005D3670"/>
    <w:rsid w:val="005D39A7"/>
    <w:rsid w:val="005D3F16"/>
    <w:rsid w:val="005D3F47"/>
    <w:rsid w:val="005D42C5"/>
    <w:rsid w:val="005D47D4"/>
    <w:rsid w:val="005D571C"/>
    <w:rsid w:val="005D59D9"/>
    <w:rsid w:val="005D6CBA"/>
    <w:rsid w:val="005D7231"/>
    <w:rsid w:val="005D72E2"/>
    <w:rsid w:val="005D7316"/>
    <w:rsid w:val="005E072D"/>
    <w:rsid w:val="005E0B2A"/>
    <w:rsid w:val="005E0B59"/>
    <w:rsid w:val="005E1093"/>
    <w:rsid w:val="005E153D"/>
    <w:rsid w:val="005E1D9C"/>
    <w:rsid w:val="005E3040"/>
    <w:rsid w:val="005E3105"/>
    <w:rsid w:val="005E3498"/>
    <w:rsid w:val="005E3586"/>
    <w:rsid w:val="005E3806"/>
    <w:rsid w:val="005E40A3"/>
    <w:rsid w:val="005E4372"/>
    <w:rsid w:val="005E442F"/>
    <w:rsid w:val="005E46E5"/>
    <w:rsid w:val="005E4814"/>
    <w:rsid w:val="005E4A6D"/>
    <w:rsid w:val="005E4B36"/>
    <w:rsid w:val="005E4B66"/>
    <w:rsid w:val="005E5C7B"/>
    <w:rsid w:val="005E5F00"/>
    <w:rsid w:val="005E7155"/>
    <w:rsid w:val="005E7806"/>
    <w:rsid w:val="005E7B5E"/>
    <w:rsid w:val="005E7E75"/>
    <w:rsid w:val="005E7FD1"/>
    <w:rsid w:val="005F028C"/>
    <w:rsid w:val="005F02C9"/>
    <w:rsid w:val="005F071B"/>
    <w:rsid w:val="005F0799"/>
    <w:rsid w:val="005F16A5"/>
    <w:rsid w:val="005F198E"/>
    <w:rsid w:val="005F1B2A"/>
    <w:rsid w:val="005F1BF8"/>
    <w:rsid w:val="005F20DC"/>
    <w:rsid w:val="005F2766"/>
    <w:rsid w:val="005F2773"/>
    <w:rsid w:val="005F285C"/>
    <w:rsid w:val="005F2D70"/>
    <w:rsid w:val="005F2EB9"/>
    <w:rsid w:val="005F364B"/>
    <w:rsid w:val="005F3697"/>
    <w:rsid w:val="005F3A7E"/>
    <w:rsid w:val="005F3E4A"/>
    <w:rsid w:val="005F3E4E"/>
    <w:rsid w:val="005F4B10"/>
    <w:rsid w:val="005F52CA"/>
    <w:rsid w:val="005F52DA"/>
    <w:rsid w:val="005F56E0"/>
    <w:rsid w:val="005F56F9"/>
    <w:rsid w:val="005F5CA9"/>
    <w:rsid w:val="005F6068"/>
    <w:rsid w:val="005F615D"/>
    <w:rsid w:val="005F649E"/>
    <w:rsid w:val="005F65DC"/>
    <w:rsid w:val="005F6D7F"/>
    <w:rsid w:val="005F6FF7"/>
    <w:rsid w:val="005F7132"/>
    <w:rsid w:val="005F7394"/>
    <w:rsid w:val="005F7425"/>
    <w:rsid w:val="005F7909"/>
    <w:rsid w:val="005F79C9"/>
    <w:rsid w:val="00600592"/>
    <w:rsid w:val="006010F4"/>
    <w:rsid w:val="00601993"/>
    <w:rsid w:val="00601B1B"/>
    <w:rsid w:val="00601BAF"/>
    <w:rsid w:val="00601BFC"/>
    <w:rsid w:val="006024DD"/>
    <w:rsid w:val="0060253E"/>
    <w:rsid w:val="00603134"/>
    <w:rsid w:val="0060385C"/>
    <w:rsid w:val="00603BCC"/>
    <w:rsid w:val="00603E04"/>
    <w:rsid w:val="00604ED2"/>
    <w:rsid w:val="006053D9"/>
    <w:rsid w:val="006054B6"/>
    <w:rsid w:val="0060592A"/>
    <w:rsid w:val="00605AAE"/>
    <w:rsid w:val="00605AC4"/>
    <w:rsid w:val="00606455"/>
    <w:rsid w:val="006064C1"/>
    <w:rsid w:val="0060675C"/>
    <w:rsid w:val="006068D2"/>
    <w:rsid w:val="00606E01"/>
    <w:rsid w:val="0060739F"/>
    <w:rsid w:val="006075D6"/>
    <w:rsid w:val="006078DE"/>
    <w:rsid w:val="006078F5"/>
    <w:rsid w:val="00607C90"/>
    <w:rsid w:val="00607F19"/>
    <w:rsid w:val="00607FB6"/>
    <w:rsid w:val="00610162"/>
    <w:rsid w:val="00610785"/>
    <w:rsid w:val="006111C3"/>
    <w:rsid w:val="0061144D"/>
    <w:rsid w:val="00611B52"/>
    <w:rsid w:val="0061242F"/>
    <w:rsid w:val="00613549"/>
    <w:rsid w:val="0061378E"/>
    <w:rsid w:val="006139B1"/>
    <w:rsid w:val="00613C97"/>
    <w:rsid w:val="00613D05"/>
    <w:rsid w:val="00613E3C"/>
    <w:rsid w:val="00614604"/>
    <w:rsid w:val="00614CA3"/>
    <w:rsid w:val="006150D5"/>
    <w:rsid w:val="006154A9"/>
    <w:rsid w:val="006155BF"/>
    <w:rsid w:val="006156AA"/>
    <w:rsid w:val="0061625F"/>
    <w:rsid w:val="006163C3"/>
    <w:rsid w:val="0061687C"/>
    <w:rsid w:val="00616BA4"/>
    <w:rsid w:val="00616DD3"/>
    <w:rsid w:val="00617290"/>
    <w:rsid w:val="006173F6"/>
    <w:rsid w:val="00617971"/>
    <w:rsid w:val="00617A86"/>
    <w:rsid w:val="00617C11"/>
    <w:rsid w:val="00617C80"/>
    <w:rsid w:val="00617DD2"/>
    <w:rsid w:val="006202AE"/>
    <w:rsid w:val="00620604"/>
    <w:rsid w:val="00620F8F"/>
    <w:rsid w:val="00621158"/>
    <w:rsid w:val="0062129B"/>
    <w:rsid w:val="00622066"/>
    <w:rsid w:val="00622151"/>
    <w:rsid w:val="006221F8"/>
    <w:rsid w:val="006224CA"/>
    <w:rsid w:val="00622862"/>
    <w:rsid w:val="00622C1B"/>
    <w:rsid w:val="00622C32"/>
    <w:rsid w:val="00622D90"/>
    <w:rsid w:val="00622E38"/>
    <w:rsid w:val="006231DC"/>
    <w:rsid w:val="00623594"/>
    <w:rsid w:val="00623760"/>
    <w:rsid w:val="00623790"/>
    <w:rsid w:val="00623C29"/>
    <w:rsid w:val="00623C84"/>
    <w:rsid w:val="00623F2E"/>
    <w:rsid w:val="00624143"/>
    <w:rsid w:val="00624353"/>
    <w:rsid w:val="00624D84"/>
    <w:rsid w:val="006251F4"/>
    <w:rsid w:val="00625207"/>
    <w:rsid w:val="006252C0"/>
    <w:rsid w:val="006253A3"/>
    <w:rsid w:val="006253F8"/>
    <w:rsid w:val="006257F7"/>
    <w:rsid w:val="00625886"/>
    <w:rsid w:val="00626E61"/>
    <w:rsid w:val="0062710E"/>
    <w:rsid w:val="0062748D"/>
    <w:rsid w:val="00627AD3"/>
    <w:rsid w:val="00627DCF"/>
    <w:rsid w:val="00627F7E"/>
    <w:rsid w:val="006301EC"/>
    <w:rsid w:val="006302F5"/>
    <w:rsid w:val="00630BD5"/>
    <w:rsid w:val="00631323"/>
    <w:rsid w:val="0063195F"/>
    <w:rsid w:val="00631E08"/>
    <w:rsid w:val="00632148"/>
    <w:rsid w:val="006324EF"/>
    <w:rsid w:val="006328F7"/>
    <w:rsid w:val="00632BB0"/>
    <w:rsid w:val="006330FC"/>
    <w:rsid w:val="00633A91"/>
    <w:rsid w:val="00633C38"/>
    <w:rsid w:val="0063414B"/>
    <w:rsid w:val="006342EF"/>
    <w:rsid w:val="00634C8D"/>
    <w:rsid w:val="00635393"/>
    <w:rsid w:val="00635A8C"/>
    <w:rsid w:val="00635AAA"/>
    <w:rsid w:val="00635FAD"/>
    <w:rsid w:val="006361D5"/>
    <w:rsid w:val="00636956"/>
    <w:rsid w:val="006372B1"/>
    <w:rsid w:val="00637BD7"/>
    <w:rsid w:val="00637E57"/>
    <w:rsid w:val="00637E66"/>
    <w:rsid w:val="0064058A"/>
    <w:rsid w:val="00640EC5"/>
    <w:rsid w:val="00641066"/>
    <w:rsid w:val="006414F5"/>
    <w:rsid w:val="006417FB"/>
    <w:rsid w:val="00641994"/>
    <w:rsid w:val="00641B1A"/>
    <w:rsid w:val="00641D02"/>
    <w:rsid w:val="00642774"/>
    <w:rsid w:val="00642DCA"/>
    <w:rsid w:val="00643168"/>
    <w:rsid w:val="006433AC"/>
    <w:rsid w:val="00643901"/>
    <w:rsid w:val="00643BE9"/>
    <w:rsid w:val="00643D25"/>
    <w:rsid w:val="00643DA0"/>
    <w:rsid w:val="00644141"/>
    <w:rsid w:val="006441FB"/>
    <w:rsid w:val="0064485B"/>
    <w:rsid w:val="00644AEA"/>
    <w:rsid w:val="00644DD8"/>
    <w:rsid w:val="00645314"/>
    <w:rsid w:val="006456E4"/>
    <w:rsid w:val="00645830"/>
    <w:rsid w:val="00645C9E"/>
    <w:rsid w:val="00645EA8"/>
    <w:rsid w:val="006460CF"/>
    <w:rsid w:val="0064613E"/>
    <w:rsid w:val="00646456"/>
    <w:rsid w:val="006467E8"/>
    <w:rsid w:val="00646C90"/>
    <w:rsid w:val="00646F1F"/>
    <w:rsid w:val="00647FE8"/>
    <w:rsid w:val="006500BC"/>
    <w:rsid w:val="00650C20"/>
    <w:rsid w:val="00650D51"/>
    <w:rsid w:val="00650EBF"/>
    <w:rsid w:val="0065123A"/>
    <w:rsid w:val="00651250"/>
    <w:rsid w:val="006517FF"/>
    <w:rsid w:val="006521C6"/>
    <w:rsid w:val="006525C4"/>
    <w:rsid w:val="00652A11"/>
    <w:rsid w:val="00652C84"/>
    <w:rsid w:val="00652D88"/>
    <w:rsid w:val="00652F4A"/>
    <w:rsid w:val="00653605"/>
    <w:rsid w:val="00653653"/>
    <w:rsid w:val="00653A88"/>
    <w:rsid w:val="00653B3B"/>
    <w:rsid w:val="00653BB9"/>
    <w:rsid w:val="00654007"/>
    <w:rsid w:val="00654B6C"/>
    <w:rsid w:val="00654E85"/>
    <w:rsid w:val="00654E9F"/>
    <w:rsid w:val="00655431"/>
    <w:rsid w:val="006555E1"/>
    <w:rsid w:val="00655B65"/>
    <w:rsid w:val="0065610D"/>
    <w:rsid w:val="00656801"/>
    <w:rsid w:val="00656CEF"/>
    <w:rsid w:val="00657494"/>
    <w:rsid w:val="0065751B"/>
    <w:rsid w:val="0065775F"/>
    <w:rsid w:val="00660A70"/>
    <w:rsid w:val="00660B97"/>
    <w:rsid w:val="00660F3F"/>
    <w:rsid w:val="00661291"/>
    <w:rsid w:val="00661698"/>
    <w:rsid w:val="00661A79"/>
    <w:rsid w:val="00661AD5"/>
    <w:rsid w:val="0066391B"/>
    <w:rsid w:val="00664011"/>
    <w:rsid w:val="0066417A"/>
    <w:rsid w:val="00664546"/>
    <w:rsid w:val="006646DF"/>
    <w:rsid w:val="00664A5E"/>
    <w:rsid w:val="00664D28"/>
    <w:rsid w:val="00664FD8"/>
    <w:rsid w:val="00665CC1"/>
    <w:rsid w:val="00665EDA"/>
    <w:rsid w:val="00666E4F"/>
    <w:rsid w:val="006673BA"/>
    <w:rsid w:val="006674E8"/>
    <w:rsid w:val="0066796B"/>
    <w:rsid w:val="006679A6"/>
    <w:rsid w:val="00670115"/>
    <w:rsid w:val="00670148"/>
    <w:rsid w:val="00670229"/>
    <w:rsid w:val="006704E9"/>
    <w:rsid w:val="006708C7"/>
    <w:rsid w:val="00670C54"/>
    <w:rsid w:val="00671362"/>
    <w:rsid w:val="006716CD"/>
    <w:rsid w:val="00671998"/>
    <w:rsid w:val="00671D02"/>
    <w:rsid w:val="00672022"/>
    <w:rsid w:val="006720CA"/>
    <w:rsid w:val="006728FD"/>
    <w:rsid w:val="00673582"/>
    <w:rsid w:val="006736E6"/>
    <w:rsid w:val="00673C09"/>
    <w:rsid w:val="006745B6"/>
    <w:rsid w:val="00675379"/>
    <w:rsid w:val="00675AB7"/>
    <w:rsid w:val="00675AFA"/>
    <w:rsid w:val="00675D5D"/>
    <w:rsid w:val="00675FF0"/>
    <w:rsid w:val="006761BE"/>
    <w:rsid w:val="006763B4"/>
    <w:rsid w:val="0067667D"/>
    <w:rsid w:val="00676793"/>
    <w:rsid w:val="006767A8"/>
    <w:rsid w:val="00676933"/>
    <w:rsid w:val="00676D0B"/>
    <w:rsid w:val="006774A0"/>
    <w:rsid w:val="00677AA2"/>
    <w:rsid w:val="0068039A"/>
    <w:rsid w:val="0068043C"/>
    <w:rsid w:val="006806D1"/>
    <w:rsid w:val="00680729"/>
    <w:rsid w:val="00680E1D"/>
    <w:rsid w:val="006810C8"/>
    <w:rsid w:val="00681674"/>
    <w:rsid w:val="006818EF"/>
    <w:rsid w:val="00681BB5"/>
    <w:rsid w:val="00682790"/>
    <w:rsid w:val="00683500"/>
    <w:rsid w:val="00683589"/>
    <w:rsid w:val="00683690"/>
    <w:rsid w:val="00683BC1"/>
    <w:rsid w:val="00684254"/>
    <w:rsid w:val="006849A4"/>
    <w:rsid w:val="00684A16"/>
    <w:rsid w:val="00684B09"/>
    <w:rsid w:val="0068541B"/>
    <w:rsid w:val="00685D5A"/>
    <w:rsid w:val="00686570"/>
    <w:rsid w:val="006872C6"/>
    <w:rsid w:val="006905DC"/>
    <w:rsid w:val="00690D27"/>
    <w:rsid w:val="00691079"/>
    <w:rsid w:val="0069146D"/>
    <w:rsid w:val="00691902"/>
    <w:rsid w:val="00691C17"/>
    <w:rsid w:val="00691F15"/>
    <w:rsid w:val="00691FBA"/>
    <w:rsid w:val="00692013"/>
    <w:rsid w:val="0069219B"/>
    <w:rsid w:val="006923C4"/>
    <w:rsid w:val="00692418"/>
    <w:rsid w:val="00692BB6"/>
    <w:rsid w:val="00692C16"/>
    <w:rsid w:val="00692FB5"/>
    <w:rsid w:val="0069316B"/>
    <w:rsid w:val="00693838"/>
    <w:rsid w:val="0069406B"/>
    <w:rsid w:val="0069482F"/>
    <w:rsid w:val="00694BF3"/>
    <w:rsid w:val="00694CB9"/>
    <w:rsid w:val="00694DE4"/>
    <w:rsid w:val="006952B9"/>
    <w:rsid w:val="00695627"/>
    <w:rsid w:val="00695E40"/>
    <w:rsid w:val="0069659E"/>
    <w:rsid w:val="006969BD"/>
    <w:rsid w:val="00697229"/>
    <w:rsid w:val="00697532"/>
    <w:rsid w:val="00697AEC"/>
    <w:rsid w:val="006A03A1"/>
    <w:rsid w:val="006A04F5"/>
    <w:rsid w:val="006A0638"/>
    <w:rsid w:val="006A088B"/>
    <w:rsid w:val="006A0948"/>
    <w:rsid w:val="006A0E8A"/>
    <w:rsid w:val="006A123E"/>
    <w:rsid w:val="006A18B6"/>
    <w:rsid w:val="006A1919"/>
    <w:rsid w:val="006A1D72"/>
    <w:rsid w:val="006A292B"/>
    <w:rsid w:val="006A29F8"/>
    <w:rsid w:val="006A3B60"/>
    <w:rsid w:val="006A4DB5"/>
    <w:rsid w:val="006A5651"/>
    <w:rsid w:val="006A6273"/>
    <w:rsid w:val="006A633F"/>
    <w:rsid w:val="006A6344"/>
    <w:rsid w:val="006A647E"/>
    <w:rsid w:val="006A6B3F"/>
    <w:rsid w:val="006A6D2E"/>
    <w:rsid w:val="006A6F3F"/>
    <w:rsid w:val="006A7B9F"/>
    <w:rsid w:val="006A7BF1"/>
    <w:rsid w:val="006B0186"/>
    <w:rsid w:val="006B04AB"/>
    <w:rsid w:val="006B055D"/>
    <w:rsid w:val="006B14C0"/>
    <w:rsid w:val="006B199C"/>
    <w:rsid w:val="006B1C33"/>
    <w:rsid w:val="006B211B"/>
    <w:rsid w:val="006B2597"/>
    <w:rsid w:val="006B264C"/>
    <w:rsid w:val="006B29F6"/>
    <w:rsid w:val="006B2B4C"/>
    <w:rsid w:val="006B2BE4"/>
    <w:rsid w:val="006B2C77"/>
    <w:rsid w:val="006B2C8B"/>
    <w:rsid w:val="006B2EC1"/>
    <w:rsid w:val="006B36CC"/>
    <w:rsid w:val="006B3707"/>
    <w:rsid w:val="006B39FB"/>
    <w:rsid w:val="006B3D80"/>
    <w:rsid w:val="006B4156"/>
    <w:rsid w:val="006B46F7"/>
    <w:rsid w:val="006B4F68"/>
    <w:rsid w:val="006B5708"/>
    <w:rsid w:val="006B626B"/>
    <w:rsid w:val="006B63B3"/>
    <w:rsid w:val="006B65EC"/>
    <w:rsid w:val="006B663E"/>
    <w:rsid w:val="006B6914"/>
    <w:rsid w:val="006B6A7B"/>
    <w:rsid w:val="006C02EC"/>
    <w:rsid w:val="006C05A7"/>
    <w:rsid w:val="006C05DE"/>
    <w:rsid w:val="006C0FCD"/>
    <w:rsid w:val="006C1192"/>
    <w:rsid w:val="006C174A"/>
    <w:rsid w:val="006C1ECF"/>
    <w:rsid w:val="006C2B82"/>
    <w:rsid w:val="006C2B83"/>
    <w:rsid w:val="006C2BE2"/>
    <w:rsid w:val="006C34FB"/>
    <w:rsid w:val="006C3F91"/>
    <w:rsid w:val="006C4C3E"/>
    <w:rsid w:val="006C51D2"/>
    <w:rsid w:val="006C542C"/>
    <w:rsid w:val="006C5EC5"/>
    <w:rsid w:val="006C5F79"/>
    <w:rsid w:val="006C625C"/>
    <w:rsid w:val="006C6441"/>
    <w:rsid w:val="006C6D1F"/>
    <w:rsid w:val="006C7890"/>
    <w:rsid w:val="006D079A"/>
    <w:rsid w:val="006D0D36"/>
    <w:rsid w:val="006D0FC6"/>
    <w:rsid w:val="006D0FEE"/>
    <w:rsid w:val="006D17CE"/>
    <w:rsid w:val="006D2297"/>
    <w:rsid w:val="006D2C4C"/>
    <w:rsid w:val="006D38B6"/>
    <w:rsid w:val="006D3C53"/>
    <w:rsid w:val="006D3C67"/>
    <w:rsid w:val="006D4559"/>
    <w:rsid w:val="006D45C5"/>
    <w:rsid w:val="006D4851"/>
    <w:rsid w:val="006D49B4"/>
    <w:rsid w:val="006D4B61"/>
    <w:rsid w:val="006D4FDF"/>
    <w:rsid w:val="006D50D8"/>
    <w:rsid w:val="006D5B3D"/>
    <w:rsid w:val="006D67C0"/>
    <w:rsid w:val="006D75B9"/>
    <w:rsid w:val="006D7DB5"/>
    <w:rsid w:val="006D7DDA"/>
    <w:rsid w:val="006E0170"/>
    <w:rsid w:val="006E044A"/>
    <w:rsid w:val="006E080F"/>
    <w:rsid w:val="006E093A"/>
    <w:rsid w:val="006E0BF4"/>
    <w:rsid w:val="006E14AB"/>
    <w:rsid w:val="006E1975"/>
    <w:rsid w:val="006E2196"/>
    <w:rsid w:val="006E2735"/>
    <w:rsid w:val="006E2DBC"/>
    <w:rsid w:val="006E3398"/>
    <w:rsid w:val="006E375E"/>
    <w:rsid w:val="006E40AE"/>
    <w:rsid w:val="006E4346"/>
    <w:rsid w:val="006E461E"/>
    <w:rsid w:val="006E479C"/>
    <w:rsid w:val="006E4D51"/>
    <w:rsid w:val="006E60A1"/>
    <w:rsid w:val="006E615F"/>
    <w:rsid w:val="006E62BC"/>
    <w:rsid w:val="006E6542"/>
    <w:rsid w:val="006E6CD5"/>
    <w:rsid w:val="006E6D29"/>
    <w:rsid w:val="006E7ADC"/>
    <w:rsid w:val="006E7CAA"/>
    <w:rsid w:val="006F012D"/>
    <w:rsid w:val="006F0280"/>
    <w:rsid w:val="006F0B78"/>
    <w:rsid w:val="006F0C26"/>
    <w:rsid w:val="006F11EC"/>
    <w:rsid w:val="006F16E3"/>
    <w:rsid w:val="006F19C5"/>
    <w:rsid w:val="006F1C10"/>
    <w:rsid w:val="006F1CD5"/>
    <w:rsid w:val="006F23B7"/>
    <w:rsid w:val="006F275F"/>
    <w:rsid w:val="006F2C27"/>
    <w:rsid w:val="006F3E97"/>
    <w:rsid w:val="006F3EB6"/>
    <w:rsid w:val="006F4186"/>
    <w:rsid w:val="006F4232"/>
    <w:rsid w:val="006F4FE4"/>
    <w:rsid w:val="006F594D"/>
    <w:rsid w:val="006F5B1D"/>
    <w:rsid w:val="006F5CCE"/>
    <w:rsid w:val="006F694E"/>
    <w:rsid w:val="006F6976"/>
    <w:rsid w:val="006F6B50"/>
    <w:rsid w:val="006F6B84"/>
    <w:rsid w:val="006F6C20"/>
    <w:rsid w:val="006F6CD2"/>
    <w:rsid w:val="006F6E93"/>
    <w:rsid w:val="006F7D48"/>
    <w:rsid w:val="006F7DF8"/>
    <w:rsid w:val="00700924"/>
    <w:rsid w:val="00700EA3"/>
    <w:rsid w:val="00700EB6"/>
    <w:rsid w:val="00701543"/>
    <w:rsid w:val="007018B5"/>
    <w:rsid w:val="00702F91"/>
    <w:rsid w:val="0070348D"/>
    <w:rsid w:val="00703675"/>
    <w:rsid w:val="007037D1"/>
    <w:rsid w:val="00703880"/>
    <w:rsid w:val="00703B2E"/>
    <w:rsid w:val="00703BB6"/>
    <w:rsid w:val="00703CAC"/>
    <w:rsid w:val="00704154"/>
    <w:rsid w:val="007041C4"/>
    <w:rsid w:val="007042A5"/>
    <w:rsid w:val="00704417"/>
    <w:rsid w:val="0070441E"/>
    <w:rsid w:val="00704C2B"/>
    <w:rsid w:val="007053F8"/>
    <w:rsid w:val="00705447"/>
    <w:rsid w:val="00705591"/>
    <w:rsid w:val="00705CF0"/>
    <w:rsid w:val="007062A4"/>
    <w:rsid w:val="007069E5"/>
    <w:rsid w:val="007073E2"/>
    <w:rsid w:val="00707B3C"/>
    <w:rsid w:val="00710A2B"/>
    <w:rsid w:val="00710EB7"/>
    <w:rsid w:val="00711046"/>
    <w:rsid w:val="00711215"/>
    <w:rsid w:val="00711783"/>
    <w:rsid w:val="007117B9"/>
    <w:rsid w:val="00711CDE"/>
    <w:rsid w:val="00711ED1"/>
    <w:rsid w:val="0071203F"/>
    <w:rsid w:val="00712491"/>
    <w:rsid w:val="007129B6"/>
    <w:rsid w:val="00712F45"/>
    <w:rsid w:val="0071363C"/>
    <w:rsid w:val="007142CB"/>
    <w:rsid w:val="00714C7E"/>
    <w:rsid w:val="007151A2"/>
    <w:rsid w:val="007152EC"/>
    <w:rsid w:val="00715C0E"/>
    <w:rsid w:val="00715F22"/>
    <w:rsid w:val="00715F8F"/>
    <w:rsid w:val="007169E4"/>
    <w:rsid w:val="00716BC4"/>
    <w:rsid w:val="00716D2F"/>
    <w:rsid w:val="00716DE2"/>
    <w:rsid w:val="007170CC"/>
    <w:rsid w:val="00717250"/>
    <w:rsid w:val="00717686"/>
    <w:rsid w:val="00717C36"/>
    <w:rsid w:val="00717F84"/>
    <w:rsid w:val="007208C2"/>
    <w:rsid w:val="00720E1D"/>
    <w:rsid w:val="00721183"/>
    <w:rsid w:val="007211AE"/>
    <w:rsid w:val="00721264"/>
    <w:rsid w:val="0072131A"/>
    <w:rsid w:val="0072156A"/>
    <w:rsid w:val="007215CE"/>
    <w:rsid w:val="0072180E"/>
    <w:rsid w:val="0072230B"/>
    <w:rsid w:val="0072286B"/>
    <w:rsid w:val="00722EBE"/>
    <w:rsid w:val="00723296"/>
    <w:rsid w:val="00724CFD"/>
    <w:rsid w:val="00724EB4"/>
    <w:rsid w:val="00724FC9"/>
    <w:rsid w:val="007257E2"/>
    <w:rsid w:val="00725E20"/>
    <w:rsid w:val="00726045"/>
    <w:rsid w:val="0072617E"/>
    <w:rsid w:val="007262E0"/>
    <w:rsid w:val="0072696F"/>
    <w:rsid w:val="00726DF2"/>
    <w:rsid w:val="0072700B"/>
    <w:rsid w:val="00727751"/>
    <w:rsid w:val="00727A09"/>
    <w:rsid w:val="00730B4D"/>
    <w:rsid w:val="00731411"/>
    <w:rsid w:val="00731426"/>
    <w:rsid w:val="00731518"/>
    <w:rsid w:val="00731D18"/>
    <w:rsid w:val="00731E0C"/>
    <w:rsid w:val="00731F79"/>
    <w:rsid w:val="007327A1"/>
    <w:rsid w:val="00732E5C"/>
    <w:rsid w:val="00733848"/>
    <w:rsid w:val="00733F2D"/>
    <w:rsid w:val="0073402D"/>
    <w:rsid w:val="007345D2"/>
    <w:rsid w:val="00734882"/>
    <w:rsid w:val="00734B5C"/>
    <w:rsid w:val="00735459"/>
    <w:rsid w:val="007357BE"/>
    <w:rsid w:val="00735A04"/>
    <w:rsid w:val="0073605D"/>
    <w:rsid w:val="007361BC"/>
    <w:rsid w:val="007364E8"/>
    <w:rsid w:val="00737209"/>
    <w:rsid w:val="007375BB"/>
    <w:rsid w:val="007375CD"/>
    <w:rsid w:val="00737C1D"/>
    <w:rsid w:val="00737E68"/>
    <w:rsid w:val="00740115"/>
    <w:rsid w:val="0074030E"/>
    <w:rsid w:val="00740411"/>
    <w:rsid w:val="00740A5F"/>
    <w:rsid w:val="00740BCB"/>
    <w:rsid w:val="00740C53"/>
    <w:rsid w:val="007413DF"/>
    <w:rsid w:val="0074189A"/>
    <w:rsid w:val="007418F6"/>
    <w:rsid w:val="00741D47"/>
    <w:rsid w:val="00741F3F"/>
    <w:rsid w:val="00741FA8"/>
    <w:rsid w:val="00742A13"/>
    <w:rsid w:val="00742A1F"/>
    <w:rsid w:val="00742E4D"/>
    <w:rsid w:val="00742F2C"/>
    <w:rsid w:val="00743D5C"/>
    <w:rsid w:val="00743D99"/>
    <w:rsid w:val="00744557"/>
    <w:rsid w:val="0074470D"/>
    <w:rsid w:val="00744925"/>
    <w:rsid w:val="00744C4B"/>
    <w:rsid w:val="00744FDC"/>
    <w:rsid w:val="0074513A"/>
    <w:rsid w:val="00745813"/>
    <w:rsid w:val="00746BD5"/>
    <w:rsid w:val="007473E6"/>
    <w:rsid w:val="00747687"/>
    <w:rsid w:val="00747A33"/>
    <w:rsid w:val="007503C8"/>
    <w:rsid w:val="00750B21"/>
    <w:rsid w:val="00750C7C"/>
    <w:rsid w:val="00750EB9"/>
    <w:rsid w:val="00752708"/>
    <w:rsid w:val="00752B5F"/>
    <w:rsid w:val="00752D2E"/>
    <w:rsid w:val="007532C7"/>
    <w:rsid w:val="0075363B"/>
    <w:rsid w:val="00753CCE"/>
    <w:rsid w:val="00753F28"/>
    <w:rsid w:val="00753F73"/>
    <w:rsid w:val="0075546F"/>
    <w:rsid w:val="007554C3"/>
    <w:rsid w:val="007558F1"/>
    <w:rsid w:val="00755A41"/>
    <w:rsid w:val="00755FEF"/>
    <w:rsid w:val="0075698D"/>
    <w:rsid w:val="00757B4B"/>
    <w:rsid w:val="00757B90"/>
    <w:rsid w:val="0076054B"/>
    <w:rsid w:val="007605AA"/>
    <w:rsid w:val="00760DF1"/>
    <w:rsid w:val="00760EAA"/>
    <w:rsid w:val="00760F04"/>
    <w:rsid w:val="007616CF"/>
    <w:rsid w:val="00761856"/>
    <w:rsid w:val="00761C77"/>
    <w:rsid w:val="00762901"/>
    <w:rsid w:val="00762BEC"/>
    <w:rsid w:val="0076443D"/>
    <w:rsid w:val="00764907"/>
    <w:rsid w:val="00764C8F"/>
    <w:rsid w:val="00764CF2"/>
    <w:rsid w:val="00764D6B"/>
    <w:rsid w:val="00764DD9"/>
    <w:rsid w:val="00764E5D"/>
    <w:rsid w:val="00764F67"/>
    <w:rsid w:val="0076501A"/>
    <w:rsid w:val="0076528C"/>
    <w:rsid w:val="00765B0E"/>
    <w:rsid w:val="00765BD6"/>
    <w:rsid w:val="00766732"/>
    <w:rsid w:val="00766DA0"/>
    <w:rsid w:val="00767B8F"/>
    <w:rsid w:val="00767CB5"/>
    <w:rsid w:val="00770136"/>
    <w:rsid w:val="00770479"/>
    <w:rsid w:val="00770805"/>
    <w:rsid w:val="00770C24"/>
    <w:rsid w:val="00770CDB"/>
    <w:rsid w:val="00770E29"/>
    <w:rsid w:val="00771111"/>
    <w:rsid w:val="00771998"/>
    <w:rsid w:val="00771C6C"/>
    <w:rsid w:val="00771DD3"/>
    <w:rsid w:val="00772257"/>
    <w:rsid w:val="0077299C"/>
    <w:rsid w:val="00772C60"/>
    <w:rsid w:val="0077363B"/>
    <w:rsid w:val="0077363F"/>
    <w:rsid w:val="00773B00"/>
    <w:rsid w:val="00773D16"/>
    <w:rsid w:val="00773D5E"/>
    <w:rsid w:val="0077425E"/>
    <w:rsid w:val="007749A1"/>
    <w:rsid w:val="007749B9"/>
    <w:rsid w:val="00774CFC"/>
    <w:rsid w:val="00775022"/>
    <w:rsid w:val="0077543D"/>
    <w:rsid w:val="00775912"/>
    <w:rsid w:val="0077597F"/>
    <w:rsid w:val="00775BA3"/>
    <w:rsid w:val="007760CC"/>
    <w:rsid w:val="007764BE"/>
    <w:rsid w:val="00776739"/>
    <w:rsid w:val="00776A0D"/>
    <w:rsid w:val="00776B74"/>
    <w:rsid w:val="00776C3B"/>
    <w:rsid w:val="0077722D"/>
    <w:rsid w:val="00777516"/>
    <w:rsid w:val="00777675"/>
    <w:rsid w:val="0077786F"/>
    <w:rsid w:val="007801B9"/>
    <w:rsid w:val="0078050A"/>
    <w:rsid w:val="00780924"/>
    <w:rsid w:val="007809DA"/>
    <w:rsid w:val="00780AA7"/>
    <w:rsid w:val="00781150"/>
    <w:rsid w:val="0078130D"/>
    <w:rsid w:val="007817E5"/>
    <w:rsid w:val="00781C74"/>
    <w:rsid w:val="00782824"/>
    <w:rsid w:val="00783585"/>
    <w:rsid w:val="0078373C"/>
    <w:rsid w:val="007841D6"/>
    <w:rsid w:val="00785190"/>
    <w:rsid w:val="0078538C"/>
    <w:rsid w:val="007857C7"/>
    <w:rsid w:val="00785A24"/>
    <w:rsid w:val="00785F8B"/>
    <w:rsid w:val="00786297"/>
    <w:rsid w:val="00786C21"/>
    <w:rsid w:val="00786F44"/>
    <w:rsid w:val="007873C2"/>
    <w:rsid w:val="007873C6"/>
    <w:rsid w:val="00787451"/>
    <w:rsid w:val="00787751"/>
    <w:rsid w:val="0078786E"/>
    <w:rsid w:val="00787EDC"/>
    <w:rsid w:val="007900C3"/>
    <w:rsid w:val="00790777"/>
    <w:rsid w:val="0079092F"/>
    <w:rsid w:val="00790997"/>
    <w:rsid w:val="00790D78"/>
    <w:rsid w:val="007915E5"/>
    <w:rsid w:val="00791F8E"/>
    <w:rsid w:val="0079232C"/>
    <w:rsid w:val="00792462"/>
    <w:rsid w:val="00792C45"/>
    <w:rsid w:val="00792CFE"/>
    <w:rsid w:val="00792DBC"/>
    <w:rsid w:val="00792E25"/>
    <w:rsid w:val="00792EFE"/>
    <w:rsid w:val="00792FF0"/>
    <w:rsid w:val="00793641"/>
    <w:rsid w:val="00793EC1"/>
    <w:rsid w:val="00793F89"/>
    <w:rsid w:val="00793F8B"/>
    <w:rsid w:val="00794264"/>
    <w:rsid w:val="00794589"/>
    <w:rsid w:val="00794830"/>
    <w:rsid w:val="00794A69"/>
    <w:rsid w:val="007952E2"/>
    <w:rsid w:val="00795C52"/>
    <w:rsid w:val="0079665E"/>
    <w:rsid w:val="007966BC"/>
    <w:rsid w:val="00796A5F"/>
    <w:rsid w:val="0079701D"/>
    <w:rsid w:val="007970CE"/>
    <w:rsid w:val="00797120"/>
    <w:rsid w:val="0079737E"/>
    <w:rsid w:val="00797C6B"/>
    <w:rsid w:val="007A00E5"/>
    <w:rsid w:val="007A0225"/>
    <w:rsid w:val="007A04E1"/>
    <w:rsid w:val="007A071B"/>
    <w:rsid w:val="007A0731"/>
    <w:rsid w:val="007A09D8"/>
    <w:rsid w:val="007A168B"/>
    <w:rsid w:val="007A2186"/>
    <w:rsid w:val="007A2384"/>
    <w:rsid w:val="007A2493"/>
    <w:rsid w:val="007A26AF"/>
    <w:rsid w:val="007A26B7"/>
    <w:rsid w:val="007A2B7C"/>
    <w:rsid w:val="007A2CF1"/>
    <w:rsid w:val="007A2EA3"/>
    <w:rsid w:val="007A3605"/>
    <w:rsid w:val="007A3747"/>
    <w:rsid w:val="007A3C99"/>
    <w:rsid w:val="007A44AA"/>
    <w:rsid w:val="007A4EE4"/>
    <w:rsid w:val="007A5B72"/>
    <w:rsid w:val="007A5D82"/>
    <w:rsid w:val="007A5D9A"/>
    <w:rsid w:val="007A65C6"/>
    <w:rsid w:val="007A6892"/>
    <w:rsid w:val="007A6A06"/>
    <w:rsid w:val="007A6C6C"/>
    <w:rsid w:val="007A6FC5"/>
    <w:rsid w:val="007A7010"/>
    <w:rsid w:val="007A7465"/>
    <w:rsid w:val="007B09D6"/>
    <w:rsid w:val="007B14FB"/>
    <w:rsid w:val="007B15B5"/>
    <w:rsid w:val="007B1D56"/>
    <w:rsid w:val="007B1E4C"/>
    <w:rsid w:val="007B1FC5"/>
    <w:rsid w:val="007B27F3"/>
    <w:rsid w:val="007B2F54"/>
    <w:rsid w:val="007B374C"/>
    <w:rsid w:val="007B3D51"/>
    <w:rsid w:val="007B421E"/>
    <w:rsid w:val="007B4BF8"/>
    <w:rsid w:val="007B54A6"/>
    <w:rsid w:val="007B56D7"/>
    <w:rsid w:val="007B5800"/>
    <w:rsid w:val="007B5DE7"/>
    <w:rsid w:val="007B5FED"/>
    <w:rsid w:val="007B6D14"/>
    <w:rsid w:val="007B6DBF"/>
    <w:rsid w:val="007C06B8"/>
    <w:rsid w:val="007C0B6C"/>
    <w:rsid w:val="007C114B"/>
    <w:rsid w:val="007C1182"/>
    <w:rsid w:val="007C131C"/>
    <w:rsid w:val="007C1883"/>
    <w:rsid w:val="007C1CDE"/>
    <w:rsid w:val="007C1F2A"/>
    <w:rsid w:val="007C2275"/>
    <w:rsid w:val="007C24C6"/>
    <w:rsid w:val="007C2533"/>
    <w:rsid w:val="007C25AD"/>
    <w:rsid w:val="007C285B"/>
    <w:rsid w:val="007C2B5E"/>
    <w:rsid w:val="007C2BDD"/>
    <w:rsid w:val="007C2ED2"/>
    <w:rsid w:val="007C3774"/>
    <w:rsid w:val="007C37D5"/>
    <w:rsid w:val="007C3CC2"/>
    <w:rsid w:val="007C3EE8"/>
    <w:rsid w:val="007C3F0F"/>
    <w:rsid w:val="007C4074"/>
    <w:rsid w:val="007C4630"/>
    <w:rsid w:val="007C5146"/>
    <w:rsid w:val="007C5268"/>
    <w:rsid w:val="007C65ED"/>
    <w:rsid w:val="007C73B8"/>
    <w:rsid w:val="007C740B"/>
    <w:rsid w:val="007C74B5"/>
    <w:rsid w:val="007C7500"/>
    <w:rsid w:val="007C7B54"/>
    <w:rsid w:val="007C7E7F"/>
    <w:rsid w:val="007D033B"/>
    <w:rsid w:val="007D06C9"/>
    <w:rsid w:val="007D0A77"/>
    <w:rsid w:val="007D0BF3"/>
    <w:rsid w:val="007D110B"/>
    <w:rsid w:val="007D166E"/>
    <w:rsid w:val="007D1DAD"/>
    <w:rsid w:val="007D1FC5"/>
    <w:rsid w:val="007D2FEC"/>
    <w:rsid w:val="007D3007"/>
    <w:rsid w:val="007D38AB"/>
    <w:rsid w:val="007D3EF1"/>
    <w:rsid w:val="007D3F86"/>
    <w:rsid w:val="007D493B"/>
    <w:rsid w:val="007D4E23"/>
    <w:rsid w:val="007D58A7"/>
    <w:rsid w:val="007D5931"/>
    <w:rsid w:val="007D5B56"/>
    <w:rsid w:val="007D5C56"/>
    <w:rsid w:val="007D6AFF"/>
    <w:rsid w:val="007D6C6B"/>
    <w:rsid w:val="007D6C74"/>
    <w:rsid w:val="007D6E16"/>
    <w:rsid w:val="007D70F5"/>
    <w:rsid w:val="007D76FB"/>
    <w:rsid w:val="007D7CCF"/>
    <w:rsid w:val="007D7E0B"/>
    <w:rsid w:val="007E0747"/>
    <w:rsid w:val="007E0A6E"/>
    <w:rsid w:val="007E0D49"/>
    <w:rsid w:val="007E0DC4"/>
    <w:rsid w:val="007E0F28"/>
    <w:rsid w:val="007E18F4"/>
    <w:rsid w:val="007E1E4D"/>
    <w:rsid w:val="007E2000"/>
    <w:rsid w:val="007E25C6"/>
    <w:rsid w:val="007E2A0F"/>
    <w:rsid w:val="007E2C10"/>
    <w:rsid w:val="007E2CAB"/>
    <w:rsid w:val="007E347B"/>
    <w:rsid w:val="007E3738"/>
    <w:rsid w:val="007E3E6D"/>
    <w:rsid w:val="007E4624"/>
    <w:rsid w:val="007E4A81"/>
    <w:rsid w:val="007E4E97"/>
    <w:rsid w:val="007E4E99"/>
    <w:rsid w:val="007E4F25"/>
    <w:rsid w:val="007E5B3E"/>
    <w:rsid w:val="007E5BA6"/>
    <w:rsid w:val="007E5F0E"/>
    <w:rsid w:val="007E6145"/>
    <w:rsid w:val="007E61A1"/>
    <w:rsid w:val="007E64CA"/>
    <w:rsid w:val="007E66AE"/>
    <w:rsid w:val="007E6AF0"/>
    <w:rsid w:val="007E6BAE"/>
    <w:rsid w:val="007E6CDA"/>
    <w:rsid w:val="007E713E"/>
    <w:rsid w:val="007F0323"/>
    <w:rsid w:val="007F0542"/>
    <w:rsid w:val="007F0F7D"/>
    <w:rsid w:val="007F1B79"/>
    <w:rsid w:val="007F1C8D"/>
    <w:rsid w:val="007F1CD2"/>
    <w:rsid w:val="007F1F35"/>
    <w:rsid w:val="007F265E"/>
    <w:rsid w:val="007F2900"/>
    <w:rsid w:val="007F2F7F"/>
    <w:rsid w:val="007F3070"/>
    <w:rsid w:val="007F31BC"/>
    <w:rsid w:val="007F3724"/>
    <w:rsid w:val="007F375D"/>
    <w:rsid w:val="007F41B1"/>
    <w:rsid w:val="007F4722"/>
    <w:rsid w:val="007F4E9B"/>
    <w:rsid w:val="007F5124"/>
    <w:rsid w:val="007F535F"/>
    <w:rsid w:val="007F5BB5"/>
    <w:rsid w:val="007F5CD2"/>
    <w:rsid w:val="007F5ED7"/>
    <w:rsid w:val="007F65FF"/>
    <w:rsid w:val="007F6765"/>
    <w:rsid w:val="007F6843"/>
    <w:rsid w:val="007F6A3C"/>
    <w:rsid w:val="007F7162"/>
    <w:rsid w:val="007F7ED6"/>
    <w:rsid w:val="0080044E"/>
    <w:rsid w:val="008007F5"/>
    <w:rsid w:val="00800BA8"/>
    <w:rsid w:val="00800F2B"/>
    <w:rsid w:val="00800FF2"/>
    <w:rsid w:val="008019D7"/>
    <w:rsid w:val="00801FA8"/>
    <w:rsid w:val="008020B0"/>
    <w:rsid w:val="0080250B"/>
    <w:rsid w:val="00802737"/>
    <w:rsid w:val="0080295E"/>
    <w:rsid w:val="00802A2D"/>
    <w:rsid w:val="00802AF5"/>
    <w:rsid w:val="00803CDA"/>
    <w:rsid w:val="00803DAF"/>
    <w:rsid w:val="00804210"/>
    <w:rsid w:val="00804311"/>
    <w:rsid w:val="00804810"/>
    <w:rsid w:val="00804A19"/>
    <w:rsid w:val="00804AF4"/>
    <w:rsid w:val="00804B31"/>
    <w:rsid w:val="00804CA7"/>
    <w:rsid w:val="00806270"/>
    <w:rsid w:val="00806CBC"/>
    <w:rsid w:val="008100D5"/>
    <w:rsid w:val="0081015E"/>
    <w:rsid w:val="00810CC2"/>
    <w:rsid w:val="00811261"/>
    <w:rsid w:val="008119F0"/>
    <w:rsid w:val="008125C6"/>
    <w:rsid w:val="00812754"/>
    <w:rsid w:val="008141DD"/>
    <w:rsid w:val="00814455"/>
    <w:rsid w:val="00814464"/>
    <w:rsid w:val="00814BCB"/>
    <w:rsid w:val="00815107"/>
    <w:rsid w:val="008152B2"/>
    <w:rsid w:val="00815535"/>
    <w:rsid w:val="008157E0"/>
    <w:rsid w:val="00815BA4"/>
    <w:rsid w:val="00815D40"/>
    <w:rsid w:val="00816460"/>
    <w:rsid w:val="00817866"/>
    <w:rsid w:val="00820866"/>
    <w:rsid w:val="00820A53"/>
    <w:rsid w:val="00820CDD"/>
    <w:rsid w:val="008210E2"/>
    <w:rsid w:val="00821471"/>
    <w:rsid w:val="00821EAF"/>
    <w:rsid w:val="0082290E"/>
    <w:rsid w:val="008229B1"/>
    <w:rsid w:val="00822DF3"/>
    <w:rsid w:val="00823C8F"/>
    <w:rsid w:val="00824204"/>
    <w:rsid w:val="0082495E"/>
    <w:rsid w:val="00824B58"/>
    <w:rsid w:val="00824D6C"/>
    <w:rsid w:val="00824FC7"/>
    <w:rsid w:val="008254BC"/>
    <w:rsid w:val="00825624"/>
    <w:rsid w:val="00825B84"/>
    <w:rsid w:val="00825E0D"/>
    <w:rsid w:val="00825EB8"/>
    <w:rsid w:val="008263BC"/>
    <w:rsid w:val="0082656B"/>
    <w:rsid w:val="0082668F"/>
    <w:rsid w:val="008268B4"/>
    <w:rsid w:val="00827465"/>
    <w:rsid w:val="0082779C"/>
    <w:rsid w:val="00827A7A"/>
    <w:rsid w:val="00830166"/>
    <w:rsid w:val="00831086"/>
    <w:rsid w:val="00831347"/>
    <w:rsid w:val="00831C33"/>
    <w:rsid w:val="008320CA"/>
    <w:rsid w:val="008335F6"/>
    <w:rsid w:val="008336C7"/>
    <w:rsid w:val="0083371A"/>
    <w:rsid w:val="00833B60"/>
    <w:rsid w:val="0083416F"/>
    <w:rsid w:val="00834889"/>
    <w:rsid w:val="0083502D"/>
    <w:rsid w:val="00835953"/>
    <w:rsid w:val="00835A6B"/>
    <w:rsid w:val="00835BBE"/>
    <w:rsid w:val="00835DFF"/>
    <w:rsid w:val="008360E9"/>
    <w:rsid w:val="00836319"/>
    <w:rsid w:val="008369B0"/>
    <w:rsid w:val="008369BC"/>
    <w:rsid w:val="00837388"/>
    <w:rsid w:val="00837391"/>
    <w:rsid w:val="0083755F"/>
    <w:rsid w:val="00837713"/>
    <w:rsid w:val="00837DD9"/>
    <w:rsid w:val="00837E98"/>
    <w:rsid w:val="00840071"/>
    <w:rsid w:val="00840D71"/>
    <w:rsid w:val="00840DE3"/>
    <w:rsid w:val="00840DF9"/>
    <w:rsid w:val="00840F30"/>
    <w:rsid w:val="00840F47"/>
    <w:rsid w:val="00841195"/>
    <w:rsid w:val="0084145A"/>
    <w:rsid w:val="00841A4D"/>
    <w:rsid w:val="00841D3D"/>
    <w:rsid w:val="00841EB6"/>
    <w:rsid w:val="00841EF6"/>
    <w:rsid w:val="008424D0"/>
    <w:rsid w:val="00842932"/>
    <w:rsid w:val="00842E59"/>
    <w:rsid w:val="008432F8"/>
    <w:rsid w:val="008433D9"/>
    <w:rsid w:val="00844083"/>
    <w:rsid w:val="008454B5"/>
    <w:rsid w:val="0084564C"/>
    <w:rsid w:val="008462D7"/>
    <w:rsid w:val="00846642"/>
    <w:rsid w:val="00846DDE"/>
    <w:rsid w:val="00847BA8"/>
    <w:rsid w:val="0085024D"/>
    <w:rsid w:val="008503FC"/>
    <w:rsid w:val="008506D8"/>
    <w:rsid w:val="00850FCB"/>
    <w:rsid w:val="008512DE"/>
    <w:rsid w:val="008519A4"/>
    <w:rsid w:val="00852214"/>
    <w:rsid w:val="0085233F"/>
    <w:rsid w:val="00852EC8"/>
    <w:rsid w:val="0085345D"/>
    <w:rsid w:val="00853600"/>
    <w:rsid w:val="00853628"/>
    <w:rsid w:val="0085364C"/>
    <w:rsid w:val="008538B8"/>
    <w:rsid w:val="00853AB0"/>
    <w:rsid w:val="0085401A"/>
    <w:rsid w:val="008544BB"/>
    <w:rsid w:val="008545A0"/>
    <w:rsid w:val="008545AA"/>
    <w:rsid w:val="00854C90"/>
    <w:rsid w:val="00855451"/>
    <w:rsid w:val="0085593B"/>
    <w:rsid w:val="00855B98"/>
    <w:rsid w:val="00855DE6"/>
    <w:rsid w:val="008562F1"/>
    <w:rsid w:val="00856953"/>
    <w:rsid w:val="008569F4"/>
    <w:rsid w:val="00856F3C"/>
    <w:rsid w:val="00857208"/>
    <w:rsid w:val="00857649"/>
    <w:rsid w:val="008577DD"/>
    <w:rsid w:val="00857925"/>
    <w:rsid w:val="00857944"/>
    <w:rsid w:val="00860368"/>
    <w:rsid w:val="0086099E"/>
    <w:rsid w:val="00860DE3"/>
    <w:rsid w:val="0086185E"/>
    <w:rsid w:val="00861893"/>
    <w:rsid w:val="0086192C"/>
    <w:rsid w:val="00862931"/>
    <w:rsid w:val="00862A36"/>
    <w:rsid w:val="00862A40"/>
    <w:rsid w:val="008630FB"/>
    <w:rsid w:val="008639FC"/>
    <w:rsid w:val="00863D18"/>
    <w:rsid w:val="00863D9B"/>
    <w:rsid w:val="00864169"/>
    <w:rsid w:val="0086438B"/>
    <w:rsid w:val="00864440"/>
    <w:rsid w:val="008648AA"/>
    <w:rsid w:val="008648BE"/>
    <w:rsid w:val="00864AC5"/>
    <w:rsid w:val="00864CE9"/>
    <w:rsid w:val="008654DF"/>
    <w:rsid w:val="008656B3"/>
    <w:rsid w:val="00865C77"/>
    <w:rsid w:val="00865CEF"/>
    <w:rsid w:val="0086638E"/>
    <w:rsid w:val="008667B1"/>
    <w:rsid w:val="008671F8"/>
    <w:rsid w:val="00867577"/>
    <w:rsid w:val="008711A4"/>
    <w:rsid w:val="008713E1"/>
    <w:rsid w:val="008714DA"/>
    <w:rsid w:val="00871567"/>
    <w:rsid w:val="008719EB"/>
    <w:rsid w:val="00871AA0"/>
    <w:rsid w:val="008722AC"/>
    <w:rsid w:val="00872424"/>
    <w:rsid w:val="00872F1A"/>
    <w:rsid w:val="0087311F"/>
    <w:rsid w:val="00874065"/>
    <w:rsid w:val="0087437D"/>
    <w:rsid w:val="00874C8B"/>
    <w:rsid w:val="00875521"/>
    <w:rsid w:val="008759E3"/>
    <w:rsid w:val="00875D02"/>
    <w:rsid w:val="00875EBD"/>
    <w:rsid w:val="008761C1"/>
    <w:rsid w:val="008762CF"/>
    <w:rsid w:val="0087671A"/>
    <w:rsid w:val="00876D0B"/>
    <w:rsid w:val="00877924"/>
    <w:rsid w:val="008779CE"/>
    <w:rsid w:val="00877B0A"/>
    <w:rsid w:val="00877C1C"/>
    <w:rsid w:val="00877E49"/>
    <w:rsid w:val="00877EA9"/>
    <w:rsid w:val="00877ED9"/>
    <w:rsid w:val="00880813"/>
    <w:rsid w:val="00880B69"/>
    <w:rsid w:val="00880FB1"/>
    <w:rsid w:val="008810DA"/>
    <w:rsid w:val="008811FB"/>
    <w:rsid w:val="008814D9"/>
    <w:rsid w:val="00881597"/>
    <w:rsid w:val="00881D4A"/>
    <w:rsid w:val="00882291"/>
    <w:rsid w:val="008823F5"/>
    <w:rsid w:val="00883BD3"/>
    <w:rsid w:val="00883E50"/>
    <w:rsid w:val="00884226"/>
    <w:rsid w:val="008842AE"/>
    <w:rsid w:val="008844AB"/>
    <w:rsid w:val="008856F5"/>
    <w:rsid w:val="00885792"/>
    <w:rsid w:val="00885847"/>
    <w:rsid w:val="008858B8"/>
    <w:rsid w:val="008864EE"/>
    <w:rsid w:val="008866F4"/>
    <w:rsid w:val="0088682E"/>
    <w:rsid w:val="008875E6"/>
    <w:rsid w:val="008876D3"/>
    <w:rsid w:val="008879DE"/>
    <w:rsid w:val="00887B40"/>
    <w:rsid w:val="008909CC"/>
    <w:rsid w:val="00890D21"/>
    <w:rsid w:val="00891A86"/>
    <w:rsid w:val="00891D43"/>
    <w:rsid w:val="00892DDE"/>
    <w:rsid w:val="00893151"/>
    <w:rsid w:val="008932EC"/>
    <w:rsid w:val="0089361C"/>
    <w:rsid w:val="008936D2"/>
    <w:rsid w:val="008937F8"/>
    <w:rsid w:val="00893984"/>
    <w:rsid w:val="00893C38"/>
    <w:rsid w:val="00894298"/>
    <w:rsid w:val="008943D4"/>
    <w:rsid w:val="008965EA"/>
    <w:rsid w:val="00896AAE"/>
    <w:rsid w:val="00897253"/>
    <w:rsid w:val="00897A3A"/>
    <w:rsid w:val="00897F56"/>
    <w:rsid w:val="008A0005"/>
    <w:rsid w:val="008A01EC"/>
    <w:rsid w:val="008A01F0"/>
    <w:rsid w:val="008A02A9"/>
    <w:rsid w:val="008A0D3C"/>
    <w:rsid w:val="008A1306"/>
    <w:rsid w:val="008A154C"/>
    <w:rsid w:val="008A17D3"/>
    <w:rsid w:val="008A20DE"/>
    <w:rsid w:val="008A21A4"/>
    <w:rsid w:val="008A26F6"/>
    <w:rsid w:val="008A291C"/>
    <w:rsid w:val="008A2998"/>
    <w:rsid w:val="008A2AAE"/>
    <w:rsid w:val="008A2B6C"/>
    <w:rsid w:val="008A2E0F"/>
    <w:rsid w:val="008A3015"/>
    <w:rsid w:val="008A33A1"/>
    <w:rsid w:val="008A399A"/>
    <w:rsid w:val="008A3D66"/>
    <w:rsid w:val="008A4375"/>
    <w:rsid w:val="008A443E"/>
    <w:rsid w:val="008A4E75"/>
    <w:rsid w:val="008A532C"/>
    <w:rsid w:val="008A557A"/>
    <w:rsid w:val="008A558C"/>
    <w:rsid w:val="008A55A7"/>
    <w:rsid w:val="008A5758"/>
    <w:rsid w:val="008A62C2"/>
    <w:rsid w:val="008A63E0"/>
    <w:rsid w:val="008A6A6A"/>
    <w:rsid w:val="008A6AFB"/>
    <w:rsid w:val="008A6BBF"/>
    <w:rsid w:val="008A73BC"/>
    <w:rsid w:val="008A756C"/>
    <w:rsid w:val="008A7AC1"/>
    <w:rsid w:val="008A7B9E"/>
    <w:rsid w:val="008B0110"/>
    <w:rsid w:val="008B0197"/>
    <w:rsid w:val="008B0208"/>
    <w:rsid w:val="008B14EF"/>
    <w:rsid w:val="008B22EA"/>
    <w:rsid w:val="008B2E67"/>
    <w:rsid w:val="008B30A6"/>
    <w:rsid w:val="008B315C"/>
    <w:rsid w:val="008B3184"/>
    <w:rsid w:val="008B353A"/>
    <w:rsid w:val="008B3B0F"/>
    <w:rsid w:val="008B3B35"/>
    <w:rsid w:val="008B3BF0"/>
    <w:rsid w:val="008B4479"/>
    <w:rsid w:val="008B44E6"/>
    <w:rsid w:val="008B458D"/>
    <w:rsid w:val="008B5041"/>
    <w:rsid w:val="008B509C"/>
    <w:rsid w:val="008B5160"/>
    <w:rsid w:val="008B5255"/>
    <w:rsid w:val="008B54ED"/>
    <w:rsid w:val="008B5658"/>
    <w:rsid w:val="008B56EE"/>
    <w:rsid w:val="008B58F3"/>
    <w:rsid w:val="008B5900"/>
    <w:rsid w:val="008B5EE0"/>
    <w:rsid w:val="008B66DD"/>
    <w:rsid w:val="008B6712"/>
    <w:rsid w:val="008B70E1"/>
    <w:rsid w:val="008B7583"/>
    <w:rsid w:val="008B7CAC"/>
    <w:rsid w:val="008C0164"/>
    <w:rsid w:val="008C0342"/>
    <w:rsid w:val="008C0605"/>
    <w:rsid w:val="008C067B"/>
    <w:rsid w:val="008C0882"/>
    <w:rsid w:val="008C0C24"/>
    <w:rsid w:val="008C1526"/>
    <w:rsid w:val="008C1662"/>
    <w:rsid w:val="008C2008"/>
    <w:rsid w:val="008C223F"/>
    <w:rsid w:val="008C2A0C"/>
    <w:rsid w:val="008C3101"/>
    <w:rsid w:val="008C3484"/>
    <w:rsid w:val="008C38BB"/>
    <w:rsid w:val="008C3BCC"/>
    <w:rsid w:val="008C4EC0"/>
    <w:rsid w:val="008C56E3"/>
    <w:rsid w:val="008C5C4B"/>
    <w:rsid w:val="008C6005"/>
    <w:rsid w:val="008C6905"/>
    <w:rsid w:val="008C7147"/>
    <w:rsid w:val="008C75F8"/>
    <w:rsid w:val="008C771A"/>
    <w:rsid w:val="008C7981"/>
    <w:rsid w:val="008C7EA7"/>
    <w:rsid w:val="008D0518"/>
    <w:rsid w:val="008D0540"/>
    <w:rsid w:val="008D0A29"/>
    <w:rsid w:val="008D0B1C"/>
    <w:rsid w:val="008D0C85"/>
    <w:rsid w:val="008D15DA"/>
    <w:rsid w:val="008D1968"/>
    <w:rsid w:val="008D1A31"/>
    <w:rsid w:val="008D1BBD"/>
    <w:rsid w:val="008D1CB7"/>
    <w:rsid w:val="008D2272"/>
    <w:rsid w:val="008D25E9"/>
    <w:rsid w:val="008D2FC5"/>
    <w:rsid w:val="008D364B"/>
    <w:rsid w:val="008D3A7D"/>
    <w:rsid w:val="008D4AA5"/>
    <w:rsid w:val="008D5B40"/>
    <w:rsid w:val="008D5B4F"/>
    <w:rsid w:val="008D6A24"/>
    <w:rsid w:val="008D7537"/>
    <w:rsid w:val="008D780A"/>
    <w:rsid w:val="008E03F9"/>
    <w:rsid w:val="008E0AD4"/>
    <w:rsid w:val="008E0D10"/>
    <w:rsid w:val="008E116F"/>
    <w:rsid w:val="008E122D"/>
    <w:rsid w:val="008E12F2"/>
    <w:rsid w:val="008E1806"/>
    <w:rsid w:val="008E1DAB"/>
    <w:rsid w:val="008E1E92"/>
    <w:rsid w:val="008E1EC0"/>
    <w:rsid w:val="008E2293"/>
    <w:rsid w:val="008E273D"/>
    <w:rsid w:val="008E27D9"/>
    <w:rsid w:val="008E289F"/>
    <w:rsid w:val="008E30F9"/>
    <w:rsid w:val="008E336C"/>
    <w:rsid w:val="008E39F3"/>
    <w:rsid w:val="008E42D9"/>
    <w:rsid w:val="008E43EF"/>
    <w:rsid w:val="008E4BE3"/>
    <w:rsid w:val="008E4D44"/>
    <w:rsid w:val="008E56B8"/>
    <w:rsid w:val="008E5861"/>
    <w:rsid w:val="008E5933"/>
    <w:rsid w:val="008E6B49"/>
    <w:rsid w:val="008E6CF2"/>
    <w:rsid w:val="008E6E3E"/>
    <w:rsid w:val="008E72FA"/>
    <w:rsid w:val="008E75C2"/>
    <w:rsid w:val="008E7D71"/>
    <w:rsid w:val="008F005C"/>
    <w:rsid w:val="008F0061"/>
    <w:rsid w:val="008F084E"/>
    <w:rsid w:val="008F11A6"/>
    <w:rsid w:val="008F176F"/>
    <w:rsid w:val="008F17DB"/>
    <w:rsid w:val="008F1913"/>
    <w:rsid w:val="008F1AD0"/>
    <w:rsid w:val="008F1D9D"/>
    <w:rsid w:val="008F1E50"/>
    <w:rsid w:val="008F1F87"/>
    <w:rsid w:val="008F2394"/>
    <w:rsid w:val="008F2C0E"/>
    <w:rsid w:val="008F2F47"/>
    <w:rsid w:val="008F2F6D"/>
    <w:rsid w:val="008F3289"/>
    <w:rsid w:val="008F330B"/>
    <w:rsid w:val="008F3448"/>
    <w:rsid w:val="008F450B"/>
    <w:rsid w:val="008F52C3"/>
    <w:rsid w:val="008F52FA"/>
    <w:rsid w:val="008F5744"/>
    <w:rsid w:val="008F6908"/>
    <w:rsid w:val="008F6DFF"/>
    <w:rsid w:val="008F784B"/>
    <w:rsid w:val="008F784E"/>
    <w:rsid w:val="008F7DE0"/>
    <w:rsid w:val="008F7E19"/>
    <w:rsid w:val="008F7EFD"/>
    <w:rsid w:val="009005A4"/>
    <w:rsid w:val="009012A1"/>
    <w:rsid w:val="00901A85"/>
    <w:rsid w:val="00902267"/>
    <w:rsid w:val="00902ADD"/>
    <w:rsid w:val="00902C75"/>
    <w:rsid w:val="00903A16"/>
    <w:rsid w:val="00903D6A"/>
    <w:rsid w:val="00903D7F"/>
    <w:rsid w:val="00903F5B"/>
    <w:rsid w:val="00904074"/>
    <w:rsid w:val="0090480C"/>
    <w:rsid w:val="00904D6F"/>
    <w:rsid w:val="0090564A"/>
    <w:rsid w:val="009056E6"/>
    <w:rsid w:val="00905B14"/>
    <w:rsid w:val="009064A6"/>
    <w:rsid w:val="009064EE"/>
    <w:rsid w:val="00906B14"/>
    <w:rsid w:val="009078BB"/>
    <w:rsid w:val="00907954"/>
    <w:rsid w:val="009079B5"/>
    <w:rsid w:val="00907AB5"/>
    <w:rsid w:val="00907D40"/>
    <w:rsid w:val="009103F2"/>
    <w:rsid w:val="009106B5"/>
    <w:rsid w:val="00910B5E"/>
    <w:rsid w:val="00910DB5"/>
    <w:rsid w:val="009114C5"/>
    <w:rsid w:val="00911BB0"/>
    <w:rsid w:val="009121B4"/>
    <w:rsid w:val="0091275B"/>
    <w:rsid w:val="00912B4F"/>
    <w:rsid w:val="00913A3C"/>
    <w:rsid w:val="0091424A"/>
    <w:rsid w:val="009145B8"/>
    <w:rsid w:val="009145C5"/>
    <w:rsid w:val="009155A3"/>
    <w:rsid w:val="009156F7"/>
    <w:rsid w:val="0091575C"/>
    <w:rsid w:val="00915BD5"/>
    <w:rsid w:val="0091640E"/>
    <w:rsid w:val="00916EEE"/>
    <w:rsid w:val="009172BA"/>
    <w:rsid w:val="00917413"/>
    <w:rsid w:val="00917662"/>
    <w:rsid w:val="00917BA2"/>
    <w:rsid w:val="00920044"/>
    <w:rsid w:val="009202F6"/>
    <w:rsid w:val="00920905"/>
    <w:rsid w:val="009215C6"/>
    <w:rsid w:val="009217DA"/>
    <w:rsid w:val="00921D4D"/>
    <w:rsid w:val="00922601"/>
    <w:rsid w:val="00922BAE"/>
    <w:rsid w:val="00922C9B"/>
    <w:rsid w:val="00922F69"/>
    <w:rsid w:val="009232F9"/>
    <w:rsid w:val="009238C3"/>
    <w:rsid w:val="00923901"/>
    <w:rsid w:val="00924767"/>
    <w:rsid w:val="00924A0D"/>
    <w:rsid w:val="00924C81"/>
    <w:rsid w:val="00925090"/>
    <w:rsid w:val="009250BB"/>
    <w:rsid w:val="00925A90"/>
    <w:rsid w:val="00925EC8"/>
    <w:rsid w:val="00925F7D"/>
    <w:rsid w:val="009263BF"/>
    <w:rsid w:val="0092649C"/>
    <w:rsid w:val="00926B41"/>
    <w:rsid w:val="00927141"/>
    <w:rsid w:val="009275D5"/>
    <w:rsid w:val="009276B1"/>
    <w:rsid w:val="009277EE"/>
    <w:rsid w:val="00927A39"/>
    <w:rsid w:val="00927C03"/>
    <w:rsid w:val="00927EFB"/>
    <w:rsid w:val="0093084E"/>
    <w:rsid w:val="00931961"/>
    <w:rsid w:val="00932209"/>
    <w:rsid w:val="00932335"/>
    <w:rsid w:val="00932E2A"/>
    <w:rsid w:val="00933494"/>
    <w:rsid w:val="00933502"/>
    <w:rsid w:val="00933767"/>
    <w:rsid w:val="00933B8A"/>
    <w:rsid w:val="00934177"/>
    <w:rsid w:val="009345C1"/>
    <w:rsid w:val="00934642"/>
    <w:rsid w:val="00934BB6"/>
    <w:rsid w:val="00934BDE"/>
    <w:rsid w:val="00934E1A"/>
    <w:rsid w:val="00935AED"/>
    <w:rsid w:val="009360CA"/>
    <w:rsid w:val="00936D82"/>
    <w:rsid w:val="009375F9"/>
    <w:rsid w:val="0093770B"/>
    <w:rsid w:val="0093784D"/>
    <w:rsid w:val="00937B52"/>
    <w:rsid w:val="00937E55"/>
    <w:rsid w:val="00940772"/>
    <w:rsid w:val="0094095E"/>
    <w:rsid w:val="00940BD1"/>
    <w:rsid w:val="00940D78"/>
    <w:rsid w:val="009410E0"/>
    <w:rsid w:val="0094114A"/>
    <w:rsid w:val="009418E8"/>
    <w:rsid w:val="00941A4B"/>
    <w:rsid w:val="00941B67"/>
    <w:rsid w:val="00941E13"/>
    <w:rsid w:val="00942626"/>
    <w:rsid w:val="0094334B"/>
    <w:rsid w:val="00943533"/>
    <w:rsid w:val="00943581"/>
    <w:rsid w:val="009435EC"/>
    <w:rsid w:val="00943A48"/>
    <w:rsid w:val="00943D92"/>
    <w:rsid w:val="00943E43"/>
    <w:rsid w:val="00944082"/>
    <w:rsid w:val="00944861"/>
    <w:rsid w:val="009449F1"/>
    <w:rsid w:val="00944D97"/>
    <w:rsid w:val="00944E06"/>
    <w:rsid w:val="009452C3"/>
    <w:rsid w:val="0094570A"/>
    <w:rsid w:val="00945921"/>
    <w:rsid w:val="00945AAA"/>
    <w:rsid w:val="009467E3"/>
    <w:rsid w:val="00946BF7"/>
    <w:rsid w:val="0094712E"/>
    <w:rsid w:val="009473C0"/>
    <w:rsid w:val="009475BB"/>
    <w:rsid w:val="009479A4"/>
    <w:rsid w:val="00950514"/>
    <w:rsid w:val="00950673"/>
    <w:rsid w:val="00950B33"/>
    <w:rsid w:val="0095159A"/>
    <w:rsid w:val="00951943"/>
    <w:rsid w:val="00951D51"/>
    <w:rsid w:val="00951FE5"/>
    <w:rsid w:val="009524F9"/>
    <w:rsid w:val="0095297E"/>
    <w:rsid w:val="00953797"/>
    <w:rsid w:val="00953B51"/>
    <w:rsid w:val="009540AD"/>
    <w:rsid w:val="00954A66"/>
    <w:rsid w:val="00954ABA"/>
    <w:rsid w:val="00955076"/>
    <w:rsid w:val="00955F3D"/>
    <w:rsid w:val="0095627D"/>
    <w:rsid w:val="00956293"/>
    <w:rsid w:val="009565F8"/>
    <w:rsid w:val="00957839"/>
    <w:rsid w:val="00957AF1"/>
    <w:rsid w:val="00957C92"/>
    <w:rsid w:val="00957F1F"/>
    <w:rsid w:val="00957F9B"/>
    <w:rsid w:val="00960A33"/>
    <w:rsid w:val="00960E06"/>
    <w:rsid w:val="00961053"/>
    <w:rsid w:val="0096132D"/>
    <w:rsid w:val="009615AB"/>
    <w:rsid w:val="00961C2A"/>
    <w:rsid w:val="00962845"/>
    <w:rsid w:val="00962D1E"/>
    <w:rsid w:val="00962F16"/>
    <w:rsid w:val="00963A1B"/>
    <w:rsid w:val="00963D8F"/>
    <w:rsid w:val="00963F57"/>
    <w:rsid w:val="00964411"/>
    <w:rsid w:val="00964D38"/>
    <w:rsid w:val="00965CBB"/>
    <w:rsid w:val="00966C87"/>
    <w:rsid w:val="00966CFA"/>
    <w:rsid w:val="00966DDE"/>
    <w:rsid w:val="0096757E"/>
    <w:rsid w:val="00970594"/>
    <w:rsid w:val="00970EAC"/>
    <w:rsid w:val="00970EB4"/>
    <w:rsid w:val="00971251"/>
    <w:rsid w:val="009712EF"/>
    <w:rsid w:val="00971339"/>
    <w:rsid w:val="00971BBA"/>
    <w:rsid w:val="00971D89"/>
    <w:rsid w:val="009725AD"/>
    <w:rsid w:val="0097276E"/>
    <w:rsid w:val="0097279D"/>
    <w:rsid w:val="00972C34"/>
    <w:rsid w:val="00972DB9"/>
    <w:rsid w:val="00972F2B"/>
    <w:rsid w:val="009730D3"/>
    <w:rsid w:val="009732DC"/>
    <w:rsid w:val="009734F3"/>
    <w:rsid w:val="00973E6A"/>
    <w:rsid w:val="00973FFF"/>
    <w:rsid w:val="00974086"/>
    <w:rsid w:val="009740FF"/>
    <w:rsid w:val="00974185"/>
    <w:rsid w:val="009746F9"/>
    <w:rsid w:val="00974CE3"/>
    <w:rsid w:val="00974E60"/>
    <w:rsid w:val="0097536B"/>
    <w:rsid w:val="0097539F"/>
    <w:rsid w:val="00975868"/>
    <w:rsid w:val="009764D7"/>
    <w:rsid w:val="0097673D"/>
    <w:rsid w:val="00976978"/>
    <w:rsid w:val="0097774F"/>
    <w:rsid w:val="0097777A"/>
    <w:rsid w:val="00977EFE"/>
    <w:rsid w:val="009802C9"/>
    <w:rsid w:val="009805A2"/>
    <w:rsid w:val="009806D2"/>
    <w:rsid w:val="009808EC"/>
    <w:rsid w:val="00980A71"/>
    <w:rsid w:val="00980CA9"/>
    <w:rsid w:val="00980D72"/>
    <w:rsid w:val="00981940"/>
    <w:rsid w:val="0098206A"/>
    <w:rsid w:val="00982398"/>
    <w:rsid w:val="0098255C"/>
    <w:rsid w:val="00982820"/>
    <w:rsid w:val="00982838"/>
    <w:rsid w:val="0098285E"/>
    <w:rsid w:val="00982AC5"/>
    <w:rsid w:val="00982D94"/>
    <w:rsid w:val="00982EB6"/>
    <w:rsid w:val="009840E4"/>
    <w:rsid w:val="009843E7"/>
    <w:rsid w:val="009847F6"/>
    <w:rsid w:val="00984A0A"/>
    <w:rsid w:val="00985446"/>
    <w:rsid w:val="0098593D"/>
    <w:rsid w:val="0098601D"/>
    <w:rsid w:val="009861F3"/>
    <w:rsid w:val="0098659C"/>
    <w:rsid w:val="009875CC"/>
    <w:rsid w:val="00987C81"/>
    <w:rsid w:val="00987D33"/>
    <w:rsid w:val="00987E45"/>
    <w:rsid w:val="00990BFB"/>
    <w:rsid w:val="009915EA"/>
    <w:rsid w:val="00991647"/>
    <w:rsid w:val="00991A44"/>
    <w:rsid w:val="00991CF2"/>
    <w:rsid w:val="00991D60"/>
    <w:rsid w:val="00992226"/>
    <w:rsid w:val="00992373"/>
    <w:rsid w:val="00992B7E"/>
    <w:rsid w:val="00992CCB"/>
    <w:rsid w:val="0099334E"/>
    <w:rsid w:val="0099346B"/>
    <w:rsid w:val="00993D26"/>
    <w:rsid w:val="00993E68"/>
    <w:rsid w:val="00993F98"/>
    <w:rsid w:val="0099410C"/>
    <w:rsid w:val="00994340"/>
    <w:rsid w:val="00994420"/>
    <w:rsid w:val="00994518"/>
    <w:rsid w:val="00995291"/>
    <w:rsid w:val="009952AB"/>
    <w:rsid w:val="00995381"/>
    <w:rsid w:val="00995536"/>
    <w:rsid w:val="00995604"/>
    <w:rsid w:val="009958A9"/>
    <w:rsid w:val="00996050"/>
    <w:rsid w:val="009962C0"/>
    <w:rsid w:val="009967B6"/>
    <w:rsid w:val="00997066"/>
    <w:rsid w:val="0099769F"/>
    <w:rsid w:val="00997CB6"/>
    <w:rsid w:val="00997E28"/>
    <w:rsid w:val="009A002C"/>
    <w:rsid w:val="009A01B2"/>
    <w:rsid w:val="009A06E3"/>
    <w:rsid w:val="009A1BF2"/>
    <w:rsid w:val="009A1ECE"/>
    <w:rsid w:val="009A2D29"/>
    <w:rsid w:val="009A3021"/>
    <w:rsid w:val="009A3EC3"/>
    <w:rsid w:val="009A46DB"/>
    <w:rsid w:val="009A4803"/>
    <w:rsid w:val="009A49CB"/>
    <w:rsid w:val="009A50BC"/>
    <w:rsid w:val="009A541B"/>
    <w:rsid w:val="009A632C"/>
    <w:rsid w:val="009A638B"/>
    <w:rsid w:val="009A6A25"/>
    <w:rsid w:val="009A6B60"/>
    <w:rsid w:val="009A6E39"/>
    <w:rsid w:val="009A7EC0"/>
    <w:rsid w:val="009B0297"/>
    <w:rsid w:val="009B04EC"/>
    <w:rsid w:val="009B06EB"/>
    <w:rsid w:val="009B0A3E"/>
    <w:rsid w:val="009B0D2A"/>
    <w:rsid w:val="009B0E10"/>
    <w:rsid w:val="009B0F06"/>
    <w:rsid w:val="009B1F59"/>
    <w:rsid w:val="009B1FA3"/>
    <w:rsid w:val="009B2606"/>
    <w:rsid w:val="009B2702"/>
    <w:rsid w:val="009B383E"/>
    <w:rsid w:val="009B3931"/>
    <w:rsid w:val="009B3D92"/>
    <w:rsid w:val="009B3F69"/>
    <w:rsid w:val="009B40AD"/>
    <w:rsid w:val="009B426C"/>
    <w:rsid w:val="009B4863"/>
    <w:rsid w:val="009B4D8D"/>
    <w:rsid w:val="009B52FA"/>
    <w:rsid w:val="009B5317"/>
    <w:rsid w:val="009B53D0"/>
    <w:rsid w:val="009B53F9"/>
    <w:rsid w:val="009B5A86"/>
    <w:rsid w:val="009B608F"/>
    <w:rsid w:val="009B6B60"/>
    <w:rsid w:val="009B7424"/>
    <w:rsid w:val="009C00CB"/>
    <w:rsid w:val="009C0AD5"/>
    <w:rsid w:val="009C1650"/>
    <w:rsid w:val="009C1A59"/>
    <w:rsid w:val="009C1C0E"/>
    <w:rsid w:val="009C1E2F"/>
    <w:rsid w:val="009C1F29"/>
    <w:rsid w:val="009C2088"/>
    <w:rsid w:val="009C20C7"/>
    <w:rsid w:val="009C2156"/>
    <w:rsid w:val="009C2415"/>
    <w:rsid w:val="009C25A1"/>
    <w:rsid w:val="009C28F5"/>
    <w:rsid w:val="009C2D31"/>
    <w:rsid w:val="009C3574"/>
    <w:rsid w:val="009C39F1"/>
    <w:rsid w:val="009C3B37"/>
    <w:rsid w:val="009C3D44"/>
    <w:rsid w:val="009C3EA8"/>
    <w:rsid w:val="009C4FD6"/>
    <w:rsid w:val="009C50D4"/>
    <w:rsid w:val="009C5227"/>
    <w:rsid w:val="009C57F5"/>
    <w:rsid w:val="009C63E0"/>
    <w:rsid w:val="009C6DA1"/>
    <w:rsid w:val="009C7082"/>
    <w:rsid w:val="009C7784"/>
    <w:rsid w:val="009C7F38"/>
    <w:rsid w:val="009D00AA"/>
    <w:rsid w:val="009D028E"/>
    <w:rsid w:val="009D0457"/>
    <w:rsid w:val="009D04AB"/>
    <w:rsid w:val="009D057C"/>
    <w:rsid w:val="009D0E5D"/>
    <w:rsid w:val="009D12DD"/>
    <w:rsid w:val="009D16EE"/>
    <w:rsid w:val="009D1F10"/>
    <w:rsid w:val="009D205D"/>
    <w:rsid w:val="009D2219"/>
    <w:rsid w:val="009D2C0E"/>
    <w:rsid w:val="009D3AAD"/>
    <w:rsid w:val="009D3AD0"/>
    <w:rsid w:val="009D458E"/>
    <w:rsid w:val="009D4730"/>
    <w:rsid w:val="009D493D"/>
    <w:rsid w:val="009D4A98"/>
    <w:rsid w:val="009D4F13"/>
    <w:rsid w:val="009D4F33"/>
    <w:rsid w:val="009D51E7"/>
    <w:rsid w:val="009D586D"/>
    <w:rsid w:val="009D5D5C"/>
    <w:rsid w:val="009D6125"/>
    <w:rsid w:val="009D633C"/>
    <w:rsid w:val="009D63BE"/>
    <w:rsid w:val="009D6511"/>
    <w:rsid w:val="009D663F"/>
    <w:rsid w:val="009D6C2E"/>
    <w:rsid w:val="009D7042"/>
    <w:rsid w:val="009D7937"/>
    <w:rsid w:val="009D79B7"/>
    <w:rsid w:val="009D79D5"/>
    <w:rsid w:val="009D7C2B"/>
    <w:rsid w:val="009D7E2F"/>
    <w:rsid w:val="009E02B6"/>
    <w:rsid w:val="009E062F"/>
    <w:rsid w:val="009E09CA"/>
    <w:rsid w:val="009E0FFE"/>
    <w:rsid w:val="009E1736"/>
    <w:rsid w:val="009E207E"/>
    <w:rsid w:val="009E264B"/>
    <w:rsid w:val="009E2AC3"/>
    <w:rsid w:val="009E2DAD"/>
    <w:rsid w:val="009E3169"/>
    <w:rsid w:val="009E3367"/>
    <w:rsid w:val="009E3759"/>
    <w:rsid w:val="009E45A9"/>
    <w:rsid w:val="009E46C9"/>
    <w:rsid w:val="009E4786"/>
    <w:rsid w:val="009E47C1"/>
    <w:rsid w:val="009E4A35"/>
    <w:rsid w:val="009E53A7"/>
    <w:rsid w:val="009E55AA"/>
    <w:rsid w:val="009E6126"/>
    <w:rsid w:val="009E614C"/>
    <w:rsid w:val="009E6499"/>
    <w:rsid w:val="009E64B1"/>
    <w:rsid w:val="009E6F0C"/>
    <w:rsid w:val="009E7439"/>
    <w:rsid w:val="009E78B1"/>
    <w:rsid w:val="009E79B0"/>
    <w:rsid w:val="009E7A9B"/>
    <w:rsid w:val="009E7AA6"/>
    <w:rsid w:val="009F1817"/>
    <w:rsid w:val="009F381F"/>
    <w:rsid w:val="009F3989"/>
    <w:rsid w:val="009F3F66"/>
    <w:rsid w:val="009F4807"/>
    <w:rsid w:val="009F4E59"/>
    <w:rsid w:val="009F51EC"/>
    <w:rsid w:val="009F578C"/>
    <w:rsid w:val="009F5909"/>
    <w:rsid w:val="009F5B33"/>
    <w:rsid w:val="009F5C20"/>
    <w:rsid w:val="009F600B"/>
    <w:rsid w:val="009F669E"/>
    <w:rsid w:val="009F710B"/>
    <w:rsid w:val="009F748C"/>
    <w:rsid w:val="009F77A6"/>
    <w:rsid w:val="009F7F2B"/>
    <w:rsid w:val="00A00B5A"/>
    <w:rsid w:val="00A00CEA"/>
    <w:rsid w:val="00A01118"/>
    <w:rsid w:val="00A0173E"/>
    <w:rsid w:val="00A019F7"/>
    <w:rsid w:val="00A01C1E"/>
    <w:rsid w:val="00A01CED"/>
    <w:rsid w:val="00A01E58"/>
    <w:rsid w:val="00A02028"/>
    <w:rsid w:val="00A0274B"/>
    <w:rsid w:val="00A02AC2"/>
    <w:rsid w:val="00A02C1F"/>
    <w:rsid w:val="00A034FC"/>
    <w:rsid w:val="00A035C1"/>
    <w:rsid w:val="00A0408A"/>
    <w:rsid w:val="00A04114"/>
    <w:rsid w:val="00A041D0"/>
    <w:rsid w:val="00A04709"/>
    <w:rsid w:val="00A04804"/>
    <w:rsid w:val="00A0484E"/>
    <w:rsid w:val="00A048BC"/>
    <w:rsid w:val="00A04ADB"/>
    <w:rsid w:val="00A0583E"/>
    <w:rsid w:val="00A05B93"/>
    <w:rsid w:val="00A05FBA"/>
    <w:rsid w:val="00A06379"/>
    <w:rsid w:val="00A07E69"/>
    <w:rsid w:val="00A1001B"/>
    <w:rsid w:val="00A1064A"/>
    <w:rsid w:val="00A10D0B"/>
    <w:rsid w:val="00A10E31"/>
    <w:rsid w:val="00A110E8"/>
    <w:rsid w:val="00A111CF"/>
    <w:rsid w:val="00A125A9"/>
    <w:rsid w:val="00A127E2"/>
    <w:rsid w:val="00A12A0B"/>
    <w:rsid w:val="00A1317D"/>
    <w:rsid w:val="00A13733"/>
    <w:rsid w:val="00A13A8B"/>
    <w:rsid w:val="00A13AFF"/>
    <w:rsid w:val="00A13B90"/>
    <w:rsid w:val="00A13D6B"/>
    <w:rsid w:val="00A13E0F"/>
    <w:rsid w:val="00A13E53"/>
    <w:rsid w:val="00A1446C"/>
    <w:rsid w:val="00A144E2"/>
    <w:rsid w:val="00A14AFE"/>
    <w:rsid w:val="00A14C25"/>
    <w:rsid w:val="00A14F56"/>
    <w:rsid w:val="00A151CE"/>
    <w:rsid w:val="00A15353"/>
    <w:rsid w:val="00A154F7"/>
    <w:rsid w:val="00A15737"/>
    <w:rsid w:val="00A157AD"/>
    <w:rsid w:val="00A158AD"/>
    <w:rsid w:val="00A15A72"/>
    <w:rsid w:val="00A1604A"/>
    <w:rsid w:val="00A1632B"/>
    <w:rsid w:val="00A16970"/>
    <w:rsid w:val="00A16A47"/>
    <w:rsid w:val="00A16C4B"/>
    <w:rsid w:val="00A16F68"/>
    <w:rsid w:val="00A171A0"/>
    <w:rsid w:val="00A178D4"/>
    <w:rsid w:val="00A17ACD"/>
    <w:rsid w:val="00A208A3"/>
    <w:rsid w:val="00A20B28"/>
    <w:rsid w:val="00A21009"/>
    <w:rsid w:val="00A2103A"/>
    <w:rsid w:val="00A212A9"/>
    <w:rsid w:val="00A2163C"/>
    <w:rsid w:val="00A218F2"/>
    <w:rsid w:val="00A21F0E"/>
    <w:rsid w:val="00A2255C"/>
    <w:rsid w:val="00A22C4B"/>
    <w:rsid w:val="00A22E5F"/>
    <w:rsid w:val="00A22EA0"/>
    <w:rsid w:val="00A22EED"/>
    <w:rsid w:val="00A23102"/>
    <w:rsid w:val="00A23DFE"/>
    <w:rsid w:val="00A23F33"/>
    <w:rsid w:val="00A245A5"/>
    <w:rsid w:val="00A2466D"/>
    <w:rsid w:val="00A24B9B"/>
    <w:rsid w:val="00A24F37"/>
    <w:rsid w:val="00A253EB"/>
    <w:rsid w:val="00A256B2"/>
    <w:rsid w:val="00A25EE4"/>
    <w:rsid w:val="00A26EF8"/>
    <w:rsid w:val="00A275A4"/>
    <w:rsid w:val="00A300D3"/>
    <w:rsid w:val="00A3093A"/>
    <w:rsid w:val="00A30DC4"/>
    <w:rsid w:val="00A31BDA"/>
    <w:rsid w:val="00A31EC9"/>
    <w:rsid w:val="00A31F3B"/>
    <w:rsid w:val="00A32CEE"/>
    <w:rsid w:val="00A32D83"/>
    <w:rsid w:val="00A33310"/>
    <w:rsid w:val="00A338AA"/>
    <w:rsid w:val="00A339A3"/>
    <w:rsid w:val="00A33C0B"/>
    <w:rsid w:val="00A345B9"/>
    <w:rsid w:val="00A34939"/>
    <w:rsid w:val="00A34A09"/>
    <w:rsid w:val="00A34CF2"/>
    <w:rsid w:val="00A34EEA"/>
    <w:rsid w:val="00A3530C"/>
    <w:rsid w:val="00A35906"/>
    <w:rsid w:val="00A35930"/>
    <w:rsid w:val="00A35BA5"/>
    <w:rsid w:val="00A36B9F"/>
    <w:rsid w:val="00A36C91"/>
    <w:rsid w:val="00A40672"/>
    <w:rsid w:val="00A407B9"/>
    <w:rsid w:val="00A40BA0"/>
    <w:rsid w:val="00A40C6F"/>
    <w:rsid w:val="00A41E79"/>
    <w:rsid w:val="00A42A1D"/>
    <w:rsid w:val="00A42C9D"/>
    <w:rsid w:val="00A43104"/>
    <w:rsid w:val="00A43DCB"/>
    <w:rsid w:val="00A43DDE"/>
    <w:rsid w:val="00A447BD"/>
    <w:rsid w:val="00A449CA"/>
    <w:rsid w:val="00A44B02"/>
    <w:rsid w:val="00A44D51"/>
    <w:rsid w:val="00A46B45"/>
    <w:rsid w:val="00A46BD3"/>
    <w:rsid w:val="00A46CEF"/>
    <w:rsid w:val="00A46F3E"/>
    <w:rsid w:val="00A4719E"/>
    <w:rsid w:val="00A471A5"/>
    <w:rsid w:val="00A471B1"/>
    <w:rsid w:val="00A47482"/>
    <w:rsid w:val="00A47BD8"/>
    <w:rsid w:val="00A50B0A"/>
    <w:rsid w:val="00A5101E"/>
    <w:rsid w:val="00A51816"/>
    <w:rsid w:val="00A51F67"/>
    <w:rsid w:val="00A528B1"/>
    <w:rsid w:val="00A52AFC"/>
    <w:rsid w:val="00A5383E"/>
    <w:rsid w:val="00A53C3F"/>
    <w:rsid w:val="00A5583A"/>
    <w:rsid w:val="00A559D0"/>
    <w:rsid w:val="00A55C74"/>
    <w:rsid w:val="00A57637"/>
    <w:rsid w:val="00A57679"/>
    <w:rsid w:val="00A57779"/>
    <w:rsid w:val="00A579B8"/>
    <w:rsid w:val="00A57EAF"/>
    <w:rsid w:val="00A57F18"/>
    <w:rsid w:val="00A601C8"/>
    <w:rsid w:val="00A605B3"/>
    <w:rsid w:val="00A608A9"/>
    <w:rsid w:val="00A60B1F"/>
    <w:rsid w:val="00A612B7"/>
    <w:rsid w:val="00A61CBD"/>
    <w:rsid w:val="00A61CD2"/>
    <w:rsid w:val="00A6214B"/>
    <w:rsid w:val="00A6229A"/>
    <w:rsid w:val="00A62D41"/>
    <w:rsid w:val="00A6438C"/>
    <w:rsid w:val="00A64A10"/>
    <w:rsid w:val="00A64CCD"/>
    <w:rsid w:val="00A64CE9"/>
    <w:rsid w:val="00A6522A"/>
    <w:rsid w:val="00A653C3"/>
    <w:rsid w:val="00A654CF"/>
    <w:rsid w:val="00A6578B"/>
    <w:rsid w:val="00A65819"/>
    <w:rsid w:val="00A65D65"/>
    <w:rsid w:val="00A65EEE"/>
    <w:rsid w:val="00A666D4"/>
    <w:rsid w:val="00A6694E"/>
    <w:rsid w:val="00A66B91"/>
    <w:rsid w:val="00A66D1C"/>
    <w:rsid w:val="00A670B3"/>
    <w:rsid w:val="00A672F4"/>
    <w:rsid w:val="00A67441"/>
    <w:rsid w:val="00A67D23"/>
    <w:rsid w:val="00A67EB4"/>
    <w:rsid w:val="00A70329"/>
    <w:rsid w:val="00A70506"/>
    <w:rsid w:val="00A70798"/>
    <w:rsid w:val="00A70DE7"/>
    <w:rsid w:val="00A72317"/>
    <w:rsid w:val="00A72350"/>
    <w:rsid w:val="00A72378"/>
    <w:rsid w:val="00A723A2"/>
    <w:rsid w:val="00A72449"/>
    <w:rsid w:val="00A72D0B"/>
    <w:rsid w:val="00A72DFD"/>
    <w:rsid w:val="00A72E52"/>
    <w:rsid w:val="00A73697"/>
    <w:rsid w:val="00A74853"/>
    <w:rsid w:val="00A74869"/>
    <w:rsid w:val="00A74ABD"/>
    <w:rsid w:val="00A74EC9"/>
    <w:rsid w:val="00A74F2C"/>
    <w:rsid w:val="00A75286"/>
    <w:rsid w:val="00A757C0"/>
    <w:rsid w:val="00A75819"/>
    <w:rsid w:val="00A758C4"/>
    <w:rsid w:val="00A76343"/>
    <w:rsid w:val="00A76A3B"/>
    <w:rsid w:val="00A7702E"/>
    <w:rsid w:val="00A77867"/>
    <w:rsid w:val="00A779FF"/>
    <w:rsid w:val="00A77A33"/>
    <w:rsid w:val="00A77F64"/>
    <w:rsid w:val="00A800A3"/>
    <w:rsid w:val="00A800B1"/>
    <w:rsid w:val="00A80685"/>
    <w:rsid w:val="00A80747"/>
    <w:rsid w:val="00A808D1"/>
    <w:rsid w:val="00A80BB1"/>
    <w:rsid w:val="00A81160"/>
    <w:rsid w:val="00A8130E"/>
    <w:rsid w:val="00A81BF6"/>
    <w:rsid w:val="00A82128"/>
    <w:rsid w:val="00A82296"/>
    <w:rsid w:val="00A83168"/>
    <w:rsid w:val="00A83328"/>
    <w:rsid w:val="00A8334F"/>
    <w:rsid w:val="00A835C5"/>
    <w:rsid w:val="00A83772"/>
    <w:rsid w:val="00A83B4E"/>
    <w:rsid w:val="00A84661"/>
    <w:rsid w:val="00A84BEC"/>
    <w:rsid w:val="00A84CA6"/>
    <w:rsid w:val="00A8511E"/>
    <w:rsid w:val="00A8588D"/>
    <w:rsid w:val="00A85896"/>
    <w:rsid w:val="00A8628A"/>
    <w:rsid w:val="00A86455"/>
    <w:rsid w:val="00A868E3"/>
    <w:rsid w:val="00A86A39"/>
    <w:rsid w:val="00A87923"/>
    <w:rsid w:val="00A87C1C"/>
    <w:rsid w:val="00A87CC8"/>
    <w:rsid w:val="00A901BE"/>
    <w:rsid w:val="00A90257"/>
    <w:rsid w:val="00A902BD"/>
    <w:rsid w:val="00A90A66"/>
    <w:rsid w:val="00A90C96"/>
    <w:rsid w:val="00A90E0C"/>
    <w:rsid w:val="00A90E36"/>
    <w:rsid w:val="00A91964"/>
    <w:rsid w:val="00A91971"/>
    <w:rsid w:val="00A91C2B"/>
    <w:rsid w:val="00A91E7E"/>
    <w:rsid w:val="00A9217C"/>
    <w:rsid w:val="00A92C04"/>
    <w:rsid w:val="00A92DC3"/>
    <w:rsid w:val="00A93262"/>
    <w:rsid w:val="00A93467"/>
    <w:rsid w:val="00A93D67"/>
    <w:rsid w:val="00A93E44"/>
    <w:rsid w:val="00A94A5E"/>
    <w:rsid w:val="00A94EC6"/>
    <w:rsid w:val="00A958FF"/>
    <w:rsid w:val="00A95C0D"/>
    <w:rsid w:val="00A95FB6"/>
    <w:rsid w:val="00A95FE5"/>
    <w:rsid w:val="00A96158"/>
    <w:rsid w:val="00A9620E"/>
    <w:rsid w:val="00A962A2"/>
    <w:rsid w:val="00A96626"/>
    <w:rsid w:val="00A966A5"/>
    <w:rsid w:val="00A96BF3"/>
    <w:rsid w:val="00A979FE"/>
    <w:rsid w:val="00A97A26"/>
    <w:rsid w:val="00A97D3A"/>
    <w:rsid w:val="00AA021B"/>
    <w:rsid w:val="00AA0CCE"/>
    <w:rsid w:val="00AA10C1"/>
    <w:rsid w:val="00AA13F9"/>
    <w:rsid w:val="00AA156D"/>
    <w:rsid w:val="00AA15CB"/>
    <w:rsid w:val="00AA1B97"/>
    <w:rsid w:val="00AA1CEF"/>
    <w:rsid w:val="00AA1EFF"/>
    <w:rsid w:val="00AA217F"/>
    <w:rsid w:val="00AA2D46"/>
    <w:rsid w:val="00AA340F"/>
    <w:rsid w:val="00AA3D7F"/>
    <w:rsid w:val="00AA429C"/>
    <w:rsid w:val="00AA51BE"/>
    <w:rsid w:val="00AA528C"/>
    <w:rsid w:val="00AA544F"/>
    <w:rsid w:val="00AA5B7D"/>
    <w:rsid w:val="00AA5F54"/>
    <w:rsid w:val="00AA6046"/>
    <w:rsid w:val="00AA63FF"/>
    <w:rsid w:val="00AA65DA"/>
    <w:rsid w:val="00AA75F7"/>
    <w:rsid w:val="00AA76E4"/>
    <w:rsid w:val="00AB045B"/>
    <w:rsid w:val="00AB0B28"/>
    <w:rsid w:val="00AB1577"/>
    <w:rsid w:val="00AB16D5"/>
    <w:rsid w:val="00AB1E5D"/>
    <w:rsid w:val="00AB1EF9"/>
    <w:rsid w:val="00AB1F7A"/>
    <w:rsid w:val="00AB21D7"/>
    <w:rsid w:val="00AB2669"/>
    <w:rsid w:val="00AB2908"/>
    <w:rsid w:val="00AB2A46"/>
    <w:rsid w:val="00AB2D43"/>
    <w:rsid w:val="00AB37C8"/>
    <w:rsid w:val="00AB3844"/>
    <w:rsid w:val="00AB3DBC"/>
    <w:rsid w:val="00AB3FC5"/>
    <w:rsid w:val="00AB465D"/>
    <w:rsid w:val="00AB59C6"/>
    <w:rsid w:val="00AB5D10"/>
    <w:rsid w:val="00AB5D79"/>
    <w:rsid w:val="00AB5F5D"/>
    <w:rsid w:val="00AB6D35"/>
    <w:rsid w:val="00AB71D4"/>
    <w:rsid w:val="00AB726C"/>
    <w:rsid w:val="00AB73C3"/>
    <w:rsid w:val="00AB7FE8"/>
    <w:rsid w:val="00AC00DC"/>
    <w:rsid w:val="00AC00FF"/>
    <w:rsid w:val="00AC024D"/>
    <w:rsid w:val="00AC0DC5"/>
    <w:rsid w:val="00AC1FA5"/>
    <w:rsid w:val="00AC20AB"/>
    <w:rsid w:val="00AC210C"/>
    <w:rsid w:val="00AC2110"/>
    <w:rsid w:val="00AC247D"/>
    <w:rsid w:val="00AC26A4"/>
    <w:rsid w:val="00AC2997"/>
    <w:rsid w:val="00AC29C4"/>
    <w:rsid w:val="00AC2BAA"/>
    <w:rsid w:val="00AC2F2D"/>
    <w:rsid w:val="00AC33D9"/>
    <w:rsid w:val="00AC3B12"/>
    <w:rsid w:val="00AC3CC6"/>
    <w:rsid w:val="00AC3D0F"/>
    <w:rsid w:val="00AC3F76"/>
    <w:rsid w:val="00AC3FD5"/>
    <w:rsid w:val="00AC43C3"/>
    <w:rsid w:val="00AC4434"/>
    <w:rsid w:val="00AC4749"/>
    <w:rsid w:val="00AC55C2"/>
    <w:rsid w:val="00AC55F7"/>
    <w:rsid w:val="00AC5784"/>
    <w:rsid w:val="00AC61E1"/>
    <w:rsid w:val="00AC6848"/>
    <w:rsid w:val="00AC6C19"/>
    <w:rsid w:val="00AC6FC6"/>
    <w:rsid w:val="00AC7731"/>
    <w:rsid w:val="00AC7A35"/>
    <w:rsid w:val="00AD0379"/>
    <w:rsid w:val="00AD0ACB"/>
    <w:rsid w:val="00AD131B"/>
    <w:rsid w:val="00AD166D"/>
    <w:rsid w:val="00AD1B28"/>
    <w:rsid w:val="00AD1E53"/>
    <w:rsid w:val="00AD2580"/>
    <w:rsid w:val="00AD2770"/>
    <w:rsid w:val="00AD2AC9"/>
    <w:rsid w:val="00AD2B0D"/>
    <w:rsid w:val="00AD3761"/>
    <w:rsid w:val="00AD3792"/>
    <w:rsid w:val="00AD3A6B"/>
    <w:rsid w:val="00AD3AFA"/>
    <w:rsid w:val="00AD3C0A"/>
    <w:rsid w:val="00AD3D2D"/>
    <w:rsid w:val="00AD3E26"/>
    <w:rsid w:val="00AD40D7"/>
    <w:rsid w:val="00AD438D"/>
    <w:rsid w:val="00AD4C88"/>
    <w:rsid w:val="00AD6110"/>
    <w:rsid w:val="00AD67A1"/>
    <w:rsid w:val="00AD7006"/>
    <w:rsid w:val="00AD7B4F"/>
    <w:rsid w:val="00AE061A"/>
    <w:rsid w:val="00AE0A4C"/>
    <w:rsid w:val="00AE1073"/>
    <w:rsid w:val="00AE10D9"/>
    <w:rsid w:val="00AE16A1"/>
    <w:rsid w:val="00AE1EC7"/>
    <w:rsid w:val="00AE207B"/>
    <w:rsid w:val="00AE25DB"/>
    <w:rsid w:val="00AE2A4F"/>
    <w:rsid w:val="00AE2AF6"/>
    <w:rsid w:val="00AE2F99"/>
    <w:rsid w:val="00AE2FB7"/>
    <w:rsid w:val="00AE32EE"/>
    <w:rsid w:val="00AE3328"/>
    <w:rsid w:val="00AE3752"/>
    <w:rsid w:val="00AE3A76"/>
    <w:rsid w:val="00AE3B34"/>
    <w:rsid w:val="00AE3E4D"/>
    <w:rsid w:val="00AE4155"/>
    <w:rsid w:val="00AE4291"/>
    <w:rsid w:val="00AE47A3"/>
    <w:rsid w:val="00AE4934"/>
    <w:rsid w:val="00AE4AF2"/>
    <w:rsid w:val="00AE55C4"/>
    <w:rsid w:val="00AE58F4"/>
    <w:rsid w:val="00AE6466"/>
    <w:rsid w:val="00AE65D6"/>
    <w:rsid w:val="00AE6D54"/>
    <w:rsid w:val="00AE6DED"/>
    <w:rsid w:val="00AE74AE"/>
    <w:rsid w:val="00AE793F"/>
    <w:rsid w:val="00AF02B5"/>
    <w:rsid w:val="00AF040B"/>
    <w:rsid w:val="00AF10BE"/>
    <w:rsid w:val="00AF19C0"/>
    <w:rsid w:val="00AF209D"/>
    <w:rsid w:val="00AF2367"/>
    <w:rsid w:val="00AF2659"/>
    <w:rsid w:val="00AF3020"/>
    <w:rsid w:val="00AF39F7"/>
    <w:rsid w:val="00AF3B67"/>
    <w:rsid w:val="00AF3CC5"/>
    <w:rsid w:val="00AF3FC4"/>
    <w:rsid w:val="00AF4552"/>
    <w:rsid w:val="00AF4BD0"/>
    <w:rsid w:val="00AF4C9E"/>
    <w:rsid w:val="00AF5019"/>
    <w:rsid w:val="00AF5345"/>
    <w:rsid w:val="00AF6436"/>
    <w:rsid w:val="00AF6549"/>
    <w:rsid w:val="00AF6CBE"/>
    <w:rsid w:val="00AF6F35"/>
    <w:rsid w:val="00AF74CA"/>
    <w:rsid w:val="00AF7616"/>
    <w:rsid w:val="00AF77ED"/>
    <w:rsid w:val="00AF7F00"/>
    <w:rsid w:val="00AF7F3C"/>
    <w:rsid w:val="00B009B5"/>
    <w:rsid w:val="00B00D69"/>
    <w:rsid w:val="00B0105A"/>
    <w:rsid w:val="00B0118A"/>
    <w:rsid w:val="00B011E0"/>
    <w:rsid w:val="00B0166B"/>
    <w:rsid w:val="00B01683"/>
    <w:rsid w:val="00B017E9"/>
    <w:rsid w:val="00B01D99"/>
    <w:rsid w:val="00B02351"/>
    <w:rsid w:val="00B02844"/>
    <w:rsid w:val="00B029A5"/>
    <w:rsid w:val="00B03464"/>
    <w:rsid w:val="00B03E31"/>
    <w:rsid w:val="00B03FB8"/>
    <w:rsid w:val="00B041C9"/>
    <w:rsid w:val="00B04C1B"/>
    <w:rsid w:val="00B04D8E"/>
    <w:rsid w:val="00B05369"/>
    <w:rsid w:val="00B054F6"/>
    <w:rsid w:val="00B0571E"/>
    <w:rsid w:val="00B058CB"/>
    <w:rsid w:val="00B05CFB"/>
    <w:rsid w:val="00B06455"/>
    <w:rsid w:val="00B070FE"/>
    <w:rsid w:val="00B07427"/>
    <w:rsid w:val="00B07734"/>
    <w:rsid w:val="00B077E9"/>
    <w:rsid w:val="00B078A2"/>
    <w:rsid w:val="00B10082"/>
    <w:rsid w:val="00B1151D"/>
    <w:rsid w:val="00B115C0"/>
    <w:rsid w:val="00B11944"/>
    <w:rsid w:val="00B12566"/>
    <w:rsid w:val="00B13642"/>
    <w:rsid w:val="00B138E8"/>
    <w:rsid w:val="00B13CA9"/>
    <w:rsid w:val="00B13E61"/>
    <w:rsid w:val="00B146FD"/>
    <w:rsid w:val="00B147B9"/>
    <w:rsid w:val="00B151F5"/>
    <w:rsid w:val="00B15707"/>
    <w:rsid w:val="00B158E9"/>
    <w:rsid w:val="00B15F43"/>
    <w:rsid w:val="00B1633B"/>
    <w:rsid w:val="00B16808"/>
    <w:rsid w:val="00B17093"/>
    <w:rsid w:val="00B17439"/>
    <w:rsid w:val="00B17B8C"/>
    <w:rsid w:val="00B17ED8"/>
    <w:rsid w:val="00B202E0"/>
    <w:rsid w:val="00B20440"/>
    <w:rsid w:val="00B20480"/>
    <w:rsid w:val="00B207CD"/>
    <w:rsid w:val="00B215A1"/>
    <w:rsid w:val="00B21A43"/>
    <w:rsid w:val="00B21D1B"/>
    <w:rsid w:val="00B232A6"/>
    <w:rsid w:val="00B23F31"/>
    <w:rsid w:val="00B242BE"/>
    <w:rsid w:val="00B24F68"/>
    <w:rsid w:val="00B25094"/>
    <w:rsid w:val="00B2530D"/>
    <w:rsid w:val="00B2561E"/>
    <w:rsid w:val="00B25B02"/>
    <w:rsid w:val="00B25B6B"/>
    <w:rsid w:val="00B25DEE"/>
    <w:rsid w:val="00B25F73"/>
    <w:rsid w:val="00B26498"/>
    <w:rsid w:val="00B26D9B"/>
    <w:rsid w:val="00B26E8D"/>
    <w:rsid w:val="00B26FDF"/>
    <w:rsid w:val="00B27440"/>
    <w:rsid w:val="00B274C1"/>
    <w:rsid w:val="00B27874"/>
    <w:rsid w:val="00B27A28"/>
    <w:rsid w:val="00B27D1B"/>
    <w:rsid w:val="00B27DD9"/>
    <w:rsid w:val="00B27E97"/>
    <w:rsid w:val="00B27F4E"/>
    <w:rsid w:val="00B3044A"/>
    <w:rsid w:val="00B304A0"/>
    <w:rsid w:val="00B305D4"/>
    <w:rsid w:val="00B30651"/>
    <w:rsid w:val="00B3073F"/>
    <w:rsid w:val="00B307BC"/>
    <w:rsid w:val="00B31029"/>
    <w:rsid w:val="00B3139D"/>
    <w:rsid w:val="00B3174E"/>
    <w:rsid w:val="00B31A7B"/>
    <w:rsid w:val="00B3227F"/>
    <w:rsid w:val="00B32286"/>
    <w:rsid w:val="00B323A8"/>
    <w:rsid w:val="00B325D9"/>
    <w:rsid w:val="00B32D0C"/>
    <w:rsid w:val="00B32EAF"/>
    <w:rsid w:val="00B32F43"/>
    <w:rsid w:val="00B330CD"/>
    <w:rsid w:val="00B33274"/>
    <w:rsid w:val="00B3396A"/>
    <w:rsid w:val="00B34137"/>
    <w:rsid w:val="00B3480F"/>
    <w:rsid w:val="00B3483C"/>
    <w:rsid w:val="00B34F2E"/>
    <w:rsid w:val="00B34F73"/>
    <w:rsid w:val="00B353F7"/>
    <w:rsid w:val="00B35788"/>
    <w:rsid w:val="00B35C4A"/>
    <w:rsid w:val="00B35D5B"/>
    <w:rsid w:val="00B363B3"/>
    <w:rsid w:val="00B36DF5"/>
    <w:rsid w:val="00B3707F"/>
    <w:rsid w:val="00B372A3"/>
    <w:rsid w:val="00B373D3"/>
    <w:rsid w:val="00B37A4E"/>
    <w:rsid w:val="00B4062C"/>
    <w:rsid w:val="00B40AD1"/>
    <w:rsid w:val="00B40C6C"/>
    <w:rsid w:val="00B4203F"/>
    <w:rsid w:val="00B428AB"/>
    <w:rsid w:val="00B42ABB"/>
    <w:rsid w:val="00B42F0B"/>
    <w:rsid w:val="00B42F32"/>
    <w:rsid w:val="00B4367B"/>
    <w:rsid w:val="00B43708"/>
    <w:rsid w:val="00B438CE"/>
    <w:rsid w:val="00B43B0C"/>
    <w:rsid w:val="00B43DF5"/>
    <w:rsid w:val="00B43F18"/>
    <w:rsid w:val="00B43FF4"/>
    <w:rsid w:val="00B440B0"/>
    <w:rsid w:val="00B44313"/>
    <w:rsid w:val="00B4448E"/>
    <w:rsid w:val="00B44AAE"/>
    <w:rsid w:val="00B44BCA"/>
    <w:rsid w:val="00B45057"/>
    <w:rsid w:val="00B4575A"/>
    <w:rsid w:val="00B45F57"/>
    <w:rsid w:val="00B46566"/>
    <w:rsid w:val="00B46D3F"/>
    <w:rsid w:val="00B46DF2"/>
    <w:rsid w:val="00B47090"/>
    <w:rsid w:val="00B47107"/>
    <w:rsid w:val="00B47F3A"/>
    <w:rsid w:val="00B505E2"/>
    <w:rsid w:val="00B5109E"/>
    <w:rsid w:val="00B51FAD"/>
    <w:rsid w:val="00B523E1"/>
    <w:rsid w:val="00B526C5"/>
    <w:rsid w:val="00B52931"/>
    <w:rsid w:val="00B52A55"/>
    <w:rsid w:val="00B52CA4"/>
    <w:rsid w:val="00B52FB9"/>
    <w:rsid w:val="00B53870"/>
    <w:rsid w:val="00B540B4"/>
    <w:rsid w:val="00B54D87"/>
    <w:rsid w:val="00B556C3"/>
    <w:rsid w:val="00B55BEA"/>
    <w:rsid w:val="00B560F6"/>
    <w:rsid w:val="00B562DD"/>
    <w:rsid w:val="00B56DE0"/>
    <w:rsid w:val="00B57587"/>
    <w:rsid w:val="00B57E5D"/>
    <w:rsid w:val="00B60282"/>
    <w:rsid w:val="00B60448"/>
    <w:rsid w:val="00B60B4F"/>
    <w:rsid w:val="00B610C1"/>
    <w:rsid w:val="00B61A21"/>
    <w:rsid w:val="00B61FAF"/>
    <w:rsid w:val="00B62457"/>
    <w:rsid w:val="00B6251E"/>
    <w:rsid w:val="00B62A16"/>
    <w:rsid w:val="00B62CEF"/>
    <w:rsid w:val="00B63196"/>
    <w:rsid w:val="00B63353"/>
    <w:rsid w:val="00B63A86"/>
    <w:rsid w:val="00B64A5A"/>
    <w:rsid w:val="00B64B1B"/>
    <w:rsid w:val="00B64B8E"/>
    <w:rsid w:val="00B65417"/>
    <w:rsid w:val="00B656EB"/>
    <w:rsid w:val="00B65914"/>
    <w:rsid w:val="00B66325"/>
    <w:rsid w:val="00B665FB"/>
    <w:rsid w:val="00B6686B"/>
    <w:rsid w:val="00B67026"/>
    <w:rsid w:val="00B67332"/>
    <w:rsid w:val="00B67377"/>
    <w:rsid w:val="00B67874"/>
    <w:rsid w:val="00B67894"/>
    <w:rsid w:val="00B67CB9"/>
    <w:rsid w:val="00B7026A"/>
    <w:rsid w:val="00B70329"/>
    <w:rsid w:val="00B70593"/>
    <w:rsid w:val="00B706E0"/>
    <w:rsid w:val="00B70F17"/>
    <w:rsid w:val="00B71AC6"/>
    <w:rsid w:val="00B71C79"/>
    <w:rsid w:val="00B71ECE"/>
    <w:rsid w:val="00B72013"/>
    <w:rsid w:val="00B727C4"/>
    <w:rsid w:val="00B727E6"/>
    <w:rsid w:val="00B72A44"/>
    <w:rsid w:val="00B72C03"/>
    <w:rsid w:val="00B734AD"/>
    <w:rsid w:val="00B740B5"/>
    <w:rsid w:val="00B74B0B"/>
    <w:rsid w:val="00B74B66"/>
    <w:rsid w:val="00B75921"/>
    <w:rsid w:val="00B75F00"/>
    <w:rsid w:val="00B7691A"/>
    <w:rsid w:val="00B76CC1"/>
    <w:rsid w:val="00B76CD4"/>
    <w:rsid w:val="00B77334"/>
    <w:rsid w:val="00B7781A"/>
    <w:rsid w:val="00B77A46"/>
    <w:rsid w:val="00B77FCC"/>
    <w:rsid w:val="00B80037"/>
    <w:rsid w:val="00B80058"/>
    <w:rsid w:val="00B8028F"/>
    <w:rsid w:val="00B802D8"/>
    <w:rsid w:val="00B8034C"/>
    <w:rsid w:val="00B80485"/>
    <w:rsid w:val="00B807F5"/>
    <w:rsid w:val="00B80836"/>
    <w:rsid w:val="00B80B29"/>
    <w:rsid w:val="00B810E3"/>
    <w:rsid w:val="00B8161D"/>
    <w:rsid w:val="00B81B60"/>
    <w:rsid w:val="00B81C2B"/>
    <w:rsid w:val="00B820CA"/>
    <w:rsid w:val="00B8220C"/>
    <w:rsid w:val="00B8318E"/>
    <w:rsid w:val="00B83192"/>
    <w:rsid w:val="00B8340B"/>
    <w:rsid w:val="00B83683"/>
    <w:rsid w:val="00B83DDE"/>
    <w:rsid w:val="00B84122"/>
    <w:rsid w:val="00B843EB"/>
    <w:rsid w:val="00B848E9"/>
    <w:rsid w:val="00B84A22"/>
    <w:rsid w:val="00B8550C"/>
    <w:rsid w:val="00B8594B"/>
    <w:rsid w:val="00B85A80"/>
    <w:rsid w:val="00B85AFF"/>
    <w:rsid w:val="00B85FD3"/>
    <w:rsid w:val="00B863EA"/>
    <w:rsid w:val="00B86FD2"/>
    <w:rsid w:val="00B8742D"/>
    <w:rsid w:val="00B878A1"/>
    <w:rsid w:val="00B87DCA"/>
    <w:rsid w:val="00B90289"/>
    <w:rsid w:val="00B906D6"/>
    <w:rsid w:val="00B90916"/>
    <w:rsid w:val="00B90A22"/>
    <w:rsid w:val="00B90B13"/>
    <w:rsid w:val="00B90DBA"/>
    <w:rsid w:val="00B90F79"/>
    <w:rsid w:val="00B91447"/>
    <w:rsid w:val="00B915A8"/>
    <w:rsid w:val="00B915F7"/>
    <w:rsid w:val="00B92050"/>
    <w:rsid w:val="00B92CCD"/>
    <w:rsid w:val="00B94169"/>
    <w:rsid w:val="00B9440A"/>
    <w:rsid w:val="00B9596F"/>
    <w:rsid w:val="00B967A7"/>
    <w:rsid w:val="00B96A9C"/>
    <w:rsid w:val="00B979E4"/>
    <w:rsid w:val="00BA00CA"/>
    <w:rsid w:val="00BA0254"/>
    <w:rsid w:val="00BA1A1B"/>
    <w:rsid w:val="00BA1B58"/>
    <w:rsid w:val="00BA2367"/>
    <w:rsid w:val="00BA2AFA"/>
    <w:rsid w:val="00BA2F54"/>
    <w:rsid w:val="00BA3098"/>
    <w:rsid w:val="00BA3A8E"/>
    <w:rsid w:val="00BA4080"/>
    <w:rsid w:val="00BA46E2"/>
    <w:rsid w:val="00BA4CFB"/>
    <w:rsid w:val="00BA4DAE"/>
    <w:rsid w:val="00BA5ADC"/>
    <w:rsid w:val="00BA5D40"/>
    <w:rsid w:val="00BA70B7"/>
    <w:rsid w:val="00BA7217"/>
    <w:rsid w:val="00BA7503"/>
    <w:rsid w:val="00BA7589"/>
    <w:rsid w:val="00BA75C5"/>
    <w:rsid w:val="00BA782A"/>
    <w:rsid w:val="00BA7A31"/>
    <w:rsid w:val="00BB00A2"/>
    <w:rsid w:val="00BB0863"/>
    <w:rsid w:val="00BB0F74"/>
    <w:rsid w:val="00BB0F81"/>
    <w:rsid w:val="00BB132E"/>
    <w:rsid w:val="00BB1487"/>
    <w:rsid w:val="00BB2A7D"/>
    <w:rsid w:val="00BB3A6C"/>
    <w:rsid w:val="00BB3B7E"/>
    <w:rsid w:val="00BB3F86"/>
    <w:rsid w:val="00BB48A4"/>
    <w:rsid w:val="00BB58BF"/>
    <w:rsid w:val="00BB699E"/>
    <w:rsid w:val="00BB75A9"/>
    <w:rsid w:val="00BB75CE"/>
    <w:rsid w:val="00BB763D"/>
    <w:rsid w:val="00BB7FDC"/>
    <w:rsid w:val="00BC03BD"/>
    <w:rsid w:val="00BC0580"/>
    <w:rsid w:val="00BC16C6"/>
    <w:rsid w:val="00BC27C4"/>
    <w:rsid w:val="00BC2ACF"/>
    <w:rsid w:val="00BC2CAA"/>
    <w:rsid w:val="00BC30FB"/>
    <w:rsid w:val="00BC382A"/>
    <w:rsid w:val="00BC3C39"/>
    <w:rsid w:val="00BC4056"/>
    <w:rsid w:val="00BC4226"/>
    <w:rsid w:val="00BC4CA7"/>
    <w:rsid w:val="00BC4F1A"/>
    <w:rsid w:val="00BC5305"/>
    <w:rsid w:val="00BC5346"/>
    <w:rsid w:val="00BC5542"/>
    <w:rsid w:val="00BC5A21"/>
    <w:rsid w:val="00BC5A54"/>
    <w:rsid w:val="00BC5AAE"/>
    <w:rsid w:val="00BC5AC9"/>
    <w:rsid w:val="00BC6A60"/>
    <w:rsid w:val="00BC7117"/>
    <w:rsid w:val="00BC7343"/>
    <w:rsid w:val="00BC7428"/>
    <w:rsid w:val="00BC7455"/>
    <w:rsid w:val="00BC74E6"/>
    <w:rsid w:val="00BD0689"/>
    <w:rsid w:val="00BD0A56"/>
    <w:rsid w:val="00BD0C6B"/>
    <w:rsid w:val="00BD11E9"/>
    <w:rsid w:val="00BD125F"/>
    <w:rsid w:val="00BD12FB"/>
    <w:rsid w:val="00BD185F"/>
    <w:rsid w:val="00BD4132"/>
    <w:rsid w:val="00BD4854"/>
    <w:rsid w:val="00BD497C"/>
    <w:rsid w:val="00BD4F8C"/>
    <w:rsid w:val="00BD53B5"/>
    <w:rsid w:val="00BD5556"/>
    <w:rsid w:val="00BD5DC1"/>
    <w:rsid w:val="00BD6062"/>
    <w:rsid w:val="00BD63B7"/>
    <w:rsid w:val="00BD6403"/>
    <w:rsid w:val="00BD6559"/>
    <w:rsid w:val="00BD6B85"/>
    <w:rsid w:val="00BD6C90"/>
    <w:rsid w:val="00BD6D3A"/>
    <w:rsid w:val="00BD776D"/>
    <w:rsid w:val="00BD7B34"/>
    <w:rsid w:val="00BE029B"/>
    <w:rsid w:val="00BE02FF"/>
    <w:rsid w:val="00BE0381"/>
    <w:rsid w:val="00BE0998"/>
    <w:rsid w:val="00BE0D55"/>
    <w:rsid w:val="00BE14DC"/>
    <w:rsid w:val="00BE1B4B"/>
    <w:rsid w:val="00BE1B76"/>
    <w:rsid w:val="00BE26C0"/>
    <w:rsid w:val="00BE2824"/>
    <w:rsid w:val="00BE2A2A"/>
    <w:rsid w:val="00BE2CA7"/>
    <w:rsid w:val="00BE3845"/>
    <w:rsid w:val="00BE3ACE"/>
    <w:rsid w:val="00BE3BB7"/>
    <w:rsid w:val="00BE3D01"/>
    <w:rsid w:val="00BE4079"/>
    <w:rsid w:val="00BE41B0"/>
    <w:rsid w:val="00BE4201"/>
    <w:rsid w:val="00BE426F"/>
    <w:rsid w:val="00BE42A7"/>
    <w:rsid w:val="00BE4A02"/>
    <w:rsid w:val="00BE4DDD"/>
    <w:rsid w:val="00BE4F85"/>
    <w:rsid w:val="00BE5BC8"/>
    <w:rsid w:val="00BE5CCD"/>
    <w:rsid w:val="00BE5FA4"/>
    <w:rsid w:val="00BE61A4"/>
    <w:rsid w:val="00BE676E"/>
    <w:rsid w:val="00BE6841"/>
    <w:rsid w:val="00BE79D3"/>
    <w:rsid w:val="00BF0301"/>
    <w:rsid w:val="00BF0549"/>
    <w:rsid w:val="00BF10CB"/>
    <w:rsid w:val="00BF1CDC"/>
    <w:rsid w:val="00BF2AE5"/>
    <w:rsid w:val="00BF2EBE"/>
    <w:rsid w:val="00BF2FF3"/>
    <w:rsid w:val="00BF3306"/>
    <w:rsid w:val="00BF3675"/>
    <w:rsid w:val="00BF39D3"/>
    <w:rsid w:val="00BF3B17"/>
    <w:rsid w:val="00BF3B34"/>
    <w:rsid w:val="00BF4116"/>
    <w:rsid w:val="00BF4C3C"/>
    <w:rsid w:val="00BF4C89"/>
    <w:rsid w:val="00BF4E3A"/>
    <w:rsid w:val="00BF5650"/>
    <w:rsid w:val="00BF5B59"/>
    <w:rsid w:val="00BF6125"/>
    <w:rsid w:val="00BF632A"/>
    <w:rsid w:val="00BF6476"/>
    <w:rsid w:val="00BF66A9"/>
    <w:rsid w:val="00BF7129"/>
    <w:rsid w:val="00BF7314"/>
    <w:rsid w:val="00BF75AD"/>
    <w:rsid w:val="00BF7829"/>
    <w:rsid w:val="00BF7883"/>
    <w:rsid w:val="00BF7970"/>
    <w:rsid w:val="00BF7AD7"/>
    <w:rsid w:val="00BF7CAF"/>
    <w:rsid w:val="00C00061"/>
    <w:rsid w:val="00C00B6B"/>
    <w:rsid w:val="00C011EF"/>
    <w:rsid w:val="00C016A9"/>
    <w:rsid w:val="00C01B8D"/>
    <w:rsid w:val="00C01ED0"/>
    <w:rsid w:val="00C025E0"/>
    <w:rsid w:val="00C02A59"/>
    <w:rsid w:val="00C02E5B"/>
    <w:rsid w:val="00C0307C"/>
    <w:rsid w:val="00C031DF"/>
    <w:rsid w:val="00C03BAF"/>
    <w:rsid w:val="00C05D87"/>
    <w:rsid w:val="00C07E33"/>
    <w:rsid w:val="00C103DA"/>
    <w:rsid w:val="00C1073B"/>
    <w:rsid w:val="00C10D4A"/>
    <w:rsid w:val="00C10F43"/>
    <w:rsid w:val="00C10F55"/>
    <w:rsid w:val="00C11139"/>
    <w:rsid w:val="00C11396"/>
    <w:rsid w:val="00C113A5"/>
    <w:rsid w:val="00C116AF"/>
    <w:rsid w:val="00C11BA2"/>
    <w:rsid w:val="00C12749"/>
    <w:rsid w:val="00C127CA"/>
    <w:rsid w:val="00C128F0"/>
    <w:rsid w:val="00C12B4A"/>
    <w:rsid w:val="00C13248"/>
    <w:rsid w:val="00C133EA"/>
    <w:rsid w:val="00C139C6"/>
    <w:rsid w:val="00C13DC9"/>
    <w:rsid w:val="00C143B8"/>
    <w:rsid w:val="00C143D0"/>
    <w:rsid w:val="00C14D7A"/>
    <w:rsid w:val="00C150AE"/>
    <w:rsid w:val="00C150B7"/>
    <w:rsid w:val="00C15D11"/>
    <w:rsid w:val="00C15F56"/>
    <w:rsid w:val="00C16F78"/>
    <w:rsid w:val="00C1752C"/>
    <w:rsid w:val="00C175AD"/>
    <w:rsid w:val="00C17A30"/>
    <w:rsid w:val="00C17A3B"/>
    <w:rsid w:val="00C2028B"/>
    <w:rsid w:val="00C203D2"/>
    <w:rsid w:val="00C204A8"/>
    <w:rsid w:val="00C206EC"/>
    <w:rsid w:val="00C2092A"/>
    <w:rsid w:val="00C21317"/>
    <w:rsid w:val="00C215A7"/>
    <w:rsid w:val="00C21AC5"/>
    <w:rsid w:val="00C222FF"/>
    <w:rsid w:val="00C2255F"/>
    <w:rsid w:val="00C2286E"/>
    <w:rsid w:val="00C23072"/>
    <w:rsid w:val="00C2355C"/>
    <w:rsid w:val="00C23DA1"/>
    <w:rsid w:val="00C24F40"/>
    <w:rsid w:val="00C2506E"/>
    <w:rsid w:val="00C250A4"/>
    <w:rsid w:val="00C2511C"/>
    <w:rsid w:val="00C25355"/>
    <w:rsid w:val="00C256C0"/>
    <w:rsid w:val="00C258A7"/>
    <w:rsid w:val="00C259E0"/>
    <w:rsid w:val="00C26207"/>
    <w:rsid w:val="00C263C3"/>
    <w:rsid w:val="00C263FC"/>
    <w:rsid w:val="00C26977"/>
    <w:rsid w:val="00C269D1"/>
    <w:rsid w:val="00C26AAE"/>
    <w:rsid w:val="00C27119"/>
    <w:rsid w:val="00C27265"/>
    <w:rsid w:val="00C2769F"/>
    <w:rsid w:val="00C27993"/>
    <w:rsid w:val="00C27B33"/>
    <w:rsid w:val="00C27D75"/>
    <w:rsid w:val="00C30569"/>
    <w:rsid w:val="00C3063B"/>
    <w:rsid w:val="00C31474"/>
    <w:rsid w:val="00C3165A"/>
    <w:rsid w:val="00C316AC"/>
    <w:rsid w:val="00C316CF"/>
    <w:rsid w:val="00C31EBE"/>
    <w:rsid w:val="00C32145"/>
    <w:rsid w:val="00C32861"/>
    <w:rsid w:val="00C32BED"/>
    <w:rsid w:val="00C33575"/>
    <w:rsid w:val="00C335BE"/>
    <w:rsid w:val="00C33767"/>
    <w:rsid w:val="00C347CC"/>
    <w:rsid w:val="00C3508E"/>
    <w:rsid w:val="00C353E1"/>
    <w:rsid w:val="00C36122"/>
    <w:rsid w:val="00C36494"/>
    <w:rsid w:val="00C365D3"/>
    <w:rsid w:val="00C36A18"/>
    <w:rsid w:val="00C36AAF"/>
    <w:rsid w:val="00C370B9"/>
    <w:rsid w:val="00C3788E"/>
    <w:rsid w:val="00C379F0"/>
    <w:rsid w:val="00C40386"/>
    <w:rsid w:val="00C40952"/>
    <w:rsid w:val="00C40E1C"/>
    <w:rsid w:val="00C41145"/>
    <w:rsid w:val="00C411C9"/>
    <w:rsid w:val="00C4120A"/>
    <w:rsid w:val="00C4135E"/>
    <w:rsid w:val="00C41444"/>
    <w:rsid w:val="00C418EA"/>
    <w:rsid w:val="00C41C38"/>
    <w:rsid w:val="00C42183"/>
    <w:rsid w:val="00C423E3"/>
    <w:rsid w:val="00C42675"/>
    <w:rsid w:val="00C42A98"/>
    <w:rsid w:val="00C4332A"/>
    <w:rsid w:val="00C4344D"/>
    <w:rsid w:val="00C43483"/>
    <w:rsid w:val="00C4382D"/>
    <w:rsid w:val="00C4396F"/>
    <w:rsid w:val="00C44048"/>
    <w:rsid w:val="00C440D9"/>
    <w:rsid w:val="00C4410F"/>
    <w:rsid w:val="00C4463C"/>
    <w:rsid w:val="00C44710"/>
    <w:rsid w:val="00C44A7D"/>
    <w:rsid w:val="00C44C44"/>
    <w:rsid w:val="00C44E0E"/>
    <w:rsid w:val="00C45015"/>
    <w:rsid w:val="00C451D7"/>
    <w:rsid w:val="00C45DEF"/>
    <w:rsid w:val="00C46D57"/>
    <w:rsid w:val="00C46E7D"/>
    <w:rsid w:val="00C47357"/>
    <w:rsid w:val="00C4735D"/>
    <w:rsid w:val="00C47CC3"/>
    <w:rsid w:val="00C47DB9"/>
    <w:rsid w:val="00C50321"/>
    <w:rsid w:val="00C504AE"/>
    <w:rsid w:val="00C505AC"/>
    <w:rsid w:val="00C5086B"/>
    <w:rsid w:val="00C51340"/>
    <w:rsid w:val="00C51890"/>
    <w:rsid w:val="00C51D7F"/>
    <w:rsid w:val="00C52182"/>
    <w:rsid w:val="00C52493"/>
    <w:rsid w:val="00C5253A"/>
    <w:rsid w:val="00C527C4"/>
    <w:rsid w:val="00C536FE"/>
    <w:rsid w:val="00C53992"/>
    <w:rsid w:val="00C53B9F"/>
    <w:rsid w:val="00C5433D"/>
    <w:rsid w:val="00C54762"/>
    <w:rsid w:val="00C5488D"/>
    <w:rsid w:val="00C54DBC"/>
    <w:rsid w:val="00C552A9"/>
    <w:rsid w:val="00C55401"/>
    <w:rsid w:val="00C56A7C"/>
    <w:rsid w:val="00C56F7D"/>
    <w:rsid w:val="00C57267"/>
    <w:rsid w:val="00C576EF"/>
    <w:rsid w:val="00C5793D"/>
    <w:rsid w:val="00C57B39"/>
    <w:rsid w:val="00C6006F"/>
    <w:rsid w:val="00C60434"/>
    <w:rsid w:val="00C60562"/>
    <w:rsid w:val="00C6072B"/>
    <w:rsid w:val="00C60770"/>
    <w:rsid w:val="00C60918"/>
    <w:rsid w:val="00C6137B"/>
    <w:rsid w:val="00C61513"/>
    <w:rsid w:val="00C61694"/>
    <w:rsid w:val="00C6196B"/>
    <w:rsid w:val="00C619F4"/>
    <w:rsid w:val="00C6209A"/>
    <w:rsid w:val="00C630AA"/>
    <w:rsid w:val="00C630F1"/>
    <w:rsid w:val="00C63C2F"/>
    <w:rsid w:val="00C642B6"/>
    <w:rsid w:val="00C646C1"/>
    <w:rsid w:val="00C6499F"/>
    <w:rsid w:val="00C64B9B"/>
    <w:rsid w:val="00C65B3D"/>
    <w:rsid w:val="00C65BD4"/>
    <w:rsid w:val="00C65EA4"/>
    <w:rsid w:val="00C66225"/>
    <w:rsid w:val="00C6790B"/>
    <w:rsid w:val="00C67C47"/>
    <w:rsid w:val="00C67F94"/>
    <w:rsid w:val="00C706FE"/>
    <w:rsid w:val="00C70713"/>
    <w:rsid w:val="00C70C76"/>
    <w:rsid w:val="00C7243B"/>
    <w:rsid w:val="00C728DF"/>
    <w:rsid w:val="00C72D62"/>
    <w:rsid w:val="00C733EF"/>
    <w:rsid w:val="00C7373E"/>
    <w:rsid w:val="00C73801"/>
    <w:rsid w:val="00C73A0D"/>
    <w:rsid w:val="00C73CA0"/>
    <w:rsid w:val="00C740E7"/>
    <w:rsid w:val="00C745C6"/>
    <w:rsid w:val="00C75519"/>
    <w:rsid w:val="00C75701"/>
    <w:rsid w:val="00C75C1B"/>
    <w:rsid w:val="00C773E4"/>
    <w:rsid w:val="00C7793D"/>
    <w:rsid w:val="00C77AE9"/>
    <w:rsid w:val="00C77CE8"/>
    <w:rsid w:val="00C807B2"/>
    <w:rsid w:val="00C816CD"/>
    <w:rsid w:val="00C8228E"/>
    <w:rsid w:val="00C823F5"/>
    <w:rsid w:val="00C824A4"/>
    <w:rsid w:val="00C829EA"/>
    <w:rsid w:val="00C82A05"/>
    <w:rsid w:val="00C82A4A"/>
    <w:rsid w:val="00C82B8A"/>
    <w:rsid w:val="00C8319A"/>
    <w:rsid w:val="00C83624"/>
    <w:rsid w:val="00C8384D"/>
    <w:rsid w:val="00C838AF"/>
    <w:rsid w:val="00C83CBE"/>
    <w:rsid w:val="00C8490E"/>
    <w:rsid w:val="00C8496A"/>
    <w:rsid w:val="00C849FE"/>
    <w:rsid w:val="00C84D7A"/>
    <w:rsid w:val="00C853A4"/>
    <w:rsid w:val="00C853E0"/>
    <w:rsid w:val="00C856A3"/>
    <w:rsid w:val="00C85B13"/>
    <w:rsid w:val="00C86246"/>
    <w:rsid w:val="00C8630B"/>
    <w:rsid w:val="00C86603"/>
    <w:rsid w:val="00C867CB"/>
    <w:rsid w:val="00C86A1F"/>
    <w:rsid w:val="00C86BB0"/>
    <w:rsid w:val="00C86BD9"/>
    <w:rsid w:val="00C8746C"/>
    <w:rsid w:val="00C9080A"/>
    <w:rsid w:val="00C90919"/>
    <w:rsid w:val="00C909FC"/>
    <w:rsid w:val="00C91AD3"/>
    <w:rsid w:val="00C92288"/>
    <w:rsid w:val="00C92969"/>
    <w:rsid w:val="00C93272"/>
    <w:rsid w:val="00C94030"/>
    <w:rsid w:val="00C9459C"/>
    <w:rsid w:val="00C95131"/>
    <w:rsid w:val="00C964BD"/>
    <w:rsid w:val="00C96710"/>
    <w:rsid w:val="00C96A90"/>
    <w:rsid w:val="00C96A9F"/>
    <w:rsid w:val="00C97113"/>
    <w:rsid w:val="00C9768C"/>
    <w:rsid w:val="00C97775"/>
    <w:rsid w:val="00C97824"/>
    <w:rsid w:val="00CA09DD"/>
    <w:rsid w:val="00CA1056"/>
    <w:rsid w:val="00CA1659"/>
    <w:rsid w:val="00CA2139"/>
    <w:rsid w:val="00CA2C55"/>
    <w:rsid w:val="00CA333B"/>
    <w:rsid w:val="00CA4022"/>
    <w:rsid w:val="00CA4791"/>
    <w:rsid w:val="00CA52E1"/>
    <w:rsid w:val="00CA53AB"/>
    <w:rsid w:val="00CA60CB"/>
    <w:rsid w:val="00CA6154"/>
    <w:rsid w:val="00CA6763"/>
    <w:rsid w:val="00CA67E0"/>
    <w:rsid w:val="00CA686D"/>
    <w:rsid w:val="00CA6EEA"/>
    <w:rsid w:val="00CA7AE4"/>
    <w:rsid w:val="00CA7B15"/>
    <w:rsid w:val="00CA7C14"/>
    <w:rsid w:val="00CA7C3B"/>
    <w:rsid w:val="00CA7C6A"/>
    <w:rsid w:val="00CB0240"/>
    <w:rsid w:val="00CB06FF"/>
    <w:rsid w:val="00CB0FB9"/>
    <w:rsid w:val="00CB114D"/>
    <w:rsid w:val="00CB117E"/>
    <w:rsid w:val="00CB1DFA"/>
    <w:rsid w:val="00CB238F"/>
    <w:rsid w:val="00CB25D7"/>
    <w:rsid w:val="00CB27AF"/>
    <w:rsid w:val="00CB2D47"/>
    <w:rsid w:val="00CB35A0"/>
    <w:rsid w:val="00CB3612"/>
    <w:rsid w:val="00CB3B54"/>
    <w:rsid w:val="00CB3B75"/>
    <w:rsid w:val="00CB420F"/>
    <w:rsid w:val="00CB4AD2"/>
    <w:rsid w:val="00CB50F7"/>
    <w:rsid w:val="00CB52F4"/>
    <w:rsid w:val="00CB577A"/>
    <w:rsid w:val="00CB5EAA"/>
    <w:rsid w:val="00CB63EA"/>
    <w:rsid w:val="00CB64FA"/>
    <w:rsid w:val="00CB66B2"/>
    <w:rsid w:val="00CB6B2E"/>
    <w:rsid w:val="00CB73E8"/>
    <w:rsid w:val="00CB7782"/>
    <w:rsid w:val="00CB77C4"/>
    <w:rsid w:val="00CB7BE6"/>
    <w:rsid w:val="00CC019C"/>
    <w:rsid w:val="00CC13AE"/>
    <w:rsid w:val="00CC16E5"/>
    <w:rsid w:val="00CC1EC9"/>
    <w:rsid w:val="00CC272C"/>
    <w:rsid w:val="00CC2E3A"/>
    <w:rsid w:val="00CC3171"/>
    <w:rsid w:val="00CC3B4D"/>
    <w:rsid w:val="00CC3DCC"/>
    <w:rsid w:val="00CC442E"/>
    <w:rsid w:val="00CC4D02"/>
    <w:rsid w:val="00CC4FFE"/>
    <w:rsid w:val="00CC51C7"/>
    <w:rsid w:val="00CC611B"/>
    <w:rsid w:val="00CC6713"/>
    <w:rsid w:val="00CC6A82"/>
    <w:rsid w:val="00CC78A8"/>
    <w:rsid w:val="00CC7EB2"/>
    <w:rsid w:val="00CC7F68"/>
    <w:rsid w:val="00CD00F3"/>
    <w:rsid w:val="00CD0A54"/>
    <w:rsid w:val="00CD12E4"/>
    <w:rsid w:val="00CD13B4"/>
    <w:rsid w:val="00CD18E4"/>
    <w:rsid w:val="00CD19E4"/>
    <w:rsid w:val="00CD1A98"/>
    <w:rsid w:val="00CD2058"/>
    <w:rsid w:val="00CD2692"/>
    <w:rsid w:val="00CD2BD0"/>
    <w:rsid w:val="00CD2D4C"/>
    <w:rsid w:val="00CD344E"/>
    <w:rsid w:val="00CD36FD"/>
    <w:rsid w:val="00CD3764"/>
    <w:rsid w:val="00CD42BC"/>
    <w:rsid w:val="00CD438C"/>
    <w:rsid w:val="00CD469D"/>
    <w:rsid w:val="00CD4C3C"/>
    <w:rsid w:val="00CD51D1"/>
    <w:rsid w:val="00CD5C0A"/>
    <w:rsid w:val="00CD63F7"/>
    <w:rsid w:val="00CD700B"/>
    <w:rsid w:val="00CD744D"/>
    <w:rsid w:val="00CD7E65"/>
    <w:rsid w:val="00CE07CE"/>
    <w:rsid w:val="00CE0824"/>
    <w:rsid w:val="00CE0D09"/>
    <w:rsid w:val="00CE125B"/>
    <w:rsid w:val="00CE1307"/>
    <w:rsid w:val="00CE170C"/>
    <w:rsid w:val="00CE1E65"/>
    <w:rsid w:val="00CE2023"/>
    <w:rsid w:val="00CE2314"/>
    <w:rsid w:val="00CE2757"/>
    <w:rsid w:val="00CE29DF"/>
    <w:rsid w:val="00CE3178"/>
    <w:rsid w:val="00CE35B3"/>
    <w:rsid w:val="00CE371F"/>
    <w:rsid w:val="00CE396D"/>
    <w:rsid w:val="00CE3A52"/>
    <w:rsid w:val="00CE4873"/>
    <w:rsid w:val="00CE4AB3"/>
    <w:rsid w:val="00CE4D35"/>
    <w:rsid w:val="00CE5057"/>
    <w:rsid w:val="00CE67DD"/>
    <w:rsid w:val="00CE7894"/>
    <w:rsid w:val="00CE7AEF"/>
    <w:rsid w:val="00CE7E1B"/>
    <w:rsid w:val="00CF021B"/>
    <w:rsid w:val="00CF05D3"/>
    <w:rsid w:val="00CF08B1"/>
    <w:rsid w:val="00CF0E83"/>
    <w:rsid w:val="00CF0EE0"/>
    <w:rsid w:val="00CF11A6"/>
    <w:rsid w:val="00CF1330"/>
    <w:rsid w:val="00CF156A"/>
    <w:rsid w:val="00CF1585"/>
    <w:rsid w:val="00CF17C6"/>
    <w:rsid w:val="00CF1888"/>
    <w:rsid w:val="00CF1D76"/>
    <w:rsid w:val="00CF2047"/>
    <w:rsid w:val="00CF245E"/>
    <w:rsid w:val="00CF2A22"/>
    <w:rsid w:val="00CF2D25"/>
    <w:rsid w:val="00CF31FA"/>
    <w:rsid w:val="00CF3395"/>
    <w:rsid w:val="00CF34FE"/>
    <w:rsid w:val="00CF3D57"/>
    <w:rsid w:val="00CF3DEC"/>
    <w:rsid w:val="00CF4024"/>
    <w:rsid w:val="00CF403E"/>
    <w:rsid w:val="00CF415C"/>
    <w:rsid w:val="00CF4CCA"/>
    <w:rsid w:val="00CF4FD2"/>
    <w:rsid w:val="00CF5054"/>
    <w:rsid w:val="00CF51E5"/>
    <w:rsid w:val="00CF57F0"/>
    <w:rsid w:val="00CF61B7"/>
    <w:rsid w:val="00CF6289"/>
    <w:rsid w:val="00CF6315"/>
    <w:rsid w:val="00CF633E"/>
    <w:rsid w:val="00CF64AA"/>
    <w:rsid w:val="00CF663E"/>
    <w:rsid w:val="00CF66D7"/>
    <w:rsid w:val="00CF67F9"/>
    <w:rsid w:val="00CF6B95"/>
    <w:rsid w:val="00CF6DC4"/>
    <w:rsid w:val="00CF716C"/>
    <w:rsid w:val="00CF7215"/>
    <w:rsid w:val="00CF7873"/>
    <w:rsid w:val="00CF7AE9"/>
    <w:rsid w:val="00CF7CE9"/>
    <w:rsid w:val="00D001E5"/>
    <w:rsid w:val="00D00858"/>
    <w:rsid w:val="00D00F50"/>
    <w:rsid w:val="00D00F84"/>
    <w:rsid w:val="00D02091"/>
    <w:rsid w:val="00D02343"/>
    <w:rsid w:val="00D024FE"/>
    <w:rsid w:val="00D02665"/>
    <w:rsid w:val="00D02ECE"/>
    <w:rsid w:val="00D033C6"/>
    <w:rsid w:val="00D0353D"/>
    <w:rsid w:val="00D03A2A"/>
    <w:rsid w:val="00D03FC4"/>
    <w:rsid w:val="00D04134"/>
    <w:rsid w:val="00D0448C"/>
    <w:rsid w:val="00D04864"/>
    <w:rsid w:val="00D053CA"/>
    <w:rsid w:val="00D057CB"/>
    <w:rsid w:val="00D0596D"/>
    <w:rsid w:val="00D05BDA"/>
    <w:rsid w:val="00D05F4C"/>
    <w:rsid w:val="00D06132"/>
    <w:rsid w:val="00D06939"/>
    <w:rsid w:val="00D0694F"/>
    <w:rsid w:val="00D06BE0"/>
    <w:rsid w:val="00D06C57"/>
    <w:rsid w:val="00D06EC5"/>
    <w:rsid w:val="00D0736A"/>
    <w:rsid w:val="00D07B80"/>
    <w:rsid w:val="00D07E1E"/>
    <w:rsid w:val="00D07F2C"/>
    <w:rsid w:val="00D10193"/>
    <w:rsid w:val="00D10CD6"/>
    <w:rsid w:val="00D11020"/>
    <w:rsid w:val="00D111C4"/>
    <w:rsid w:val="00D11D06"/>
    <w:rsid w:val="00D11E03"/>
    <w:rsid w:val="00D126FA"/>
    <w:rsid w:val="00D1292E"/>
    <w:rsid w:val="00D12AEF"/>
    <w:rsid w:val="00D131E4"/>
    <w:rsid w:val="00D13F04"/>
    <w:rsid w:val="00D1485A"/>
    <w:rsid w:val="00D149E2"/>
    <w:rsid w:val="00D14B28"/>
    <w:rsid w:val="00D14FD2"/>
    <w:rsid w:val="00D15ACF"/>
    <w:rsid w:val="00D15C1E"/>
    <w:rsid w:val="00D174EF"/>
    <w:rsid w:val="00D17E6C"/>
    <w:rsid w:val="00D200A7"/>
    <w:rsid w:val="00D200FA"/>
    <w:rsid w:val="00D20F32"/>
    <w:rsid w:val="00D21766"/>
    <w:rsid w:val="00D21BEB"/>
    <w:rsid w:val="00D221C0"/>
    <w:rsid w:val="00D22E1A"/>
    <w:rsid w:val="00D23403"/>
    <w:rsid w:val="00D23705"/>
    <w:rsid w:val="00D2377D"/>
    <w:rsid w:val="00D23A1F"/>
    <w:rsid w:val="00D23B14"/>
    <w:rsid w:val="00D24152"/>
    <w:rsid w:val="00D243AC"/>
    <w:rsid w:val="00D24410"/>
    <w:rsid w:val="00D24485"/>
    <w:rsid w:val="00D246F3"/>
    <w:rsid w:val="00D2482E"/>
    <w:rsid w:val="00D24888"/>
    <w:rsid w:val="00D24908"/>
    <w:rsid w:val="00D24A7D"/>
    <w:rsid w:val="00D24BA9"/>
    <w:rsid w:val="00D24E24"/>
    <w:rsid w:val="00D24E6F"/>
    <w:rsid w:val="00D25BA8"/>
    <w:rsid w:val="00D27650"/>
    <w:rsid w:val="00D3041F"/>
    <w:rsid w:val="00D30D98"/>
    <w:rsid w:val="00D30EBA"/>
    <w:rsid w:val="00D310DD"/>
    <w:rsid w:val="00D314CB"/>
    <w:rsid w:val="00D315E7"/>
    <w:rsid w:val="00D3217A"/>
    <w:rsid w:val="00D32433"/>
    <w:rsid w:val="00D325E6"/>
    <w:rsid w:val="00D326F9"/>
    <w:rsid w:val="00D32ADC"/>
    <w:rsid w:val="00D332C9"/>
    <w:rsid w:val="00D334B8"/>
    <w:rsid w:val="00D3353C"/>
    <w:rsid w:val="00D33B6A"/>
    <w:rsid w:val="00D34095"/>
    <w:rsid w:val="00D34AC4"/>
    <w:rsid w:val="00D34D64"/>
    <w:rsid w:val="00D35458"/>
    <w:rsid w:val="00D35591"/>
    <w:rsid w:val="00D35991"/>
    <w:rsid w:val="00D36098"/>
    <w:rsid w:val="00D3622E"/>
    <w:rsid w:val="00D36398"/>
    <w:rsid w:val="00D3669D"/>
    <w:rsid w:val="00D36E19"/>
    <w:rsid w:val="00D377D8"/>
    <w:rsid w:val="00D377E0"/>
    <w:rsid w:val="00D37BA7"/>
    <w:rsid w:val="00D40014"/>
    <w:rsid w:val="00D4026D"/>
    <w:rsid w:val="00D410BB"/>
    <w:rsid w:val="00D4140A"/>
    <w:rsid w:val="00D41424"/>
    <w:rsid w:val="00D418FB"/>
    <w:rsid w:val="00D41A59"/>
    <w:rsid w:val="00D41B90"/>
    <w:rsid w:val="00D41EC1"/>
    <w:rsid w:val="00D42566"/>
    <w:rsid w:val="00D4258B"/>
    <w:rsid w:val="00D42E05"/>
    <w:rsid w:val="00D42E38"/>
    <w:rsid w:val="00D43650"/>
    <w:rsid w:val="00D436EA"/>
    <w:rsid w:val="00D438CC"/>
    <w:rsid w:val="00D44725"/>
    <w:rsid w:val="00D44E02"/>
    <w:rsid w:val="00D44EE2"/>
    <w:rsid w:val="00D450C1"/>
    <w:rsid w:val="00D45832"/>
    <w:rsid w:val="00D45EDE"/>
    <w:rsid w:val="00D45F44"/>
    <w:rsid w:val="00D46370"/>
    <w:rsid w:val="00D468E7"/>
    <w:rsid w:val="00D473B7"/>
    <w:rsid w:val="00D4757A"/>
    <w:rsid w:val="00D47BFF"/>
    <w:rsid w:val="00D50010"/>
    <w:rsid w:val="00D5016D"/>
    <w:rsid w:val="00D503D6"/>
    <w:rsid w:val="00D503EC"/>
    <w:rsid w:val="00D50996"/>
    <w:rsid w:val="00D50F0A"/>
    <w:rsid w:val="00D51B0C"/>
    <w:rsid w:val="00D51D57"/>
    <w:rsid w:val="00D51E2F"/>
    <w:rsid w:val="00D51F7C"/>
    <w:rsid w:val="00D521AE"/>
    <w:rsid w:val="00D52314"/>
    <w:rsid w:val="00D536BD"/>
    <w:rsid w:val="00D53A89"/>
    <w:rsid w:val="00D53DEA"/>
    <w:rsid w:val="00D54428"/>
    <w:rsid w:val="00D5457E"/>
    <w:rsid w:val="00D546BE"/>
    <w:rsid w:val="00D5473B"/>
    <w:rsid w:val="00D55564"/>
    <w:rsid w:val="00D55713"/>
    <w:rsid w:val="00D55B1C"/>
    <w:rsid w:val="00D55E42"/>
    <w:rsid w:val="00D55F37"/>
    <w:rsid w:val="00D569F3"/>
    <w:rsid w:val="00D57636"/>
    <w:rsid w:val="00D57D3E"/>
    <w:rsid w:val="00D607C5"/>
    <w:rsid w:val="00D6131A"/>
    <w:rsid w:val="00D61953"/>
    <w:rsid w:val="00D621BF"/>
    <w:rsid w:val="00D62514"/>
    <w:rsid w:val="00D62FBD"/>
    <w:rsid w:val="00D64182"/>
    <w:rsid w:val="00D64535"/>
    <w:rsid w:val="00D64D41"/>
    <w:rsid w:val="00D64EF5"/>
    <w:rsid w:val="00D650AE"/>
    <w:rsid w:val="00D65C43"/>
    <w:rsid w:val="00D65C6E"/>
    <w:rsid w:val="00D664A7"/>
    <w:rsid w:val="00D6667C"/>
    <w:rsid w:val="00D66694"/>
    <w:rsid w:val="00D66973"/>
    <w:rsid w:val="00D66B9F"/>
    <w:rsid w:val="00D66FD7"/>
    <w:rsid w:val="00D675F3"/>
    <w:rsid w:val="00D67677"/>
    <w:rsid w:val="00D67AE6"/>
    <w:rsid w:val="00D67B89"/>
    <w:rsid w:val="00D67DAF"/>
    <w:rsid w:val="00D67ECF"/>
    <w:rsid w:val="00D7001F"/>
    <w:rsid w:val="00D70124"/>
    <w:rsid w:val="00D7112C"/>
    <w:rsid w:val="00D713FF"/>
    <w:rsid w:val="00D71833"/>
    <w:rsid w:val="00D71C25"/>
    <w:rsid w:val="00D72329"/>
    <w:rsid w:val="00D72388"/>
    <w:rsid w:val="00D72788"/>
    <w:rsid w:val="00D72AE9"/>
    <w:rsid w:val="00D72C0E"/>
    <w:rsid w:val="00D72CA3"/>
    <w:rsid w:val="00D72DA9"/>
    <w:rsid w:val="00D731E0"/>
    <w:rsid w:val="00D73739"/>
    <w:rsid w:val="00D73A7A"/>
    <w:rsid w:val="00D74234"/>
    <w:rsid w:val="00D74790"/>
    <w:rsid w:val="00D74A99"/>
    <w:rsid w:val="00D75636"/>
    <w:rsid w:val="00D75B4B"/>
    <w:rsid w:val="00D75F22"/>
    <w:rsid w:val="00D76038"/>
    <w:rsid w:val="00D76521"/>
    <w:rsid w:val="00D7668D"/>
    <w:rsid w:val="00D766B7"/>
    <w:rsid w:val="00D76E26"/>
    <w:rsid w:val="00D77F24"/>
    <w:rsid w:val="00D800D2"/>
    <w:rsid w:val="00D80801"/>
    <w:rsid w:val="00D80802"/>
    <w:rsid w:val="00D80D97"/>
    <w:rsid w:val="00D80F42"/>
    <w:rsid w:val="00D8129B"/>
    <w:rsid w:val="00D82500"/>
    <w:rsid w:val="00D8251C"/>
    <w:rsid w:val="00D82623"/>
    <w:rsid w:val="00D82785"/>
    <w:rsid w:val="00D82AF3"/>
    <w:rsid w:val="00D82BC4"/>
    <w:rsid w:val="00D82C88"/>
    <w:rsid w:val="00D82DF0"/>
    <w:rsid w:val="00D83B87"/>
    <w:rsid w:val="00D84074"/>
    <w:rsid w:val="00D840C2"/>
    <w:rsid w:val="00D84BC1"/>
    <w:rsid w:val="00D84BFA"/>
    <w:rsid w:val="00D84C2C"/>
    <w:rsid w:val="00D84D06"/>
    <w:rsid w:val="00D8514E"/>
    <w:rsid w:val="00D8540B"/>
    <w:rsid w:val="00D8559D"/>
    <w:rsid w:val="00D85D1D"/>
    <w:rsid w:val="00D85F5E"/>
    <w:rsid w:val="00D86015"/>
    <w:rsid w:val="00D8640F"/>
    <w:rsid w:val="00D879A9"/>
    <w:rsid w:val="00D87A81"/>
    <w:rsid w:val="00D87E85"/>
    <w:rsid w:val="00D903A8"/>
    <w:rsid w:val="00D9044B"/>
    <w:rsid w:val="00D90569"/>
    <w:rsid w:val="00D90676"/>
    <w:rsid w:val="00D90859"/>
    <w:rsid w:val="00D90C21"/>
    <w:rsid w:val="00D91224"/>
    <w:rsid w:val="00D92105"/>
    <w:rsid w:val="00D925C2"/>
    <w:rsid w:val="00D92C0A"/>
    <w:rsid w:val="00D92D03"/>
    <w:rsid w:val="00D9339E"/>
    <w:rsid w:val="00D93418"/>
    <w:rsid w:val="00D93C94"/>
    <w:rsid w:val="00D93DED"/>
    <w:rsid w:val="00D940AD"/>
    <w:rsid w:val="00D9448D"/>
    <w:rsid w:val="00D947A6"/>
    <w:rsid w:val="00D94A58"/>
    <w:rsid w:val="00D956C8"/>
    <w:rsid w:val="00D9574A"/>
    <w:rsid w:val="00D96947"/>
    <w:rsid w:val="00D96AE8"/>
    <w:rsid w:val="00D97974"/>
    <w:rsid w:val="00DA0371"/>
    <w:rsid w:val="00DA0491"/>
    <w:rsid w:val="00DA0528"/>
    <w:rsid w:val="00DA0609"/>
    <w:rsid w:val="00DA079F"/>
    <w:rsid w:val="00DA0910"/>
    <w:rsid w:val="00DA0FA6"/>
    <w:rsid w:val="00DA104C"/>
    <w:rsid w:val="00DA12EF"/>
    <w:rsid w:val="00DA1384"/>
    <w:rsid w:val="00DA142B"/>
    <w:rsid w:val="00DA15D4"/>
    <w:rsid w:val="00DA1734"/>
    <w:rsid w:val="00DA1AA7"/>
    <w:rsid w:val="00DA1C3F"/>
    <w:rsid w:val="00DA1CE3"/>
    <w:rsid w:val="00DA1E7D"/>
    <w:rsid w:val="00DA214F"/>
    <w:rsid w:val="00DA264D"/>
    <w:rsid w:val="00DA2DEA"/>
    <w:rsid w:val="00DA2E9E"/>
    <w:rsid w:val="00DA324B"/>
    <w:rsid w:val="00DA4751"/>
    <w:rsid w:val="00DA4789"/>
    <w:rsid w:val="00DA55CD"/>
    <w:rsid w:val="00DA57C7"/>
    <w:rsid w:val="00DA703A"/>
    <w:rsid w:val="00DA737D"/>
    <w:rsid w:val="00DA7771"/>
    <w:rsid w:val="00DB0499"/>
    <w:rsid w:val="00DB0A86"/>
    <w:rsid w:val="00DB12B2"/>
    <w:rsid w:val="00DB17E8"/>
    <w:rsid w:val="00DB1C4F"/>
    <w:rsid w:val="00DB206F"/>
    <w:rsid w:val="00DB24F9"/>
    <w:rsid w:val="00DB26E1"/>
    <w:rsid w:val="00DB2B24"/>
    <w:rsid w:val="00DB4447"/>
    <w:rsid w:val="00DB49F1"/>
    <w:rsid w:val="00DB53BE"/>
    <w:rsid w:val="00DB5CFB"/>
    <w:rsid w:val="00DB5F5A"/>
    <w:rsid w:val="00DB648E"/>
    <w:rsid w:val="00DB6F13"/>
    <w:rsid w:val="00DB788A"/>
    <w:rsid w:val="00DB7A6F"/>
    <w:rsid w:val="00DC03F3"/>
    <w:rsid w:val="00DC0411"/>
    <w:rsid w:val="00DC0D21"/>
    <w:rsid w:val="00DC0E6C"/>
    <w:rsid w:val="00DC1162"/>
    <w:rsid w:val="00DC151A"/>
    <w:rsid w:val="00DC2550"/>
    <w:rsid w:val="00DC2ABA"/>
    <w:rsid w:val="00DC2D3D"/>
    <w:rsid w:val="00DC2E23"/>
    <w:rsid w:val="00DC2EE6"/>
    <w:rsid w:val="00DC3424"/>
    <w:rsid w:val="00DC34AC"/>
    <w:rsid w:val="00DC452A"/>
    <w:rsid w:val="00DC4A05"/>
    <w:rsid w:val="00DC4B4B"/>
    <w:rsid w:val="00DC4BCB"/>
    <w:rsid w:val="00DC521F"/>
    <w:rsid w:val="00DC5B96"/>
    <w:rsid w:val="00DC5CF7"/>
    <w:rsid w:val="00DC61EC"/>
    <w:rsid w:val="00DC6440"/>
    <w:rsid w:val="00DC6CD8"/>
    <w:rsid w:val="00DC6CF6"/>
    <w:rsid w:val="00DC708E"/>
    <w:rsid w:val="00DC714B"/>
    <w:rsid w:val="00DC71BA"/>
    <w:rsid w:val="00DC71CC"/>
    <w:rsid w:val="00DC7FDD"/>
    <w:rsid w:val="00DD049D"/>
    <w:rsid w:val="00DD0548"/>
    <w:rsid w:val="00DD0975"/>
    <w:rsid w:val="00DD0A31"/>
    <w:rsid w:val="00DD0C5B"/>
    <w:rsid w:val="00DD0F58"/>
    <w:rsid w:val="00DD0FD0"/>
    <w:rsid w:val="00DD107B"/>
    <w:rsid w:val="00DD1AD6"/>
    <w:rsid w:val="00DD29D9"/>
    <w:rsid w:val="00DD2FA8"/>
    <w:rsid w:val="00DD3320"/>
    <w:rsid w:val="00DD3392"/>
    <w:rsid w:val="00DD3890"/>
    <w:rsid w:val="00DD3C24"/>
    <w:rsid w:val="00DD3E6C"/>
    <w:rsid w:val="00DD3E7D"/>
    <w:rsid w:val="00DD3FE1"/>
    <w:rsid w:val="00DD42B5"/>
    <w:rsid w:val="00DD48AA"/>
    <w:rsid w:val="00DD4A09"/>
    <w:rsid w:val="00DD4DB6"/>
    <w:rsid w:val="00DD4F85"/>
    <w:rsid w:val="00DD50A1"/>
    <w:rsid w:val="00DD61AD"/>
    <w:rsid w:val="00DD63A5"/>
    <w:rsid w:val="00DD6510"/>
    <w:rsid w:val="00DD6ADA"/>
    <w:rsid w:val="00DD7825"/>
    <w:rsid w:val="00DD79F8"/>
    <w:rsid w:val="00DE01BA"/>
    <w:rsid w:val="00DE0498"/>
    <w:rsid w:val="00DE06E7"/>
    <w:rsid w:val="00DE0720"/>
    <w:rsid w:val="00DE0865"/>
    <w:rsid w:val="00DE08A9"/>
    <w:rsid w:val="00DE1028"/>
    <w:rsid w:val="00DE1414"/>
    <w:rsid w:val="00DE145D"/>
    <w:rsid w:val="00DE1ABC"/>
    <w:rsid w:val="00DE2109"/>
    <w:rsid w:val="00DE221B"/>
    <w:rsid w:val="00DE241C"/>
    <w:rsid w:val="00DE2430"/>
    <w:rsid w:val="00DE2CA2"/>
    <w:rsid w:val="00DE3330"/>
    <w:rsid w:val="00DE35E3"/>
    <w:rsid w:val="00DE38BE"/>
    <w:rsid w:val="00DE391A"/>
    <w:rsid w:val="00DE3B19"/>
    <w:rsid w:val="00DE3F36"/>
    <w:rsid w:val="00DE42B7"/>
    <w:rsid w:val="00DE4366"/>
    <w:rsid w:val="00DE45B9"/>
    <w:rsid w:val="00DE4891"/>
    <w:rsid w:val="00DE4AAF"/>
    <w:rsid w:val="00DE4F94"/>
    <w:rsid w:val="00DE5218"/>
    <w:rsid w:val="00DE5629"/>
    <w:rsid w:val="00DE6211"/>
    <w:rsid w:val="00DE637F"/>
    <w:rsid w:val="00DE6B18"/>
    <w:rsid w:val="00DE7B32"/>
    <w:rsid w:val="00DE7C93"/>
    <w:rsid w:val="00DE7DDE"/>
    <w:rsid w:val="00DF029B"/>
    <w:rsid w:val="00DF035C"/>
    <w:rsid w:val="00DF0950"/>
    <w:rsid w:val="00DF0BF9"/>
    <w:rsid w:val="00DF0DA3"/>
    <w:rsid w:val="00DF1B14"/>
    <w:rsid w:val="00DF1FD0"/>
    <w:rsid w:val="00DF20C4"/>
    <w:rsid w:val="00DF241C"/>
    <w:rsid w:val="00DF2962"/>
    <w:rsid w:val="00DF2AEF"/>
    <w:rsid w:val="00DF2BF3"/>
    <w:rsid w:val="00DF2C72"/>
    <w:rsid w:val="00DF3322"/>
    <w:rsid w:val="00DF3564"/>
    <w:rsid w:val="00DF400C"/>
    <w:rsid w:val="00DF4A62"/>
    <w:rsid w:val="00DF4B23"/>
    <w:rsid w:val="00DF4D34"/>
    <w:rsid w:val="00DF5451"/>
    <w:rsid w:val="00DF5D3D"/>
    <w:rsid w:val="00DF6230"/>
    <w:rsid w:val="00DF63E0"/>
    <w:rsid w:val="00DF6467"/>
    <w:rsid w:val="00DF6572"/>
    <w:rsid w:val="00DF6CF0"/>
    <w:rsid w:val="00DF7B46"/>
    <w:rsid w:val="00E002F3"/>
    <w:rsid w:val="00E00812"/>
    <w:rsid w:val="00E00F5B"/>
    <w:rsid w:val="00E01195"/>
    <w:rsid w:val="00E01A75"/>
    <w:rsid w:val="00E01C10"/>
    <w:rsid w:val="00E02442"/>
    <w:rsid w:val="00E02A74"/>
    <w:rsid w:val="00E02A94"/>
    <w:rsid w:val="00E02EAB"/>
    <w:rsid w:val="00E0576B"/>
    <w:rsid w:val="00E058E9"/>
    <w:rsid w:val="00E05C29"/>
    <w:rsid w:val="00E0640A"/>
    <w:rsid w:val="00E0647C"/>
    <w:rsid w:val="00E06573"/>
    <w:rsid w:val="00E06ABC"/>
    <w:rsid w:val="00E06B48"/>
    <w:rsid w:val="00E06EC4"/>
    <w:rsid w:val="00E0720E"/>
    <w:rsid w:val="00E072C6"/>
    <w:rsid w:val="00E07387"/>
    <w:rsid w:val="00E0756F"/>
    <w:rsid w:val="00E07FA1"/>
    <w:rsid w:val="00E10153"/>
    <w:rsid w:val="00E10216"/>
    <w:rsid w:val="00E102E5"/>
    <w:rsid w:val="00E103E1"/>
    <w:rsid w:val="00E106B6"/>
    <w:rsid w:val="00E107C4"/>
    <w:rsid w:val="00E1082A"/>
    <w:rsid w:val="00E111C3"/>
    <w:rsid w:val="00E1127A"/>
    <w:rsid w:val="00E117B0"/>
    <w:rsid w:val="00E11A36"/>
    <w:rsid w:val="00E11C75"/>
    <w:rsid w:val="00E11FC4"/>
    <w:rsid w:val="00E1207B"/>
    <w:rsid w:val="00E124E5"/>
    <w:rsid w:val="00E128AA"/>
    <w:rsid w:val="00E12C6D"/>
    <w:rsid w:val="00E12D91"/>
    <w:rsid w:val="00E13287"/>
    <w:rsid w:val="00E132D8"/>
    <w:rsid w:val="00E138FD"/>
    <w:rsid w:val="00E13D12"/>
    <w:rsid w:val="00E13EE7"/>
    <w:rsid w:val="00E14195"/>
    <w:rsid w:val="00E14722"/>
    <w:rsid w:val="00E14AEF"/>
    <w:rsid w:val="00E14E57"/>
    <w:rsid w:val="00E15031"/>
    <w:rsid w:val="00E151AE"/>
    <w:rsid w:val="00E15437"/>
    <w:rsid w:val="00E15593"/>
    <w:rsid w:val="00E15DE5"/>
    <w:rsid w:val="00E16018"/>
    <w:rsid w:val="00E16091"/>
    <w:rsid w:val="00E1612B"/>
    <w:rsid w:val="00E16250"/>
    <w:rsid w:val="00E163D0"/>
    <w:rsid w:val="00E170CA"/>
    <w:rsid w:val="00E17294"/>
    <w:rsid w:val="00E1768D"/>
    <w:rsid w:val="00E1770B"/>
    <w:rsid w:val="00E17A23"/>
    <w:rsid w:val="00E17D1F"/>
    <w:rsid w:val="00E201EC"/>
    <w:rsid w:val="00E20BE5"/>
    <w:rsid w:val="00E20C14"/>
    <w:rsid w:val="00E20DB0"/>
    <w:rsid w:val="00E213A3"/>
    <w:rsid w:val="00E21AEC"/>
    <w:rsid w:val="00E220AC"/>
    <w:rsid w:val="00E22286"/>
    <w:rsid w:val="00E2258F"/>
    <w:rsid w:val="00E22CAE"/>
    <w:rsid w:val="00E22CC0"/>
    <w:rsid w:val="00E22FE5"/>
    <w:rsid w:val="00E2325C"/>
    <w:rsid w:val="00E2394B"/>
    <w:rsid w:val="00E24571"/>
    <w:rsid w:val="00E2461E"/>
    <w:rsid w:val="00E24659"/>
    <w:rsid w:val="00E24F65"/>
    <w:rsid w:val="00E257EF"/>
    <w:rsid w:val="00E259A9"/>
    <w:rsid w:val="00E26AAC"/>
    <w:rsid w:val="00E26DE0"/>
    <w:rsid w:val="00E27033"/>
    <w:rsid w:val="00E2753C"/>
    <w:rsid w:val="00E276A9"/>
    <w:rsid w:val="00E279C4"/>
    <w:rsid w:val="00E27C12"/>
    <w:rsid w:val="00E3029D"/>
    <w:rsid w:val="00E3051E"/>
    <w:rsid w:val="00E30567"/>
    <w:rsid w:val="00E30950"/>
    <w:rsid w:val="00E30C79"/>
    <w:rsid w:val="00E30F2B"/>
    <w:rsid w:val="00E30F5D"/>
    <w:rsid w:val="00E310AE"/>
    <w:rsid w:val="00E311D9"/>
    <w:rsid w:val="00E31209"/>
    <w:rsid w:val="00E315FD"/>
    <w:rsid w:val="00E3163D"/>
    <w:rsid w:val="00E31F1F"/>
    <w:rsid w:val="00E32C88"/>
    <w:rsid w:val="00E32F74"/>
    <w:rsid w:val="00E33877"/>
    <w:rsid w:val="00E3387B"/>
    <w:rsid w:val="00E33A65"/>
    <w:rsid w:val="00E33BA3"/>
    <w:rsid w:val="00E33E1B"/>
    <w:rsid w:val="00E34693"/>
    <w:rsid w:val="00E347F1"/>
    <w:rsid w:val="00E3554D"/>
    <w:rsid w:val="00E364DD"/>
    <w:rsid w:val="00E36656"/>
    <w:rsid w:val="00E36CBE"/>
    <w:rsid w:val="00E371A4"/>
    <w:rsid w:val="00E37553"/>
    <w:rsid w:val="00E41670"/>
    <w:rsid w:val="00E416E9"/>
    <w:rsid w:val="00E41D63"/>
    <w:rsid w:val="00E42344"/>
    <w:rsid w:val="00E42C85"/>
    <w:rsid w:val="00E42DBD"/>
    <w:rsid w:val="00E42E04"/>
    <w:rsid w:val="00E4319E"/>
    <w:rsid w:val="00E431C3"/>
    <w:rsid w:val="00E43215"/>
    <w:rsid w:val="00E43645"/>
    <w:rsid w:val="00E43E7D"/>
    <w:rsid w:val="00E4428B"/>
    <w:rsid w:val="00E44619"/>
    <w:rsid w:val="00E44657"/>
    <w:rsid w:val="00E4472F"/>
    <w:rsid w:val="00E452AD"/>
    <w:rsid w:val="00E454A7"/>
    <w:rsid w:val="00E45ECE"/>
    <w:rsid w:val="00E46090"/>
    <w:rsid w:val="00E462B8"/>
    <w:rsid w:val="00E46374"/>
    <w:rsid w:val="00E466EC"/>
    <w:rsid w:val="00E46C72"/>
    <w:rsid w:val="00E46C73"/>
    <w:rsid w:val="00E474DB"/>
    <w:rsid w:val="00E47643"/>
    <w:rsid w:val="00E476F8"/>
    <w:rsid w:val="00E47E58"/>
    <w:rsid w:val="00E5023A"/>
    <w:rsid w:val="00E507D5"/>
    <w:rsid w:val="00E51464"/>
    <w:rsid w:val="00E51AE5"/>
    <w:rsid w:val="00E51F77"/>
    <w:rsid w:val="00E52116"/>
    <w:rsid w:val="00E53540"/>
    <w:rsid w:val="00E53647"/>
    <w:rsid w:val="00E5399C"/>
    <w:rsid w:val="00E53CF4"/>
    <w:rsid w:val="00E5456D"/>
    <w:rsid w:val="00E547C3"/>
    <w:rsid w:val="00E548EC"/>
    <w:rsid w:val="00E552CA"/>
    <w:rsid w:val="00E557CF"/>
    <w:rsid w:val="00E559DC"/>
    <w:rsid w:val="00E55E10"/>
    <w:rsid w:val="00E55EC4"/>
    <w:rsid w:val="00E55EDD"/>
    <w:rsid w:val="00E56890"/>
    <w:rsid w:val="00E56C10"/>
    <w:rsid w:val="00E56CAB"/>
    <w:rsid w:val="00E57438"/>
    <w:rsid w:val="00E57764"/>
    <w:rsid w:val="00E60181"/>
    <w:rsid w:val="00E60234"/>
    <w:rsid w:val="00E603B0"/>
    <w:rsid w:val="00E60690"/>
    <w:rsid w:val="00E60C39"/>
    <w:rsid w:val="00E60CCC"/>
    <w:rsid w:val="00E6141B"/>
    <w:rsid w:val="00E61427"/>
    <w:rsid w:val="00E61B5F"/>
    <w:rsid w:val="00E61C49"/>
    <w:rsid w:val="00E61C74"/>
    <w:rsid w:val="00E62A37"/>
    <w:rsid w:val="00E6394B"/>
    <w:rsid w:val="00E63B6C"/>
    <w:rsid w:val="00E63D7A"/>
    <w:rsid w:val="00E643C6"/>
    <w:rsid w:val="00E64D0A"/>
    <w:rsid w:val="00E64D6A"/>
    <w:rsid w:val="00E650C0"/>
    <w:rsid w:val="00E654CC"/>
    <w:rsid w:val="00E6551E"/>
    <w:rsid w:val="00E66583"/>
    <w:rsid w:val="00E667EB"/>
    <w:rsid w:val="00E66E99"/>
    <w:rsid w:val="00E66F28"/>
    <w:rsid w:val="00E6711A"/>
    <w:rsid w:val="00E6715D"/>
    <w:rsid w:val="00E676AD"/>
    <w:rsid w:val="00E67CB7"/>
    <w:rsid w:val="00E67E0A"/>
    <w:rsid w:val="00E700FC"/>
    <w:rsid w:val="00E71BAB"/>
    <w:rsid w:val="00E72622"/>
    <w:rsid w:val="00E72A7E"/>
    <w:rsid w:val="00E72E83"/>
    <w:rsid w:val="00E74285"/>
    <w:rsid w:val="00E748AB"/>
    <w:rsid w:val="00E7492A"/>
    <w:rsid w:val="00E75280"/>
    <w:rsid w:val="00E753AD"/>
    <w:rsid w:val="00E77B22"/>
    <w:rsid w:val="00E77B49"/>
    <w:rsid w:val="00E8004D"/>
    <w:rsid w:val="00E801F1"/>
    <w:rsid w:val="00E805D0"/>
    <w:rsid w:val="00E8105D"/>
    <w:rsid w:val="00E812EF"/>
    <w:rsid w:val="00E8135F"/>
    <w:rsid w:val="00E82424"/>
    <w:rsid w:val="00E83605"/>
    <w:rsid w:val="00E8381C"/>
    <w:rsid w:val="00E83A5E"/>
    <w:rsid w:val="00E83C1A"/>
    <w:rsid w:val="00E841D7"/>
    <w:rsid w:val="00E842A1"/>
    <w:rsid w:val="00E8485F"/>
    <w:rsid w:val="00E84D9D"/>
    <w:rsid w:val="00E851FD"/>
    <w:rsid w:val="00E85775"/>
    <w:rsid w:val="00E858E9"/>
    <w:rsid w:val="00E86157"/>
    <w:rsid w:val="00E862CD"/>
    <w:rsid w:val="00E86856"/>
    <w:rsid w:val="00E8691D"/>
    <w:rsid w:val="00E86A56"/>
    <w:rsid w:val="00E86B5D"/>
    <w:rsid w:val="00E87999"/>
    <w:rsid w:val="00E87A74"/>
    <w:rsid w:val="00E87C2C"/>
    <w:rsid w:val="00E901A4"/>
    <w:rsid w:val="00E9023E"/>
    <w:rsid w:val="00E902B7"/>
    <w:rsid w:val="00E902CE"/>
    <w:rsid w:val="00E905D4"/>
    <w:rsid w:val="00E906D9"/>
    <w:rsid w:val="00E90808"/>
    <w:rsid w:val="00E911FE"/>
    <w:rsid w:val="00E91565"/>
    <w:rsid w:val="00E917DF"/>
    <w:rsid w:val="00E918EF"/>
    <w:rsid w:val="00E91C80"/>
    <w:rsid w:val="00E91EBC"/>
    <w:rsid w:val="00E92206"/>
    <w:rsid w:val="00E922A3"/>
    <w:rsid w:val="00E9239A"/>
    <w:rsid w:val="00E92798"/>
    <w:rsid w:val="00E92992"/>
    <w:rsid w:val="00E92AEB"/>
    <w:rsid w:val="00E92F58"/>
    <w:rsid w:val="00E93AB6"/>
    <w:rsid w:val="00E9461F"/>
    <w:rsid w:val="00E94BCE"/>
    <w:rsid w:val="00E958E5"/>
    <w:rsid w:val="00E961F0"/>
    <w:rsid w:val="00E9650D"/>
    <w:rsid w:val="00E97229"/>
    <w:rsid w:val="00EA095E"/>
    <w:rsid w:val="00EA09FD"/>
    <w:rsid w:val="00EA0A17"/>
    <w:rsid w:val="00EA0A99"/>
    <w:rsid w:val="00EA0A9A"/>
    <w:rsid w:val="00EA0CB8"/>
    <w:rsid w:val="00EA0FB5"/>
    <w:rsid w:val="00EA1120"/>
    <w:rsid w:val="00EA11A5"/>
    <w:rsid w:val="00EA1387"/>
    <w:rsid w:val="00EA16C3"/>
    <w:rsid w:val="00EA1D88"/>
    <w:rsid w:val="00EA1E5B"/>
    <w:rsid w:val="00EA1FD1"/>
    <w:rsid w:val="00EA204A"/>
    <w:rsid w:val="00EA2164"/>
    <w:rsid w:val="00EA2A02"/>
    <w:rsid w:val="00EA2C9D"/>
    <w:rsid w:val="00EA4139"/>
    <w:rsid w:val="00EA4533"/>
    <w:rsid w:val="00EA5882"/>
    <w:rsid w:val="00EA5940"/>
    <w:rsid w:val="00EA5B14"/>
    <w:rsid w:val="00EA6A80"/>
    <w:rsid w:val="00EA702F"/>
    <w:rsid w:val="00EA7184"/>
    <w:rsid w:val="00EA7788"/>
    <w:rsid w:val="00EA7947"/>
    <w:rsid w:val="00EA7BAE"/>
    <w:rsid w:val="00EB0139"/>
    <w:rsid w:val="00EB0178"/>
    <w:rsid w:val="00EB0373"/>
    <w:rsid w:val="00EB0980"/>
    <w:rsid w:val="00EB1627"/>
    <w:rsid w:val="00EB1D69"/>
    <w:rsid w:val="00EB266E"/>
    <w:rsid w:val="00EB2AA3"/>
    <w:rsid w:val="00EB2B8E"/>
    <w:rsid w:val="00EB2B97"/>
    <w:rsid w:val="00EB2C2D"/>
    <w:rsid w:val="00EB38B7"/>
    <w:rsid w:val="00EB3A85"/>
    <w:rsid w:val="00EB3BCE"/>
    <w:rsid w:val="00EB42E6"/>
    <w:rsid w:val="00EB45CD"/>
    <w:rsid w:val="00EB4A8E"/>
    <w:rsid w:val="00EB4AA5"/>
    <w:rsid w:val="00EB5264"/>
    <w:rsid w:val="00EB5AF4"/>
    <w:rsid w:val="00EB6240"/>
    <w:rsid w:val="00EB6244"/>
    <w:rsid w:val="00EB63C5"/>
    <w:rsid w:val="00EB64EE"/>
    <w:rsid w:val="00EB670A"/>
    <w:rsid w:val="00EB6A64"/>
    <w:rsid w:val="00EB6B5B"/>
    <w:rsid w:val="00EB6CC4"/>
    <w:rsid w:val="00EB6D11"/>
    <w:rsid w:val="00EB6FE1"/>
    <w:rsid w:val="00EB73BD"/>
    <w:rsid w:val="00EB7425"/>
    <w:rsid w:val="00EB7682"/>
    <w:rsid w:val="00EB7E1B"/>
    <w:rsid w:val="00EB7E4E"/>
    <w:rsid w:val="00EC02F0"/>
    <w:rsid w:val="00EC038A"/>
    <w:rsid w:val="00EC0FFD"/>
    <w:rsid w:val="00EC1168"/>
    <w:rsid w:val="00EC1393"/>
    <w:rsid w:val="00EC1F1F"/>
    <w:rsid w:val="00EC225D"/>
    <w:rsid w:val="00EC25C6"/>
    <w:rsid w:val="00EC29B4"/>
    <w:rsid w:val="00EC2E13"/>
    <w:rsid w:val="00EC3166"/>
    <w:rsid w:val="00EC348B"/>
    <w:rsid w:val="00EC4454"/>
    <w:rsid w:val="00EC4635"/>
    <w:rsid w:val="00EC4906"/>
    <w:rsid w:val="00EC4E84"/>
    <w:rsid w:val="00EC574B"/>
    <w:rsid w:val="00EC5834"/>
    <w:rsid w:val="00EC5C3D"/>
    <w:rsid w:val="00EC5D53"/>
    <w:rsid w:val="00EC5FE1"/>
    <w:rsid w:val="00EC6015"/>
    <w:rsid w:val="00EC6306"/>
    <w:rsid w:val="00EC6560"/>
    <w:rsid w:val="00EC679C"/>
    <w:rsid w:val="00EC68C0"/>
    <w:rsid w:val="00EC6A70"/>
    <w:rsid w:val="00EC6BA1"/>
    <w:rsid w:val="00EC730A"/>
    <w:rsid w:val="00EC7536"/>
    <w:rsid w:val="00EC75D2"/>
    <w:rsid w:val="00EC77D6"/>
    <w:rsid w:val="00EC78C1"/>
    <w:rsid w:val="00EC7960"/>
    <w:rsid w:val="00ED0063"/>
    <w:rsid w:val="00ED0473"/>
    <w:rsid w:val="00ED048B"/>
    <w:rsid w:val="00ED056B"/>
    <w:rsid w:val="00ED0BD7"/>
    <w:rsid w:val="00ED0DD0"/>
    <w:rsid w:val="00ED0E4B"/>
    <w:rsid w:val="00ED1A39"/>
    <w:rsid w:val="00ED1A9B"/>
    <w:rsid w:val="00ED2253"/>
    <w:rsid w:val="00ED2307"/>
    <w:rsid w:val="00ED23AD"/>
    <w:rsid w:val="00ED2893"/>
    <w:rsid w:val="00ED2A2F"/>
    <w:rsid w:val="00ED2B79"/>
    <w:rsid w:val="00ED2C89"/>
    <w:rsid w:val="00ED2E22"/>
    <w:rsid w:val="00ED301B"/>
    <w:rsid w:val="00ED3443"/>
    <w:rsid w:val="00ED4010"/>
    <w:rsid w:val="00ED462D"/>
    <w:rsid w:val="00ED46DD"/>
    <w:rsid w:val="00ED5004"/>
    <w:rsid w:val="00ED50BB"/>
    <w:rsid w:val="00ED5315"/>
    <w:rsid w:val="00ED6354"/>
    <w:rsid w:val="00ED6658"/>
    <w:rsid w:val="00ED68DE"/>
    <w:rsid w:val="00ED6921"/>
    <w:rsid w:val="00ED6999"/>
    <w:rsid w:val="00ED6C16"/>
    <w:rsid w:val="00ED714C"/>
    <w:rsid w:val="00ED79E8"/>
    <w:rsid w:val="00ED7B04"/>
    <w:rsid w:val="00ED7CA0"/>
    <w:rsid w:val="00ED7CB8"/>
    <w:rsid w:val="00EE06C8"/>
    <w:rsid w:val="00EE0EA6"/>
    <w:rsid w:val="00EE0F1A"/>
    <w:rsid w:val="00EE1092"/>
    <w:rsid w:val="00EE117F"/>
    <w:rsid w:val="00EE12A1"/>
    <w:rsid w:val="00EE163E"/>
    <w:rsid w:val="00EE17DA"/>
    <w:rsid w:val="00EE18B7"/>
    <w:rsid w:val="00EE2CA0"/>
    <w:rsid w:val="00EE354A"/>
    <w:rsid w:val="00EE3D8F"/>
    <w:rsid w:val="00EE417B"/>
    <w:rsid w:val="00EE52E6"/>
    <w:rsid w:val="00EE57B6"/>
    <w:rsid w:val="00EE600F"/>
    <w:rsid w:val="00EE6880"/>
    <w:rsid w:val="00EE712C"/>
    <w:rsid w:val="00EE7188"/>
    <w:rsid w:val="00EE7254"/>
    <w:rsid w:val="00EE7348"/>
    <w:rsid w:val="00EE7713"/>
    <w:rsid w:val="00EF0138"/>
    <w:rsid w:val="00EF04A8"/>
    <w:rsid w:val="00EF084E"/>
    <w:rsid w:val="00EF0DD7"/>
    <w:rsid w:val="00EF138F"/>
    <w:rsid w:val="00EF1D69"/>
    <w:rsid w:val="00EF219F"/>
    <w:rsid w:val="00EF282A"/>
    <w:rsid w:val="00EF2AE9"/>
    <w:rsid w:val="00EF3974"/>
    <w:rsid w:val="00EF4848"/>
    <w:rsid w:val="00EF4E17"/>
    <w:rsid w:val="00EF52E8"/>
    <w:rsid w:val="00EF5B79"/>
    <w:rsid w:val="00EF5CB3"/>
    <w:rsid w:val="00EF6046"/>
    <w:rsid w:val="00EF667A"/>
    <w:rsid w:val="00EF667D"/>
    <w:rsid w:val="00EF679E"/>
    <w:rsid w:val="00EF6F68"/>
    <w:rsid w:val="00EF75F6"/>
    <w:rsid w:val="00EF78F1"/>
    <w:rsid w:val="00F008AD"/>
    <w:rsid w:val="00F00FBA"/>
    <w:rsid w:val="00F012D6"/>
    <w:rsid w:val="00F01C13"/>
    <w:rsid w:val="00F030AB"/>
    <w:rsid w:val="00F035FB"/>
    <w:rsid w:val="00F03D1F"/>
    <w:rsid w:val="00F03DCF"/>
    <w:rsid w:val="00F04142"/>
    <w:rsid w:val="00F04786"/>
    <w:rsid w:val="00F04990"/>
    <w:rsid w:val="00F04A4E"/>
    <w:rsid w:val="00F04DB0"/>
    <w:rsid w:val="00F05051"/>
    <w:rsid w:val="00F058D0"/>
    <w:rsid w:val="00F05EDE"/>
    <w:rsid w:val="00F06028"/>
    <w:rsid w:val="00F065A9"/>
    <w:rsid w:val="00F069B0"/>
    <w:rsid w:val="00F06E0F"/>
    <w:rsid w:val="00F06E1F"/>
    <w:rsid w:val="00F072BE"/>
    <w:rsid w:val="00F072F7"/>
    <w:rsid w:val="00F07668"/>
    <w:rsid w:val="00F076DA"/>
    <w:rsid w:val="00F07ACF"/>
    <w:rsid w:val="00F100B2"/>
    <w:rsid w:val="00F10424"/>
    <w:rsid w:val="00F104FF"/>
    <w:rsid w:val="00F105FD"/>
    <w:rsid w:val="00F1072E"/>
    <w:rsid w:val="00F10EED"/>
    <w:rsid w:val="00F129D7"/>
    <w:rsid w:val="00F12BF3"/>
    <w:rsid w:val="00F12DFC"/>
    <w:rsid w:val="00F12F5C"/>
    <w:rsid w:val="00F13310"/>
    <w:rsid w:val="00F1363C"/>
    <w:rsid w:val="00F1391B"/>
    <w:rsid w:val="00F13B37"/>
    <w:rsid w:val="00F13C89"/>
    <w:rsid w:val="00F13D69"/>
    <w:rsid w:val="00F13EA1"/>
    <w:rsid w:val="00F13ECD"/>
    <w:rsid w:val="00F1432E"/>
    <w:rsid w:val="00F143B0"/>
    <w:rsid w:val="00F1476A"/>
    <w:rsid w:val="00F14AB3"/>
    <w:rsid w:val="00F14BB2"/>
    <w:rsid w:val="00F150AD"/>
    <w:rsid w:val="00F15560"/>
    <w:rsid w:val="00F1558B"/>
    <w:rsid w:val="00F1574F"/>
    <w:rsid w:val="00F15C17"/>
    <w:rsid w:val="00F15D5C"/>
    <w:rsid w:val="00F162CB"/>
    <w:rsid w:val="00F1670F"/>
    <w:rsid w:val="00F1720C"/>
    <w:rsid w:val="00F179B9"/>
    <w:rsid w:val="00F17FA1"/>
    <w:rsid w:val="00F20415"/>
    <w:rsid w:val="00F20F3D"/>
    <w:rsid w:val="00F213A1"/>
    <w:rsid w:val="00F216F0"/>
    <w:rsid w:val="00F219AD"/>
    <w:rsid w:val="00F21AC0"/>
    <w:rsid w:val="00F21D79"/>
    <w:rsid w:val="00F21E46"/>
    <w:rsid w:val="00F22388"/>
    <w:rsid w:val="00F22AEE"/>
    <w:rsid w:val="00F231FD"/>
    <w:rsid w:val="00F2362B"/>
    <w:rsid w:val="00F23E42"/>
    <w:rsid w:val="00F23EDF"/>
    <w:rsid w:val="00F24108"/>
    <w:rsid w:val="00F245A0"/>
    <w:rsid w:val="00F248D9"/>
    <w:rsid w:val="00F24B1F"/>
    <w:rsid w:val="00F255E9"/>
    <w:rsid w:val="00F2564E"/>
    <w:rsid w:val="00F25B56"/>
    <w:rsid w:val="00F25BA9"/>
    <w:rsid w:val="00F26E67"/>
    <w:rsid w:val="00F271C3"/>
    <w:rsid w:val="00F30075"/>
    <w:rsid w:val="00F300DB"/>
    <w:rsid w:val="00F300F1"/>
    <w:rsid w:val="00F308FC"/>
    <w:rsid w:val="00F3113B"/>
    <w:rsid w:val="00F3125F"/>
    <w:rsid w:val="00F31C5D"/>
    <w:rsid w:val="00F31E70"/>
    <w:rsid w:val="00F32691"/>
    <w:rsid w:val="00F32BC6"/>
    <w:rsid w:val="00F32C06"/>
    <w:rsid w:val="00F3307D"/>
    <w:rsid w:val="00F331AD"/>
    <w:rsid w:val="00F331DB"/>
    <w:rsid w:val="00F33503"/>
    <w:rsid w:val="00F33611"/>
    <w:rsid w:val="00F33625"/>
    <w:rsid w:val="00F336D0"/>
    <w:rsid w:val="00F3378D"/>
    <w:rsid w:val="00F341A2"/>
    <w:rsid w:val="00F3464B"/>
    <w:rsid w:val="00F34B5F"/>
    <w:rsid w:val="00F34CAA"/>
    <w:rsid w:val="00F35194"/>
    <w:rsid w:val="00F361FE"/>
    <w:rsid w:val="00F363B3"/>
    <w:rsid w:val="00F36455"/>
    <w:rsid w:val="00F36AFB"/>
    <w:rsid w:val="00F36FAB"/>
    <w:rsid w:val="00F372E5"/>
    <w:rsid w:val="00F37430"/>
    <w:rsid w:val="00F374C3"/>
    <w:rsid w:val="00F3765D"/>
    <w:rsid w:val="00F408DD"/>
    <w:rsid w:val="00F40CEF"/>
    <w:rsid w:val="00F41626"/>
    <w:rsid w:val="00F41E10"/>
    <w:rsid w:val="00F42188"/>
    <w:rsid w:val="00F421A0"/>
    <w:rsid w:val="00F4253F"/>
    <w:rsid w:val="00F42582"/>
    <w:rsid w:val="00F4302F"/>
    <w:rsid w:val="00F43AF0"/>
    <w:rsid w:val="00F43D78"/>
    <w:rsid w:val="00F43D80"/>
    <w:rsid w:val="00F43DCE"/>
    <w:rsid w:val="00F447D7"/>
    <w:rsid w:val="00F448FE"/>
    <w:rsid w:val="00F449FF"/>
    <w:rsid w:val="00F44EE2"/>
    <w:rsid w:val="00F44F62"/>
    <w:rsid w:val="00F4547B"/>
    <w:rsid w:val="00F455E2"/>
    <w:rsid w:val="00F458AC"/>
    <w:rsid w:val="00F460DB"/>
    <w:rsid w:val="00F46120"/>
    <w:rsid w:val="00F4613C"/>
    <w:rsid w:val="00F461E2"/>
    <w:rsid w:val="00F463FE"/>
    <w:rsid w:val="00F464F6"/>
    <w:rsid w:val="00F465E3"/>
    <w:rsid w:val="00F4687F"/>
    <w:rsid w:val="00F469E4"/>
    <w:rsid w:val="00F46A46"/>
    <w:rsid w:val="00F46DC0"/>
    <w:rsid w:val="00F50BDB"/>
    <w:rsid w:val="00F514F8"/>
    <w:rsid w:val="00F51712"/>
    <w:rsid w:val="00F51946"/>
    <w:rsid w:val="00F51AFF"/>
    <w:rsid w:val="00F52184"/>
    <w:rsid w:val="00F525FA"/>
    <w:rsid w:val="00F52953"/>
    <w:rsid w:val="00F52B6A"/>
    <w:rsid w:val="00F52EDD"/>
    <w:rsid w:val="00F53395"/>
    <w:rsid w:val="00F53A88"/>
    <w:rsid w:val="00F547C5"/>
    <w:rsid w:val="00F54A69"/>
    <w:rsid w:val="00F54ADC"/>
    <w:rsid w:val="00F5534F"/>
    <w:rsid w:val="00F5539A"/>
    <w:rsid w:val="00F553A5"/>
    <w:rsid w:val="00F5545A"/>
    <w:rsid w:val="00F5550F"/>
    <w:rsid w:val="00F55B17"/>
    <w:rsid w:val="00F56205"/>
    <w:rsid w:val="00F56C80"/>
    <w:rsid w:val="00F56C9C"/>
    <w:rsid w:val="00F56E12"/>
    <w:rsid w:val="00F56EA4"/>
    <w:rsid w:val="00F57156"/>
    <w:rsid w:val="00F5735D"/>
    <w:rsid w:val="00F57364"/>
    <w:rsid w:val="00F57370"/>
    <w:rsid w:val="00F57D4C"/>
    <w:rsid w:val="00F60097"/>
    <w:rsid w:val="00F606B6"/>
    <w:rsid w:val="00F618DD"/>
    <w:rsid w:val="00F618E9"/>
    <w:rsid w:val="00F624C4"/>
    <w:rsid w:val="00F624CC"/>
    <w:rsid w:val="00F627EC"/>
    <w:rsid w:val="00F62D6D"/>
    <w:rsid w:val="00F62F94"/>
    <w:rsid w:val="00F630B3"/>
    <w:rsid w:val="00F6394F"/>
    <w:rsid w:val="00F641FD"/>
    <w:rsid w:val="00F645F4"/>
    <w:rsid w:val="00F64673"/>
    <w:rsid w:val="00F64A8C"/>
    <w:rsid w:val="00F64BA2"/>
    <w:rsid w:val="00F65056"/>
    <w:rsid w:val="00F66446"/>
    <w:rsid w:val="00F664F2"/>
    <w:rsid w:val="00F668D0"/>
    <w:rsid w:val="00F671BB"/>
    <w:rsid w:val="00F6740A"/>
    <w:rsid w:val="00F67721"/>
    <w:rsid w:val="00F67883"/>
    <w:rsid w:val="00F67923"/>
    <w:rsid w:val="00F67ACE"/>
    <w:rsid w:val="00F67BB1"/>
    <w:rsid w:val="00F67EEE"/>
    <w:rsid w:val="00F67F03"/>
    <w:rsid w:val="00F706CA"/>
    <w:rsid w:val="00F7089F"/>
    <w:rsid w:val="00F70B7F"/>
    <w:rsid w:val="00F70DC8"/>
    <w:rsid w:val="00F719C5"/>
    <w:rsid w:val="00F71A05"/>
    <w:rsid w:val="00F71F30"/>
    <w:rsid w:val="00F72419"/>
    <w:rsid w:val="00F731D2"/>
    <w:rsid w:val="00F731DC"/>
    <w:rsid w:val="00F73A50"/>
    <w:rsid w:val="00F73FB1"/>
    <w:rsid w:val="00F74159"/>
    <w:rsid w:val="00F74352"/>
    <w:rsid w:val="00F748F2"/>
    <w:rsid w:val="00F74AF6"/>
    <w:rsid w:val="00F7528E"/>
    <w:rsid w:val="00F75540"/>
    <w:rsid w:val="00F7558E"/>
    <w:rsid w:val="00F75705"/>
    <w:rsid w:val="00F75EFD"/>
    <w:rsid w:val="00F7634E"/>
    <w:rsid w:val="00F76C06"/>
    <w:rsid w:val="00F7735D"/>
    <w:rsid w:val="00F77408"/>
    <w:rsid w:val="00F774B5"/>
    <w:rsid w:val="00F77F36"/>
    <w:rsid w:val="00F77FCA"/>
    <w:rsid w:val="00F8040C"/>
    <w:rsid w:val="00F81ECA"/>
    <w:rsid w:val="00F82444"/>
    <w:rsid w:val="00F8259F"/>
    <w:rsid w:val="00F82A97"/>
    <w:rsid w:val="00F82EEE"/>
    <w:rsid w:val="00F82F68"/>
    <w:rsid w:val="00F83DAA"/>
    <w:rsid w:val="00F83E56"/>
    <w:rsid w:val="00F8422D"/>
    <w:rsid w:val="00F843D2"/>
    <w:rsid w:val="00F8450D"/>
    <w:rsid w:val="00F84797"/>
    <w:rsid w:val="00F8494B"/>
    <w:rsid w:val="00F84972"/>
    <w:rsid w:val="00F84CD8"/>
    <w:rsid w:val="00F851EE"/>
    <w:rsid w:val="00F8596A"/>
    <w:rsid w:val="00F85B11"/>
    <w:rsid w:val="00F85C13"/>
    <w:rsid w:val="00F85F1C"/>
    <w:rsid w:val="00F8613D"/>
    <w:rsid w:val="00F8652C"/>
    <w:rsid w:val="00F86F73"/>
    <w:rsid w:val="00F86FB8"/>
    <w:rsid w:val="00F8741C"/>
    <w:rsid w:val="00F8790F"/>
    <w:rsid w:val="00F87A87"/>
    <w:rsid w:val="00F9004C"/>
    <w:rsid w:val="00F90223"/>
    <w:rsid w:val="00F9079B"/>
    <w:rsid w:val="00F908F5"/>
    <w:rsid w:val="00F90BD4"/>
    <w:rsid w:val="00F91619"/>
    <w:rsid w:val="00F91ACD"/>
    <w:rsid w:val="00F91B79"/>
    <w:rsid w:val="00F91E3B"/>
    <w:rsid w:val="00F91EA7"/>
    <w:rsid w:val="00F921C4"/>
    <w:rsid w:val="00F9265B"/>
    <w:rsid w:val="00F92B63"/>
    <w:rsid w:val="00F92CDD"/>
    <w:rsid w:val="00F933AB"/>
    <w:rsid w:val="00F93477"/>
    <w:rsid w:val="00F93905"/>
    <w:rsid w:val="00F93D2A"/>
    <w:rsid w:val="00F93EDB"/>
    <w:rsid w:val="00F94533"/>
    <w:rsid w:val="00F94535"/>
    <w:rsid w:val="00F9465F"/>
    <w:rsid w:val="00F9497A"/>
    <w:rsid w:val="00F94FDB"/>
    <w:rsid w:val="00F95420"/>
    <w:rsid w:val="00F95460"/>
    <w:rsid w:val="00F957DE"/>
    <w:rsid w:val="00F958FC"/>
    <w:rsid w:val="00F96526"/>
    <w:rsid w:val="00F96568"/>
    <w:rsid w:val="00F96A59"/>
    <w:rsid w:val="00F9720F"/>
    <w:rsid w:val="00F97508"/>
    <w:rsid w:val="00F97A2B"/>
    <w:rsid w:val="00F97AC9"/>
    <w:rsid w:val="00F97CE2"/>
    <w:rsid w:val="00F97E20"/>
    <w:rsid w:val="00F97F4B"/>
    <w:rsid w:val="00FA00BE"/>
    <w:rsid w:val="00FA0124"/>
    <w:rsid w:val="00FA0BCA"/>
    <w:rsid w:val="00FA0E41"/>
    <w:rsid w:val="00FA0FDD"/>
    <w:rsid w:val="00FA1485"/>
    <w:rsid w:val="00FA1508"/>
    <w:rsid w:val="00FA1B64"/>
    <w:rsid w:val="00FA1F4B"/>
    <w:rsid w:val="00FA2CCE"/>
    <w:rsid w:val="00FA2E7F"/>
    <w:rsid w:val="00FA3318"/>
    <w:rsid w:val="00FA3907"/>
    <w:rsid w:val="00FA3A2D"/>
    <w:rsid w:val="00FA3A54"/>
    <w:rsid w:val="00FA3EC5"/>
    <w:rsid w:val="00FA3F30"/>
    <w:rsid w:val="00FA5D87"/>
    <w:rsid w:val="00FA69C6"/>
    <w:rsid w:val="00FA6ADD"/>
    <w:rsid w:val="00FA77FC"/>
    <w:rsid w:val="00FA7C15"/>
    <w:rsid w:val="00FA7E8D"/>
    <w:rsid w:val="00FA7FD8"/>
    <w:rsid w:val="00FB0277"/>
    <w:rsid w:val="00FB077F"/>
    <w:rsid w:val="00FB11DB"/>
    <w:rsid w:val="00FB12ED"/>
    <w:rsid w:val="00FB13DF"/>
    <w:rsid w:val="00FB153A"/>
    <w:rsid w:val="00FB1D43"/>
    <w:rsid w:val="00FB1EEA"/>
    <w:rsid w:val="00FB1F54"/>
    <w:rsid w:val="00FB1F87"/>
    <w:rsid w:val="00FB24E0"/>
    <w:rsid w:val="00FB25D5"/>
    <w:rsid w:val="00FB266D"/>
    <w:rsid w:val="00FB2833"/>
    <w:rsid w:val="00FB29D2"/>
    <w:rsid w:val="00FB30D2"/>
    <w:rsid w:val="00FB3500"/>
    <w:rsid w:val="00FB3F2C"/>
    <w:rsid w:val="00FB406D"/>
    <w:rsid w:val="00FB4371"/>
    <w:rsid w:val="00FB47A6"/>
    <w:rsid w:val="00FB4C61"/>
    <w:rsid w:val="00FB4D01"/>
    <w:rsid w:val="00FB4EB5"/>
    <w:rsid w:val="00FB4EFC"/>
    <w:rsid w:val="00FB541A"/>
    <w:rsid w:val="00FB547B"/>
    <w:rsid w:val="00FB5C15"/>
    <w:rsid w:val="00FB5EB6"/>
    <w:rsid w:val="00FB610F"/>
    <w:rsid w:val="00FB6205"/>
    <w:rsid w:val="00FB63D5"/>
    <w:rsid w:val="00FB69CC"/>
    <w:rsid w:val="00FB6F8C"/>
    <w:rsid w:val="00FB737C"/>
    <w:rsid w:val="00FB74B9"/>
    <w:rsid w:val="00FB79FB"/>
    <w:rsid w:val="00FB7A79"/>
    <w:rsid w:val="00FB7C7D"/>
    <w:rsid w:val="00FB7D09"/>
    <w:rsid w:val="00FB7EEA"/>
    <w:rsid w:val="00FB7F3B"/>
    <w:rsid w:val="00FB7FB2"/>
    <w:rsid w:val="00FC04E7"/>
    <w:rsid w:val="00FC0BA4"/>
    <w:rsid w:val="00FC1E00"/>
    <w:rsid w:val="00FC20D6"/>
    <w:rsid w:val="00FC2106"/>
    <w:rsid w:val="00FC2146"/>
    <w:rsid w:val="00FC2208"/>
    <w:rsid w:val="00FC2754"/>
    <w:rsid w:val="00FC2961"/>
    <w:rsid w:val="00FC333E"/>
    <w:rsid w:val="00FC3460"/>
    <w:rsid w:val="00FC3E2A"/>
    <w:rsid w:val="00FC3F7F"/>
    <w:rsid w:val="00FC423E"/>
    <w:rsid w:val="00FC4829"/>
    <w:rsid w:val="00FC517C"/>
    <w:rsid w:val="00FC5189"/>
    <w:rsid w:val="00FC5689"/>
    <w:rsid w:val="00FC5959"/>
    <w:rsid w:val="00FC5A23"/>
    <w:rsid w:val="00FC6163"/>
    <w:rsid w:val="00FC6652"/>
    <w:rsid w:val="00FC6EDB"/>
    <w:rsid w:val="00FC7046"/>
    <w:rsid w:val="00FC70C6"/>
    <w:rsid w:val="00FC7141"/>
    <w:rsid w:val="00FC73EE"/>
    <w:rsid w:val="00FC745D"/>
    <w:rsid w:val="00FC75B4"/>
    <w:rsid w:val="00FC7A3E"/>
    <w:rsid w:val="00FD01A6"/>
    <w:rsid w:val="00FD080E"/>
    <w:rsid w:val="00FD0B52"/>
    <w:rsid w:val="00FD1640"/>
    <w:rsid w:val="00FD1912"/>
    <w:rsid w:val="00FD1F95"/>
    <w:rsid w:val="00FD2710"/>
    <w:rsid w:val="00FD2E4F"/>
    <w:rsid w:val="00FD2F9C"/>
    <w:rsid w:val="00FD3222"/>
    <w:rsid w:val="00FD3322"/>
    <w:rsid w:val="00FD3440"/>
    <w:rsid w:val="00FD3E3F"/>
    <w:rsid w:val="00FD4075"/>
    <w:rsid w:val="00FD4897"/>
    <w:rsid w:val="00FD4966"/>
    <w:rsid w:val="00FD4A12"/>
    <w:rsid w:val="00FD5907"/>
    <w:rsid w:val="00FD5A83"/>
    <w:rsid w:val="00FD5E76"/>
    <w:rsid w:val="00FD5F30"/>
    <w:rsid w:val="00FD6CB5"/>
    <w:rsid w:val="00FD731A"/>
    <w:rsid w:val="00FD7E7A"/>
    <w:rsid w:val="00FD7E8C"/>
    <w:rsid w:val="00FE00E4"/>
    <w:rsid w:val="00FE01FA"/>
    <w:rsid w:val="00FE0954"/>
    <w:rsid w:val="00FE0C44"/>
    <w:rsid w:val="00FE0E1E"/>
    <w:rsid w:val="00FE105A"/>
    <w:rsid w:val="00FE157E"/>
    <w:rsid w:val="00FE15B2"/>
    <w:rsid w:val="00FE1FC3"/>
    <w:rsid w:val="00FE20DB"/>
    <w:rsid w:val="00FE2315"/>
    <w:rsid w:val="00FE231B"/>
    <w:rsid w:val="00FE2613"/>
    <w:rsid w:val="00FE2A4E"/>
    <w:rsid w:val="00FE2B62"/>
    <w:rsid w:val="00FE35A5"/>
    <w:rsid w:val="00FE37C3"/>
    <w:rsid w:val="00FE3BED"/>
    <w:rsid w:val="00FE3D5C"/>
    <w:rsid w:val="00FE4154"/>
    <w:rsid w:val="00FE416B"/>
    <w:rsid w:val="00FE434C"/>
    <w:rsid w:val="00FE453A"/>
    <w:rsid w:val="00FE4AF2"/>
    <w:rsid w:val="00FE4B03"/>
    <w:rsid w:val="00FE53EC"/>
    <w:rsid w:val="00FE57B4"/>
    <w:rsid w:val="00FE58A0"/>
    <w:rsid w:val="00FE5D06"/>
    <w:rsid w:val="00FE5E11"/>
    <w:rsid w:val="00FE6006"/>
    <w:rsid w:val="00FE619D"/>
    <w:rsid w:val="00FE6C95"/>
    <w:rsid w:val="00FE729C"/>
    <w:rsid w:val="00FE72DF"/>
    <w:rsid w:val="00FE7DB5"/>
    <w:rsid w:val="00FF0183"/>
    <w:rsid w:val="00FF1187"/>
    <w:rsid w:val="00FF1219"/>
    <w:rsid w:val="00FF1BEB"/>
    <w:rsid w:val="00FF1F6E"/>
    <w:rsid w:val="00FF2159"/>
    <w:rsid w:val="00FF21DC"/>
    <w:rsid w:val="00FF25C0"/>
    <w:rsid w:val="00FF2618"/>
    <w:rsid w:val="00FF2A91"/>
    <w:rsid w:val="00FF3DE7"/>
    <w:rsid w:val="00FF3F29"/>
    <w:rsid w:val="00FF400C"/>
    <w:rsid w:val="00FF4116"/>
    <w:rsid w:val="00FF4193"/>
    <w:rsid w:val="00FF4A01"/>
    <w:rsid w:val="00FF4D1E"/>
    <w:rsid w:val="00FF4D60"/>
    <w:rsid w:val="00FF5072"/>
    <w:rsid w:val="00FF57B8"/>
    <w:rsid w:val="00FF5990"/>
    <w:rsid w:val="00FF5C32"/>
    <w:rsid w:val="00FF5F1F"/>
    <w:rsid w:val="00FF5FF0"/>
    <w:rsid w:val="00FF623F"/>
    <w:rsid w:val="00FF64C4"/>
    <w:rsid w:val="00FF681C"/>
    <w:rsid w:val="00FF6BF9"/>
    <w:rsid w:val="00FF7261"/>
    <w:rsid w:val="00FF7434"/>
    <w:rsid w:val="00FF78B8"/>
    <w:rsid w:val="00FF7BA0"/>
    <w:rsid w:val="01B200DC"/>
    <w:rsid w:val="025D3ABF"/>
    <w:rsid w:val="030E6A10"/>
    <w:rsid w:val="032D0A78"/>
    <w:rsid w:val="03A27284"/>
    <w:rsid w:val="04E36DA7"/>
    <w:rsid w:val="07142408"/>
    <w:rsid w:val="093166D2"/>
    <w:rsid w:val="093A5136"/>
    <w:rsid w:val="0B7061D0"/>
    <w:rsid w:val="0DE958AB"/>
    <w:rsid w:val="10FD29EF"/>
    <w:rsid w:val="17903F3A"/>
    <w:rsid w:val="19DC1026"/>
    <w:rsid w:val="1BAD5CFB"/>
    <w:rsid w:val="1FE2395E"/>
    <w:rsid w:val="20092E7E"/>
    <w:rsid w:val="26E6482F"/>
    <w:rsid w:val="2AD85A44"/>
    <w:rsid w:val="2EE1010D"/>
    <w:rsid w:val="30B0516F"/>
    <w:rsid w:val="36C5406F"/>
    <w:rsid w:val="393F0518"/>
    <w:rsid w:val="39E72040"/>
    <w:rsid w:val="3CDF336B"/>
    <w:rsid w:val="3E6E7D60"/>
    <w:rsid w:val="3EF32DD6"/>
    <w:rsid w:val="403F0141"/>
    <w:rsid w:val="4110579E"/>
    <w:rsid w:val="43B93FA8"/>
    <w:rsid w:val="441A68D1"/>
    <w:rsid w:val="45160316"/>
    <w:rsid w:val="45877368"/>
    <w:rsid w:val="45A579B4"/>
    <w:rsid w:val="466D2281"/>
    <w:rsid w:val="47016D8C"/>
    <w:rsid w:val="4FDB687B"/>
    <w:rsid w:val="52E868ED"/>
    <w:rsid w:val="531C2741"/>
    <w:rsid w:val="5A944928"/>
    <w:rsid w:val="663C7DB3"/>
    <w:rsid w:val="66E47FD9"/>
    <w:rsid w:val="69212E07"/>
    <w:rsid w:val="6A8960E2"/>
    <w:rsid w:val="6C5C00D6"/>
    <w:rsid w:val="6C844F2A"/>
    <w:rsid w:val="6CFA6CDB"/>
    <w:rsid w:val="6D7D3E38"/>
    <w:rsid w:val="751A7D9A"/>
    <w:rsid w:val="77B827C4"/>
    <w:rsid w:val="79E04063"/>
    <w:rsid w:val="7E8C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2"/>
    <w:qFormat/>
    <w:uiPriority w:val="0"/>
    <w:pPr>
      <w:keepNext/>
      <w:spacing w:line="0" w:lineRule="atLeast"/>
      <w:jc w:val="center"/>
      <w:outlineLvl w:val="0"/>
    </w:pPr>
    <w:rPr>
      <w:rFonts w:ascii="仿宋_GB2312" w:eastAsia="仿宋_GB2312"/>
      <w:b/>
      <w:bCs/>
      <w:color w:val="FF0000"/>
      <w:szCs w:val="20"/>
    </w:rPr>
  </w:style>
  <w:style w:type="paragraph" w:styleId="3">
    <w:name w:val="heading 2"/>
    <w:basedOn w:val="1"/>
    <w:next w:val="1"/>
    <w:link w:val="33"/>
    <w:qFormat/>
    <w:uiPriority w:val="9"/>
    <w:pPr>
      <w:keepNext/>
      <w:keepLines/>
      <w:spacing w:before="260" w:after="260" w:line="320" w:lineRule="exact"/>
      <w:ind w:firstLine="425"/>
      <w:outlineLvl w:val="1"/>
    </w:pPr>
    <w:rPr>
      <w:rFonts w:ascii="宋体" w:hAnsi="宋体"/>
      <w:b/>
      <w:bCs/>
      <w:sz w:val="24"/>
    </w:rPr>
  </w:style>
  <w:style w:type="paragraph" w:styleId="4">
    <w:name w:val="heading 3"/>
    <w:basedOn w:val="1"/>
    <w:next w:val="1"/>
    <w:link w:val="34"/>
    <w:qFormat/>
    <w:uiPriority w:val="9"/>
    <w:pPr>
      <w:keepNext/>
      <w:keepLines/>
      <w:spacing w:before="260" w:after="260" w:line="416" w:lineRule="auto"/>
      <w:outlineLvl w:val="2"/>
    </w:pPr>
    <w:rPr>
      <w:b/>
      <w:bCs/>
      <w:sz w:val="32"/>
      <w:szCs w:val="32"/>
    </w:rPr>
  </w:style>
  <w:style w:type="character" w:default="1" w:styleId="25">
    <w:name w:val="Default Paragraph Font"/>
    <w:semiHidden/>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annotation text"/>
    <w:basedOn w:val="1"/>
    <w:link w:val="35"/>
    <w:qFormat/>
    <w:uiPriority w:val="99"/>
    <w:pPr>
      <w:jc w:val="left"/>
    </w:pPr>
  </w:style>
  <w:style w:type="paragraph" w:styleId="7">
    <w:name w:val="Body Text"/>
    <w:basedOn w:val="1"/>
    <w:qFormat/>
    <w:uiPriority w:val="0"/>
    <w:pPr>
      <w:autoSpaceDE w:val="0"/>
      <w:autoSpaceDN w:val="0"/>
      <w:adjustRightInd w:val="0"/>
      <w:spacing w:line="0" w:lineRule="atLeast"/>
    </w:pPr>
    <w:rPr>
      <w:rFonts w:ascii="仿宋_GB2312" w:eastAsia="仿宋_GB2312"/>
      <w:color w:val="FF0000"/>
      <w:szCs w:val="20"/>
    </w:rPr>
  </w:style>
  <w:style w:type="paragraph" w:styleId="8">
    <w:name w:val="Body Text Indent"/>
    <w:basedOn w:val="1"/>
    <w:qFormat/>
    <w:uiPriority w:val="0"/>
    <w:pPr>
      <w:spacing w:line="360" w:lineRule="auto"/>
      <w:ind w:firstLine="540"/>
    </w:pPr>
    <w:rPr>
      <w:rFonts w:ascii="宋体"/>
      <w:szCs w:val="20"/>
    </w:rPr>
  </w:style>
  <w:style w:type="paragraph" w:styleId="9">
    <w:name w:val="toc 3"/>
    <w:basedOn w:val="1"/>
    <w:next w:val="1"/>
    <w:unhideWhenUsed/>
    <w:qFormat/>
    <w:uiPriority w:val="39"/>
    <w:pPr>
      <w:ind w:left="840" w:leftChars="400"/>
    </w:pPr>
  </w:style>
  <w:style w:type="paragraph" w:styleId="10">
    <w:name w:val="Date"/>
    <w:basedOn w:val="1"/>
    <w:next w:val="1"/>
    <w:link w:val="36"/>
    <w:unhideWhenUsed/>
    <w:qFormat/>
    <w:uiPriority w:val="99"/>
    <w:pPr>
      <w:ind w:left="100" w:leftChars="2500"/>
    </w:pPr>
  </w:style>
  <w:style w:type="paragraph" w:styleId="11">
    <w:name w:val="Body Text Indent 2"/>
    <w:basedOn w:val="1"/>
    <w:link w:val="37"/>
    <w:qFormat/>
    <w:uiPriority w:val="0"/>
    <w:pPr>
      <w:spacing w:after="120" w:line="480" w:lineRule="auto"/>
      <w:ind w:left="420" w:leftChars="200"/>
    </w:pPr>
  </w:style>
  <w:style w:type="paragraph" w:styleId="12">
    <w:name w:val="Balloon Text"/>
    <w:basedOn w:val="1"/>
    <w:qFormat/>
    <w:uiPriority w:val="0"/>
    <w:rPr>
      <w:sz w:val="18"/>
      <w:szCs w:val="18"/>
    </w:rPr>
  </w:style>
  <w:style w:type="paragraph" w:styleId="13">
    <w:name w:val="footer"/>
    <w:basedOn w:val="1"/>
    <w:link w:val="38"/>
    <w:qFormat/>
    <w:uiPriority w:val="99"/>
    <w:pPr>
      <w:tabs>
        <w:tab w:val="center" w:pos="4153"/>
        <w:tab w:val="right" w:pos="8306"/>
      </w:tabs>
      <w:snapToGrid w:val="0"/>
      <w:jc w:val="left"/>
    </w:pPr>
    <w:rPr>
      <w:sz w:val="18"/>
      <w:szCs w:val="20"/>
    </w:rPr>
  </w:style>
  <w:style w:type="paragraph" w:styleId="14">
    <w:name w:val="header"/>
    <w:basedOn w:val="1"/>
    <w:link w:val="39"/>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Lines="50"/>
    </w:pPr>
    <w:rPr>
      <w:sz w:val="24"/>
    </w:rPr>
  </w:style>
  <w:style w:type="paragraph" w:styleId="16">
    <w:name w:val="footnote text"/>
    <w:basedOn w:val="1"/>
    <w:qFormat/>
    <w:uiPriority w:val="0"/>
    <w:pPr>
      <w:snapToGrid w:val="0"/>
      <w:jc w:val="left"/>
    </w:pPr>
    <w:rPr>
      <w:sz w:val="18"/>
      <w:szCs w:val="18"/>
    </w:rPr>
  </w:style>
  <w:style w:type="paragraph" w:styleId="17">
    <w:name w:val="toc 2"/>
    <w:basedOn w:val="1"/>
    <w:next w:val="1"/>
    <w:unhideWhenUsed/>
    <w:qFormat/>
    <w:uiPriority w:val="39"/>
    <w:pPr>
      <w:ind w:left="420" w:leftChars="200"/>
    </w:pPr>
  </w:style>
  <w:style w:type="paragraph" w:styleId="18">
    <w:name w:val="Body Text 2"/>
    <w:basedOn w:val="1"/>
    <w:link w:val="66"/>
    <w:qFormat/>
    <w:uiPriority w:val="0"/>
    <w:pPr>
      <w:spacing w:after="120" w:line="480" w:lineRule="auto"/>
    </w:pPr>
  </w:style>
  <w:style w:type="paragraph" w:styleId="19">
    <w:name w:val="HTML Preformatted"/>
    <w:basedOn w:val="1"/>
    <w:link w:val="88"/>
    <w:unhideWhenUsed/>
    <w:uiPriority w:val="99"/>
    <w:rPr>
      <w:rFonts w:ascii="Courier New" w:hAnsi="Courier New"/>
      <w:sz w:val="20"/>
      <w:szCs w:val="20"/>
    </w:rPr>
  </w:style>
  <w:style w:type="paragraph" w:styleId="20">
    <w:name w:val="Normal (Web)"/>
    <w:basedOn w:val="1"/>
    <w:qFormat/>
    <w:uiPriority w:val="0"/>
    <w:pPr>
      <w:widowControl/>
      <w:spacing w:before="100" w:after="100"/>
      <w:jc w:val="left"/>
    </w:pPr>
    <w:rPr>
      <w:rFonts w:ascii="宋体" w:hAnsi="宋体"/>
      <w:color w:val="808080"/>
      <w:kern w:val="0"/>
      <w:sz w:val="24"/>
      <w:szCs w:val="20"/>
    </w:rPr>
  </w:style>
  <w:style w:type="paragraph" w:styleId="21">
    <w:name w:val="Title"/>
    <w:basedOn w:val="1"/>
    <w:next w:val="1"/>
    <w:link w:val="40"/>
    <w:qFormat/>
    <w:uiPriority w:val="10"/>
    <w:pPr>
      <w:spacing w:before="240" w:after="60"/>
      <w:jc w:val="center"/>
      <w:outlineLvl w:val="0"/>
    </w:pPr>
    <w:rPr>
      <w:rFonts w:ascii="Cambria" w:hAnsi="Cambria"/>
      <w:b/>
      <w:bCs/>
      <w:sz w:val="32"/>
      <w:szCs w:val="32"/>
    </w:rPr>
  </w:style>
  <w:style w:type="paragraph" w:styleId="22">
    <w:name w:val="annotation subject"/>
    <w:basedOn w:val="6"/>
    <w:next w:val="6"/>
    <w:qFormat/>
    <w:uiPriority w:val="0"/>
    <w:rPr>
      <w:b/>
      <w:bCs/>
    </w:rPr>
  </w:style>
  <w:style w:type="table" w:styleId="24">
    <w:name w:val="Table Grid"/>
    <w:basedOn w:val="23"/>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26">
    <w:name w:val="Strong"/>
    <w:qFormat/>
    <w:uiPriority w:val="0"/>
    <w:rPr>
      <w:b/>
      <w:bCs/>
    </w:rPr>
  </w:style>
  <w:style w:type="character" w:styleId="27">
    <w:name w:val="page number"/>
    <w:basedOn w:val="25"/>
    <w:qFormat/>
    <w:uiPriority w:val="0"/>
  </w:style>
  <w:style w:type="character" w:styleId="28">
    <w:name w:val="Emphasis"/>
    <w:basedOn w:val="25"/>
    <w:qFormat/>
    <w:uiPriority w:val="20"/>
    <w:rPr>
      <w:color w:val="CC0000"/>
    </w:rPr>
  </w:style>
  <w:style w:type="character" w:styleId="29">
    <w:name w:val="Hyperlink"/>
    <w:qFormat/>
    <w:uiPriority w:val="99"/>
    <w:rPr>
      <w:color w:val="0000FF"/>
      <w:u w:val="single"/>
    </w:rPr>
  </w:style>
  <w:style w:type="character" w:styleId="30">
    <w:name w:val="annotation reference"/>
    <w:qFormat/>
    <w:uiPriority w:val="99"/>
    <w:rPr>
      <w:sz w:val="21"/>
      <w:szCs w:val="21"/>
    </w:rPr>
  </w:style>
  <w:style w:type="character" w:styleId="31">
    <w:name w:val="footnote reference"/>
    <w:qFormat/>
    <w:uiPriority w:val="0"/>
    <w:rPr>
      <w:vertAlign w:val="superscript"/>
    </w:rPr>
  </w:style>
  <w:style w:type="character" w:customStyle="1" w:styleId="32">
    <w:name w:val="标题 1 Char"/>
    <w:link w:val="2"/>
    <w:qFormat/>
    <w:uiPriority w:val="0"/>
    <w:rPr>
      <w:rFonts w:ascii="仿宋_GB2312" w:eastAsia="仿宋_GB2312"/>
      <w:b/>
      <w:bCs/>
      <w:color w:val="FF0000"/>
      <w:kern w:val="2"/>
      <w:sz w:val="21"/>
    </w:rPr>
  </w:style>
  <w:style w:type="character" w:customStyle="1" w:styleId="33">
    <w:name w:val="标题 2 Char"/>
    <w:link w:val="3"/>
    <w:qFormat/>
    <w:uiPriority w:val="9"/>
    <w:rPr>
      <w:rFonts w:ascii="宋体" w:hAnsi="宋体" w:eastAsia="宋体"/>
      <w:b/>
      <w:bCs/>
      <w:kern w:val="2"/>
      <w:sz w:val="24"/>
      <w:szCs w:val="24"/>
    </w:rPr>
  </w:style>
  <w:style w:type="character" w:customStyle="1" w:styleId="34">
    <w:name w:val="标题 3 Char"/>
    <w:link w:val="4"/>
    <w:qFormat/>
    <w:uiPriority w:val="9"/>
    <w:rPr>
      <w:b/>
      <w:bCs/>
      <w:kern w:val="2"/>
      <w:sz w:val="32"/>
      <w:szCs w:val="32"/>
    </w:rPr>
  </w:style>
  <w:style w:type="character" w:customStyle="1" w:styleId="35">
    <w:name w:val="批注文字 Char"/>
    <w:link w:val="6"/>
    <w:qFormat/>
    <w:uiPriority w:val="99"/>
    <w:rPr>
      <w:rFonts w:eastAsia="宋体"/>
      <w:kern w:val="2"/>
      <w:sz w:val="21"/>
      <w:szCs w:val="24"/>
      <w:lang w:val="en-US" w:eastAsia="zh-CN" w:bidi="ar-SA"/>
    </w:rPr>
  </w:style>
  <w:style w:type="character" w:customStyle="1" w:styleId="36">
    <w:name w:val="日期 Char"/>
    <w:link w:val="10"/>
    <w:qFormat/>
    <w:uiPriority w:val="99"/>
    <w:rPr>
      <w:kern w:val="2"/>
      <w:sz w:val="21"/>
      <w:szCs w:val="24"/>
    </w:rPr>
  </w:style>
  <w:style w:type="character" w:customStyle="1" w:styleId="37">
    <w:name w:val="正文文本缩进 2 Char"/>
    <w:link w:val="11"/>
    <w:qFormat/>
    <w:uiPriority w:val="0"/>
    <w:rPr>
      <w:kern w:val="2"/>
      <w:sz w:val="21"/>
      <w:szCs w:val="24"/>
    </w:rPr>
  </w:style>
  <w:style w:type="character" w:customStyle="1" w:styleId="38">
    <w:name w:val="页脚 Char"/>
    <w:link w:val="13"/>
    <w:qFormat/>
    <w:uiPriority w:val="99"/>
    <w:rPr>
      <w:kern w:val="2"/>
      <w:sz w:val="18"/>
    </w:rPr>
  </w:style>
  <w:style w:type="character" w:customStyle="1" w:styleId="39">
    <w:name w:val="页眉 Char"/>
    <w:link w:val="14"/>
    <w:qFormat/>
    <w:uiPriority w:val="99"/>
    <w:rPr>
      <w:kern w:val="2"/>
      <w:sz w:val="18"/>
      <w:szCs w:val="18"/>
    </w:rPr>
  </w:style>
  <w:style w:type="character" w:customStyle="1" w:styleId="40">
    <w:name w:val="标题 Char"/>
    <w:link w:val="21"/>
    <w:qFormat/>
    <w:uiPriority w:val="10"/>
    <w:rPr>
      <w:rFonts w:ascii="Cambria" w:hAnsi="Cambria" w:cs="Times New Roman"/>
      <w:b/>
      <w:bCs/>
      <w:kern w:val="2"/>
      <w:sz w:val="32"/>
      <w:szCs w:val="32"/>
    </w:rPr>
  </w:style>
  <w:style w:type="paragraph" w:customStyle="1" w:styleId="41">
    <w:name w:val="Char Char Char Char"/>
    <w:basedOn w:val="1"/>
    <w:qFormat/>
    <w:uiPriority w:val="0"/>
  </w:style>
  <w:style w:type="paragraph" w:customStyle="1" w:styleId="42">
    <w:name w:val="_Style 30"/>
    <w:qFormat/>
    <w:uiPriority w:val="0"/>
    <w:rPr>
      <w:rFonts w:ascii="Times New Roman" w:hAnsi="Times New Roman" w:eastAsia="宋体" w:cs="Times New Roman"/>
      <w:kern w:val="2"/>
      <w:sz w:val="21"/>
      <w:szCs w:val="24"/>
      <w:lang w:val="en-US" w:eastAsia="zh-CN" w:bidi="ar-SA"/>
    </w:rPr>
  </w:style>
  <w:style w:type="paragraph" w:customStyle="1" w:styleId="43">
    <w:name w:val="Char1"/>
    <w:basedOn w:val="1"/>
    <w:qFormat/>
    <w:uiPriority w:val="0"/>
    <w:pPr>
      <w:widowControl/>
      <w:spacing w:after="160" w:line="240" w:lineRule="exact"/>
      <w:jc w:val="left"/>
    </w:pPr>
    <w:rPr>
      <w:rFonts w:ascii="Verdana" w:hAnsi="Verdana" w:eastAsia="仿宋_GB2312" w:cs="Verdana"/>
      <w:kern w:val="0"/>
      <w:sz w:val="20"/>
      <w:szCs w:val="20"/>
      <w:lang w:eastAsia="en-US"/>
    </w:rPr>
  </w:style>
  <w:style w:type="paragraph" w:customStyle="1" w:styleId="44">
    <w:name w:val="Char Char Char"/>
    <w:basedOn w:val="1"/>
    <w:qFormat/>
    <w:uiPriority w:val="0"/>
    <w:pPr>
      <w:widowControl/>
      <w:spacing w:after="160" w:line="240" w:lineRule="exact"/>
      <w:jc w:val="left"/>
    </w:pPr>
    <w:rPr>
      <w:rFonts w:ascii="Verdana" w:hAnsi="Verdana" w:cs="Verdana"/>
      <w:kern w:val="0"/>
      <w:sz w:val="20"/>
      <w:szCs w:val="20"/>
      <w:lang w:eastAsia="en-US"/>
    </w:rPr>
  </w:style>
  <w:style w:type="paragraph" w:customStyle="1" w:styleId="45">
    <w:name w:val="Default"/>
    <w:qFormat/>
    <w:uiPriority w:val="0"/>
    <w:pPr>
      <w:widowControl w:val="0"/>
      <w:autoSpaceDE w:val="0"/>
      <w:autoSpaceDN w:val="0"/>
      <w:adjustRightInd w:val="0"/>
    </w:pPr>
    <w:rPr>
      <w:rFonts w:ascii="仿宋_GB2312" w:hAnsi="Times New Roman" w:eastAsia="仿宋_GB2312" w:cs="仿宋_GB2312"/>
      <w:color w:val="000000"/>
      <w:sz w:val="24"/>
      <w:szCs w:val="24"/>
      <w:lang w:val="en-US" w:eastAsia="zh-CN" w:bidi="ar-SA"/>
    </w:rPr>
  </w:style>
  <w:style w:type="paragraph" w:customStyle="1" w:styleId="46">
    <w:name w:val="reader-word-layer"/>
    <w:basedOn w:val="1"/>
    <w:qFormat/>
    <w:uiPriority w:val="0"/>
    <w:pPr>
      <w:widowControl/>
      <w:spacing w:before="100" w:beforeAutospacing="1" w:after="100" w:afterAutospacing="1"/>
      <w:jc w:val="left"/>
    </w:pPr>
    <w:rPr>
      <w:rFonts w:ascii="宋体" w:hAnsi="宋体" w:cs="宋体"/>
      <w:kern w:val="0"/>
      <w:sz w:val="24"/>
    </w:rPr>
  </w:style>
  <w:style w:type="paragraph" w:customStyle="1" w:styleId="47">
    <w:name w:val="默认段落字体 Para Char"/>
    <w:basedOn w:val="1"/>
    <w:qFormat/>
    <w:uiPriority w:val="0"/>
  </w:style>
  <w:style w:type="paragraph" w:customStyle="1" w:styleId="48">
    <w:name w:val="Char"/>
    <w:basedOn w:val="1"/>
    <w:qFormat/>
    <w:uiPriority w:val="0"/>
    <w:pPr>
      <w:tabs>
        <w:tab w:val="left" w:pos="425"/>
      </w:tabs>
      <w:ind w:left="425" w:hanging="425"/>
    </w:pPr>
    <w:rPr>
      <w:rFonts w:ascii="宋体" w:hAnsi="宋体"/>
      <w:color w:val="000000"/>
      <w:sz w:val="24"/>
    </w:rPr>
  </w:style>
  <w:style w:type="paragraph" w:customStyle="1" w:styleId="49">
    <w:name w:val="a"/>
    <w:basedOn w:val="1"/>
    <w:qFormat/>
    <w:uiPriority w:val="0"/>
    <w:pPr>
      <w:widowControl/>
      <w:spacing w:before="100" w:beforeAutospacing="1" w:after="100" w:afterAutospacing="1" w:line="300" w:lineRule="atLeast"/>
      <w:jc w:val="left"/>
    </w:pPr>
    <w:rPr>
      <w:rFonts w:ascii="Arial Unicode MS" w:hAnsi="Arial Unicode MS" w:eastAsia="Arial Unicode MS" w:cs="宋体"/>
      <w:color w:val="990000"/>
      <w:kern w:val="0"/>
      <w:sz w:val="18"/>
      <w:szCs w:val="18"/>
    </w:rPr>
  </w:style>
  <w:style w:type="paragraph" w:customStyle="1" w:styleId="50">
    <w:name w:val="Char4 Char 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51">
    <w:name w:val="Char Char Char1 Char"/>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52">
    <w:name w:val="样式 行距: 1.5 倍行距"/>
    <w:basedOn w:val="1"/>
    <w:qFormat/>
    <w:uiPriority w:val="0"/>
    <w:pPr>
      <w:widowControl/>
      <w:spacing w:line="360" w:lineRule="auto"/>
      <w:ind w:firstLine="480" w:firstLineChars="200"/>
    </w:pPr>
    <w:rPr>
      <w:rFonts w:cs="宋体"/>
      <w:sz w:val="24"/>
    </w:rPr>
  </w:style>
  <w:style w:type="paragraph" w:customStyle="1" w:styleId="53">
    <w:name w:val="列出段落1"/>
    <w:basedOn w:val="1"/>
    <w:qFormat/>
    <w:uiPriority w:val="0"/>
    <w:pPr>
      <w:ind w:firstLine="420" w:firstLineChars="200"/>
    </w:pPr>
  </w:style>
  <w:style w:type="paragraph" w:customStyle="1" w:styleId="54">
    <w:name w:val="样式2"/>
    <w:basedOn w:val="1"/>
    <w:link w:val="55"/>
    <w:qFormat/>
    <w:uiPriority w:val="0"/>
    <w:pPr>
      <w:spacing w:before="240" w:afterAutospacing="1" w:line="276" w:lineRule="auto"/>
    </w:pPr>
    <w:rPr>
      <w:rFonts w:ascii="仿宋" w:hAnsi="仿宋" w:eastAsia="仿宋"/>
      <w:color w:val="000000"/>
      <w:kern w:val="0"/>
      <w:sz w:val="24"/>
    </w:rPr>
  </w:style>
  <w:style w:type="character" w:customStyle="1" w:styleId="55">
    <w:name w:val="样式2 Char"/>
    <w:link w:val="54"/>
    <w:qFormat/>
    <w:uiPriority w:val="0"/>
    <w:rPr>
      <w:rFonts w:ascii="仿宋" w:hAnsi="仿宋" w:eastAsia="仿宋"/>
      <w:color w:val="000000"/>
      <w:sz w:val="24"/>
      <w:szCs w:val="24"/>
    </w:rPr>
  </w:style>
  <w:style w:type="paragraph" w:customStyle="1" w:styleId="56">
    <w:name w:val="Char Char Char Char1"/>
    <w:basedOn w:val="1"/>
    <w:qFormat/>
    <w:uiPriority w:val="0"/>
    <w:pPr>
      <w:tabs>
        <w:tab w:val="left" w:pos="360"/>
      </w:tabs>
    </w:pPr>
    <w:rPr>
      <w:sz w:val="24"/>
    </w:rPr>
  </w:style>
  <w:style w:type="paragraph" w:customStyle="1" w:styleId="57">
    <w:name w:val="标题2"/>
    <w:basedOn w:val="1"/>
    <w:link w:val="58"/>
    <w:qFormat/>
    <w:uiPriority w:val="0"/>
    <w:pPr>
      <w:spacing w:line="360" w:lineRule="auto"/>
      <w:ind w:left="1247" w:hanging="765"/>
    </w:pPr>
    <w:rPr>
      <w:b/>
      <w:color w:val="000000"/>
      <w:sz w:val="24"/>
    </w:rPr>
  </w:style>
  <w:style w:type="character" w:customStyle="1" w:styleId="58">
    <w:name w:val="标题2 Char"/>
    <w:link w:val="57"/>
    <w:qFormat/>
    <w:uiPriority w:val="0"/>
    <w:rPr>
      <w:b/>
      <w:color w:val="000000"/>
      <w:kern w:val="2"/>
      <w:sz w:val="24"/>
      <w:szCs w:val="24"/>
    </w:rPr>
  </w:style>
  <w:style w:type="paragraph" w:customStyle="1" w:styleId="59">
    <w:name w:val="列出段落11"/>
    <w:basedOn w:val="1"/>
    <w:qFormat/>
    <w:uiPriority w:val="34"/>
    <w:pPr>
      <w:ind w:firstLine="420" w:firstLineChars="200"/>
    </w:pPr>
    <w:rPr>
      <w:rFonts w:ascii="Calibri" w:hAnsi="Calibri"/>
      <w:szCs w:val="22"/>
    </w:rPr>
  </w:style>
  <w:style w:type="paragraph" w:customStyle="1" w:styleId="60">
    <w:name w:val="Char4 Char Char Char Char1"/>
    <w:basedOn w:val="1"/>
    <w:qFormat/>
    <w:uiPriority w:val="0"/>
    <w:pPr>
      <w:widowControl/>
      <w:spacing w:after="160" w:line="240" w:lineRule="exact"/>
      <w:jc w:val="left"/>
    </w:pPr>
    <w:rPr>
      <w:rFonts w:ascii="Verdana" w:hAnsi="Verdana" w:eastAsia="Times New Roman"/>
      <w:kern w:val="0"/>
      <w:sz w:val="20"/>
      <w:szCs w:val="20"/>
      <w:lang w:eastAsia="en-US"/>
    </w:rPr>
  </w:style>
  <w:style w:type="paragraph" w:customStyle="1" w:styleId="61">
    <w:name w:val="3级悬挂缩进"/>
    <w:basedOn w:val="1"/>
    <w:qFormat/>
    <w:uiPriority w:val="0"/>
    <w:pPr>
      <w:widowControl/>
      <w:spacing w:beforeLines="10" w:line="360" w:lineRule="auto"/>
      <w:ind w:left="525" w:hanging="525" w:hangingChars="250"/>
      <w:jc w:val="left"/>
      <w:outlineLvl w:val="2"/>
    </w:pPr>
    <w:rPr>
      <w:rFonts w:ascii="宋体" w:hAnsi="宋体"/>
      <w:kern w:val="0"/>
    </w:rPr>
  </w:style>
  <w:style w:type="character" w:customStyle="1" w:styleId="62">
    <w:name w:val="a1"/>
    <w:qFormat/>
    <w:uiPriority w:val="0"/>
    <w:rPr>
      <w:color w:val="990000"/>
      <w:sz w:val="18"/>
      <w:szCs w:val="18"/>
    </w:rPr>
  </w:style>
  <w:style w:type="character" w:customStyle="1" w:styleId="63">
    <w:name w:val="con-all2"/>
    <w:basedOn w:val="25"/>
    <w:qFormat/>
    <w:uiPriority w:val="0"/>
  </w:style>
  <w:style w:type="character" w:customStyle="1" w:styleId="64">
    <w:name w:val="Comment Text Char"/>
    <w:qFormat/>
    <w:uiPriority w:val="0"/>
    <w:rPr>
      <w:rFonts w:eastAsia="宋体"/>
      <w:kern w:val="2"/>
      <w:sz w:val="21"/>
      <w:szCs w:val="24"/>
      <w:lang w:val="en-US" w:eastAsia="zh-CN" w:bidi="ar-SA"/>
    </w:rPr>
  </w:style>
  <w:style w:type="paragraph" w:customStyle="1" w:styleId="65">
    <w:name w:val="修订1"/>
    <w:hidden/>
    <w:uiPriority w:val="0"/>
    <w:rPr>
      <w:rFonts w:ascii="Times New Roman" w:hAnsi="Times New Roman" w:eastAsia="宋体" w:cs="Times New Roman"/>
      <w:kern w:val="2"/>
      <w:sz w:val="21"/>
      <w:szCs w:val="24"/>
      <w:lang w:val="en-US" w:eastAsia="zh-CN" w:bidi="ar-SA"/>
    </w:rPr>
  </w:style>
  <w:style w:type="character" w:customStyle="1" w:styleId="66">
    <w:name w:val="正文文本 2 Char"/>
    <w:basedOn w:val="25"/>
    <w:link w:val="18"/>
    <w:qFormat/>
    <w:uiPriority w:val="0"/>
    <w:rPr>
      <w:kern w:val="2"/>
      <w:sz w:val="21"/>
      <w:szCs w:val="24"/>
    </w:rPr>
  </w:style>
  <w:style w:type="character" w:customStyle="1" w:styleId="67">
    <w:name w:val="标题 1 Char1"/>
    <w:qFormat/>
    <w:uiPriority w:val="0"/>
    <w:rPr>
      <w:rFonts w:ascii="仿宋_GB2312" w:eastAsia="仿宋_GB2312"/>
      <w:b/>
      <w:bCs/>
      <w:color w:val="FF0000"/>
      <w:kern w:val="2"/>
      <w:sz w:val="21"/>
    </w:rPr>
  </w:style>
  <w:style w:type="paragraph" w:customStyle="1" w:styleId="68">
    <w:name w:val="彩色列表 - 强调文字颜色 11"/>
    <w:basedOn w:val="1"/>
    <w:qFormat/>
    <w:uiPriority w:val="34"/>
    <w:pPr>
      <w:ind w:firstLine="420" w:firstLineChars="200"/>
    </w:pPr>
  </w:style>
  <w:style w:type="paragraph" w:customStyle="1" w:styleId="69">
    <w:name w:val="彩色底纹 - 强调文字颜色 11"/>
    <w:qFormat/>
    <w:uiPriority w:val="0"/>
    <w:rPr>
      <w:rFonts w:ascii="Times New Roman" w:hAnsi="Times New Roman" w:eastAsia="宋体" w:cs="Times New Roman"/>
      <w:kern w:val="2"/>
      <w:sz w:val="21"/>
      <w:szCs w:val="24"/>
      <w:lang w:val="en-US" w:eastAsia="zh-CN" w:bidi="ar-SA"/>
    </w:rPr>
  </w:style>
  <w:style w:type="paragraph" w:customStyle="1" w:styleId="70">
    <w:name w:val="修订11"/>
    <w:hidden/>
    <w:qFormat/>
    <w:uiPriority w:val="0"/>
    <w:rPr>
      <w:rFonts w:ascii="Times New Roman" w:hAnsi="Times New Roman" w:eastAsia="宋体" w:cs="Times New Roman"/>
      <w:kern w:val="2"/>
      <w:sz w:val="21"/>
      <w:szCs w:val="24"/>
      <w:lang w:val="en-US" w:eastAsia="zh-CN" w:bidi="ar-SA"/>
    </w:rPr>
  </w:style>
  <w:style w:type="paragraph" w:customStyle="1" w:styleId="71">
    <w:name w:val="正文文本缩进 21"/>
    <w:basedOn w:val="1"/>
    <w:qFormat/>
    <w:uiPriority w:val="0"/>
    <w:pPr>
      <w:spacing w:before="60" w:after="60"/>
      <w:ind w:left="479"/>
    </w:pPr>
    <w:rPr>
      <w:szCs w:val="20"/>
    </w:rPr>
  </w:style>
  <w:style w:type="paragraph" w:customStyle="1" w:styleId="72">
    <w:name w:val="列出段落2"/>
    <w:basedOn w:val="1"/>
    <w:qFormat/>
    <w:uiPriority w:val="0"/>
    <w:pPr>
      <w:widowControl/>
      <w:spacing w:line="360" w:lineRule="auto"/>
      <w:ind w:firstLine="420" w:firstLineChars="200"/>
      <w:jc w:val="left"/>
    </w:pPr>
    <w:rPr>
      <w:rFonts w:ascii="宋体" w:hAnsi="宋体" w:cs="宋体"/>
      <w:kern w:val="0"/>
      <w:sz w:val="24"/>
    </w:rPr>
  </w:style>
  <w:style w:type="paragraph" w:customStyle="1" w:styleId="73">
    <w:name w:val="小箭头"/>
    <w:basedOn w:val="1"/>
    <w:qFormat/>
    <w:uiPriority w:val="0"/>
    <w:pPr>
      <w:numPr>
        <w:ilvl w:val="0"/>
        <w:numId w:val="1"/>
      </w:numPr>
      <w:tabs>
        <w:tab w:val="left" w:pos="1498"/>
      </w:tabs>
      <w:spacing w:beforeLines="50" w:afterLines="50" w:line="360" w:lineRule="auto"/>
      <w:jc w:val="left"/>
    </w:pPr>
    <w:rPr>
      <w:rFonts w:ascii="宋体" w:hAnsi="宋体" w:eastAsia="仿宋_GB2312"/>
      <w:bCs/>
      <w:kern w:val="0"/>
      <w:sz w:val="24"/>
      <w:szCs w:val="32"/>
    </w:rPr>
  </w:style>
  <w:style w:type="paragraph" w:customStyle="1" w:styleId="74">
    <w:name w:val="无间隔1"/>
    <w:qFormat/>
    <w:uiPriority w:val="1"/>
    <w:pPr>
      <w:widowControl w:val="0"/>
      <w:spacing w:afterLines="50"/>
      <w:jc w:val="both"/>
    </w:pPr>
    <w:rPr>
      <w:rFonts w:ascii="Times New Roman" w:hAnsi="Times New Roman" w:eastAsia="仿宋" w:cs="Times New Roman"/>
      <w:kern w:val="2"/>
      <w:sz w:val="24"/>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76">
    <w:name w:val="批注文字 Char1"/>
    <w:qFormat/>
    <w:uiPriority w:val="0"/>
    <w:rPr>
      <w:rFonts w:ascii="Calibri" w:hAnsi="Calibri"/>
      <w:kern w:val="2"/>
      <w:sz w:val="21"/>
      <w:szCs w:val="22"/>
      <w:lang w:bidi="ar-SA"/>
    </w:rPr>
  </w:style>
  <w:style w:type="paragraph" w:customStyle="1" w:styleId="77">
    <w:name w:val="List Paragraph1"/>
    <w:basedOn w:val="1"/>
    <w:qFormat/>
    <w:uiPriority w:val="0"/>
    <w:pPr>
      <w:ind w:firstLine="420" w:firstLineChars="200"/>
    </w:pPr>
    <w:rPr>
      <w:rFonts w:ascii="Calibri" w:hAnsi="Calibri"/>
      <w:szCs w:val="22"/>
    </w:rPr>
  </w:style>
  <w:style w:type="paragraph" w:customStyle="1" w:styleId="78">
    <w:name w:val="样式1"/>
    <w:basedOn w:val="45"/>
    <w:qFormat/>
    <w:uiPriority w:val="0"/>
    <w:rPr>
      <w:rFonts w:ascii="Times New Roman" w:eastAsia="宋体" w:cs="oúì."/>
    </w:rPr>
  </w:style>
  <w:style w:type="character" w:customStyle="1" w:styleId="79">
    <w:name w:val="标题2 Char Char"/>
    <w:qFormat/>
    <w:uiPriority w:val="0"/>
    <w:rPr>
      <w:b/>
      <w:color w:val="000000"/>
      <w:kern w:val="2"/>
      <w:sz w:val="24"/>
      <w:szCs w:val="24"/>
    </w:rPr>
  </w:style>
  <w:style w:type="paragraph" w:customStyle="1" w:styleId="80">
    <w:name w:val="列表段落1"/>
    <w:basedOn w:val="1"/>
    <w:qFormat/>
    <w:uiPriority w:val="0"/>
    <w:pPr>
      <w:ind w:firstLine="420" w:firstLineChars="200"/>
    </w:pPr>
  </w:style>
  <w:style w:type="paragraph" w:customStyle="1" w:styleId="81">
    <w:name w:val="_Style 75"/>
    <w:basedOn w:val="1"/>
    <w:next w:val="80"/>
    <w:qFormat/>
    <w:uiPriority w:val="0"/>
    <w:pPr>
      <w:ind w:firstLine="420" w:firstLineChars="200"/>
    </w:pPr>
  </w:style>
  <w:style w:type="paragraph" w:customStyle="1" w:styleId="82">
    <w:name w:val="列出段落3"/>
    <w:basedOn w:val="1"/>
    <w:qFormat/>
    <w:uiPriority w:val="0"/>
    <w:pPr>
      <w:ind w:firstLine="420" w:firstLineChars="200"/>
    </w:pPr>
  </w:style>
  <w:style w:type="character" w:customStyle="1" w:styleId="83">
    <w:name w:val="标题 2 字符"/>
    <w:uiPriority w:val="9"/>
    <w:rPr>
      <w:rFonts w:ascii="宋体" w:hAnsi="宋体" w:eastAsia="宋体"/>
      <w:b/>
      <w:bCs/>
      <w:kern w:val="2"/>
      <w:sz w:val="24"/>
      <w:szCs w:val="24"/>
    </w:rPr>
  </w:style>
  <w:style w:type="character" w:customStyle="1" w:styleId="84">
    <w:name w:val="标题 3 字符"/>
    <w:qFormat/>
    <w:uiPriority w:val="9"/>
    <w:rPr>
      <w:b/>
      <w:bCs/>
      <w:kern w:val="2"/>
      <w:sz w:val="32"/>
      <w:szCs w:val="32"/>
    </w:rPr>
  </w:style>
  <w:style w:type="character" w:customStyle="1" w:styleId="85">
    <w:name w:val="批注文字 字符"/>
    <w:uiPriority w:val="99"/>
    <w:rPr>
      <w:rFonts w:eastAsia="宋体"/>
      <w:kern w:val="2"/>
      <w:sz w:val="21"/>
      <w:szCs w:val="24"/>
      <w:lang w:val="en-US" w:eastAsia="zh-CN" w:bidi="ar-SA"/>
    </w:rPr>
  </w:style>
  <w:style w:type="character" w:customStyle="1" w:styleId="86">
    <w:name w:val="标题 1 字符"/>
    <w:uiPriority w:val="0"/>
    <w:rPr>
      <w:rFonts w:ascii="仿宋_GB2312" w:eastAsia="仿宋_GB2312"/>
      <w:b/>
      <w:bCs/>
      <w:color w:val="FF0000"/>
      <w:kern w:val="2"/>
      <w:sz w:val="21"/>
    </w:rPr>
  </w:style>
  <w:style w:type="character" w:customStyle="1" w:styleId="87">
    <w:name w:val="HTML 预设格式 Char1"/>
    <w:semiHidden/>
    <w:uiPriority w:val="99"/>
    <w:rPr>
      <w:rFonts w:ascii="Courier New" w:hAnsi="Courier New"/>
      <w:kern w:val="2"/>
    </w:rPr>
  </w:style>
  <w:style w:type="character" w:customStyle="1" w:styleId="88">
    <w:name w:val="HTML 预设格式 Char"/>
    <w:basedOn w:val="25"/>
    <w:link w:val="19"/>
    <w:semiHidden/>
    <w:uiPriority w:val="99"/>
    <w:rPr>
      <w:rFonts w:ascii="Courier New" w:hAnsi="Courier New" w:cs="Courier New"/>
      <w:kern w:val="2"/>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6740</Words>
  <Characters>38419</Characters>
  <Lines>320</Lines>
  <Paragraphs>90</Paragraphs>
  <TotalTime>0</TotalTime>
  <ScaleCrop>false</ScaleCrop>
  <LinksUpToDate>false</LinksUpToDate>
  <CharactersWithSpaces>45069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2019-03-21T10:39:00Z</dcterms:created>
  <dc:creator>yu_yu</dc:creator>
  <cp:lastModifiedBy>草原孤狼</cp:lastModifiedBy>
  <cp:lastPrinted>2017-08-15T03:00:00Z</cp:lastPrinted>
  <dcterms:modified xsi:type="dcterms:W3CDTF">2021-01-06T03:29:33Z</dcterms:modified>
  <dc:title>机密</dc:title>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